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Tổng quan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Mô hình dữ liệu </w:t>
      </w:r>
      <w:r w:rsidDel="00000000" w:rsidR="00000000" w:rsidRPr="00000000">
        <w:rPr>
          <w:b w:val="1"/>
          <w:rtl w:val="0"/>
        </w:rPr>
        <w:t xml:space="preserve">Wallet (Ví)</w:t>
      </w:r>
      <w:r w:rsidDel="00000000" w:rsidR="00000000" w:rsidRPr="00000000">
        <w:rPr>
          <w:rtl w:val="0"/>
        </w:rPr>
        <w:t xml:space="preserve"> để theo dõi điểm thưởng. Mỗi ví có một định danh duy nhất, thuộc sở hữu của một người dùng cụ thể và duy trì số dư điểm. </w:t>
        <w:br w:type="textWrapping"/>
      </w:r>
      <w:r w:rsidDel="00000000" w:rsidR="00000000" w:rsidRPr="00000000">
        <w:rPr>
          <w:b w:val="1"/>
          <w:rtl w:val="0"/>
        </w:rPr>
        <w:t xml:space="preserve">Cấu trúc lớp Wallet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Cấu trúc lớp quản lý ví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4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