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264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9"/>
          <w:szCs w:val="19"/>
        </w:rPr>
        <w:t xml:space="preserve">All numbers are computed with formulas in Group_8.xlsx, sheet Part B (cell references in brackets).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B1 · Continuous Y, no X  (Price = β</w:t>
      </w:r>
      <w:r>
        <w:rPr>
          <w:rFonts w:ascii="Arial" w:cs="Arial" w:eastAsia="Arial" w:hAnsi="Arial"/>
          <w:b/>
          <w:bCs/>
          <w:vertAlign w:val="subscript"/>
        </w:rPr>
        <w:t xml:space="preserve">0</w:t>
      </w:r>
      <w:r>
        <w:rPr>
          <w:rFonts w:ascii="Arial" w:cs="Arial" w:eastAsia="Arial" w:hAnsi="Arial"/>
          <w:b/>
          <w:bCs/>
        </w:rPr>
        <w:t xml:space="preserve"> + ε)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1450"/>
        <w:gridCol w:w="1550"/>
        <w:gridCol w:w="1700"/>
        <w:gridCol w:w="1500"/>
        <w:gridCol w:w="2106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 (B4)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Mean x̄ (B5)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Std. dev. s (B6)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 = s/√n (B7)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 critical (B8)</w:t>
            </w:r>
          </w:p>
        </w:tc>
        <w:tc>
          <w:tcPr>
            <w:tcW w:type="dxa" w:w="2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95% CI (B9:B10)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806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$29.58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$34.15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$1.203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1.963</w:t>
            </w:r>
          </w:p>
        </w:tc>
        <w:tc>
          <w:tcPr>
            <w:tcW w:type="dxa" w:w="2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[$27.22; $31.94]</w:t>
            </w:r>
          </w:p>
        </w:tc>
      </w:tr>
    </w:tbl>
    <w:p>
      <w:pPr>
        <w:spacing w:after="40"/>
      </w:pPr>
    </w:p>
    <w:p>
      <w:pPr>
        <w:spacing w:after="100" w:line="264"/>
      </w:pPr>
      <w:r>
        <w:rPr>
          <w:rFonts w:ascii="Arial" w:cs="Arial" w:eastAsia="Arial" w:hAnsi="Arial"/>
          <w:b w:val="false"/>
          <w:bCs w:val="false"/>
        </w:rPr>
        <w:t xml:space="preserve">The average bottle costs </w:t>
      </w:r>
      <w:r>
        <w:rPr>
          <w:rFonts w:ascii="Arial" w:cs="Arial" w:eastAsia="Arial" w:hAnsi="Arial"/>
          <w:b/>
          <w:bCs/>
        </w:rPr>
        <w:t xml:space="preserve">$29.58</w:t>
      </w:r>
      <w:r>
        <w:rPr>
          <w:rFonts w:ascii="Arial" w:cs="Arial" w:eastAsia="Arial" w:hAnsi="Arial"/>
          <w:b w:val="false"/>
          <w:bCs w:val="false"/>
        </w:rPr>
        <w:t xml:space="preserve">. Prices vary widely (s = $34.15), but with 806 wines the mean is estimated precisely (SE = $1.20), giving the 95% CI </w:t>
      </w:r>
      <w:r>
        <w:rPr>
          <w:rFonts w:ascii="Arial" w:cs="Arial" w:eastAsia="Arial" w:hAnsi="Arial"/>
          <w:b/>
          <w:bCs/>
        </w:rPr>
        <w:t xml:space="preserve">[$27.22; $31.94]</w:t>
      </w:r>
      <w:r>
        <w:rPr>
          <w:rFonts w:ascii="Arial" w:cs="Arial" w:eastAsia="Arial" w:hAnsi="Arial"/>
          <w:b w:val="false"/>
          <w:bCs w:val="false"/>
        </w:rPr>
        <w:t xml:space="preserve"> = x̄ ± T.INV.2T(0.05, 805)·SE, confirmed by CONFIDENCE.T (B15). 95% of intervals built this way contain the true mean μ; the interval says nothing about individual bottles (the median is only $22).</w:t>
      </w:r>
    </w:p>
    <w:p>
      <w:pPr>
        <w:spacing w:after="40" w:line="264"/>
      </w:pPr>
      <w:r>
        <w:rPr>
          <w:rFonts w:ascii="Arial" w:cs="Arial" w:eastAsia="Arial" w:hAnsi="Arial"/>
          <w:b/>
          <w:bCs/>
        </w:rPr>
        <w:t xml:space="preserve">Test of H</w:t>
      </w:r>
      <w:r>
        <w:rPr>
          <w:rFonts w:ascii="Arial" w:cs="Arial" w:eastAsia="Arial" w:hAnsi="Arial"/>
          <w:b/>
          <w:bCs/>
          <w:vertAlign w:val="subscript"/>
        </w:rPr>
        <w:t xml:space="preserve">0</w:t>
      </w:r>
      <w:r>
        <w:rPr>
          <w:rFonts w:ascii="Arial" w:cs="Arial" w:eastAsia="Arial" w:hAnsi="Arial"/>
          <w:b/>
          <w:bCs/>
        </w:rPr>
        <w:t xml:space="preserve">: μ = 25</w:t>
      </w:r>
    </w:p>
    <w:p>
      <w:pPr>
        <w:spacing w:after="40" w:line="252"/>
        <w:ind w:left="280" w:hanging="280"/>
      </w:pPr>
      <w:r>
        <w:rPr>
          <w:rFonts w:ascii="Arial" w:cs="Arial" w:eastAsia="Arial" w:hAnsi="Arial"/>
          <w:b/>
          <w:bCs/>
        </w:rPr>
        <w:t xml:space="preserve">(1)</w:t>
      </w:r>
      <w:r>
        <w:rPr>
          <w:rFonts w:ascii="Arial" w:cs="Arial" w:eastAsia="Arial" w:hAnsi="Arial"/>
          <w:b w:val="false"/>
          <w:bCs w:val="false"/>
        </w:rPr>
        <w:t xml:space="preserve"> Hypotheses: H</w:t>
      </w:r>
      <w:r>
        <w:rPr>
          <w:rFonts w:ascii="Arial" w:cs="Arial" w:eastAsia="Arial" w:hAnsi="Arial"/>
          <w:b w:val="false"/>
          <w:bCs w:val="false"/>
          <w:vertAlign w:val="subscript"/>
        </w:rPr>
        <w:t xml:space="preserve">0</w:t>
      </w:r>
      <w:r>
        <w:rPr>
          <w:rFonts w:ascii="Arial" w:cs="Arial" w:eastAsia="Arial" w:hAnsi="Arial"/>
          <w:b w:val="false"/>
          <w:bCs w:val="false"/>
        </w:rPr>
        <w:t xml:space="preserve">: μ = 25; H</w:t>
      </w:r>
      <w:r>
        <w:rPr>
          <w:rFonts w:ascii="Arial" w:cs="Arial" w:eastAsia="Arial" w:hAnsi="Arial"/>
          <w:b w:val="false"/>
          <w:bCs w:val="false"/>
          <w:vertAlign w:val="subscript"/>
        </w:rPr>
        <w:t xml:space="preserve">1</w:t>
      </w:r>
      <w:r>
        <w:rPr>
          <w:rFonts w:ascii="Arial" w:cs="Arial" w:eastAsia="Arial" w:hAnsi="Arial"/>
          <w:b w:val="false"/>
          <w:bCs w:val="false"/>
        </w:rPr>
        <w:t xml:space="preserve">: μ ≠ 25; α = 0.05.</w:t>
      </w:r>
    </w:p>
    <w:p>
      <w:pPr>
        <w:spacing w:after="40" w:line="252"/>
        <w:ind w:left="280" w:hanging="280"/>
      </w:pPr>
      <w:r>
        <w:rPr>
          <w:rFonts w:ascii="Arial" w:cs="Arial" w:eastAsia="Arial" w:hAnsi="Arial"/>
          <w:b/>
          <w:bCs/>
        </w:rPr>
        <w:t xml:space="preserve">(2)</w:t>
      </w:r>
      <w:r>
        <w:rPr>
          <w:rFonts w:ascii="Arial" w:cs="Arial" w:eastAsia="Arial" w:hAnsi="Arial"/>
          <w:b w:val="false"/>
          <w:bCs w:val="false"/>
        </w:rPr>
        <w:t xml:space="preserve"> Test statistic: one-sample t = (x̄ − 25)/SE = (29.58 − 25)/1.203 = </w:t>
      </w:r>
      <w:r>
        <w:rPr>
          <w:rFonts w:ascii="Arial" w:cs="Arial" w:eastAsia="Arial" w:hAnsi="Arial"/>
          <w:b/>
          <w:bCs/>
        </w:rPr>
        <w:t xml:space="preserve">3.81</w:t>
      </w:r>
      <w:r>
        <w:rPr>
          <w:rFonts w:ascii="Arial" w:cs="Arial" w:eastAsia="Arial" w:hAnsi="Arial"/>
          <w:b w:val="false"/>
          <w:bCs w:val="false"/>
        </w:rPr>
        <w:t xml:space="preserve">, df = 805 (B12).</w:t>
      </w:r>
    </w:p>
    <w:p>
      <w:pPr>
        <w:spacing w:after="40" w:line="252"/>
        <w:ind w:left="280" w:hanging="280"/>
      </w:pPr>
      <w:r>
        <w:rPr>
          <w:rFonts w:ascii="Arial" w:cs="Arial" w:eastAsia="Arial" w:hAnsi="Arial"/>
          <w:b/>
          <w:bCs/>
        </w:rPr>
        <w:t xml:space="preserve">(3)</w:t>
      </w:r>
      <w:r>
        <w:rPr>
          <w:rFonts w:ascii="Arial" w:cs="Arial" w:eastAsia="Arial" w:hAnsi="Arial"/>
          <w:b w:val="false"/>
          <w:bCs w:val="false"/>
        </w:rPr>
        <w:t xml:space="preserve"> p-value = T.DIST.2T(3.81, 805) = </w:t>
      </w:r>
      <w:r>
        <w:rPr>
          <w:rFonts w:ascii="Arial" w:cs="Arial" w:eastAsia="Arial" w:hAnsi="Arial"/>
          <w:b/>
          <w:bCs/>
        </w:rPr>
        <w:t xml:space="preserve">0.00015</w:t>
      </w:r>
      <w:r>
        <w:rPr>
          <w:rFonts w:ascii="Arial" w:cs="Arial" w:eastAsia="Arial" w:hAnsi="Arial"/>
          <w:b w:val="false"/>
          <w:bCs w:val="false"/>
        </w:rPr>
        <w:t xml:space="preserve"> (B13) &lt; 0.05.</w:t>
      </w:r>
    </w:p>
    <w:p>
      <w:pPr>
        <w:spacing w:after="40" w:line="252"/>
        <w:ind w:left="280" w:hanging="280"/>
      </w:pPr>
      <w:r>
        <w:rPr>
          <w:rFonts w:ascii="Arial" w:cs="Arial" w:eastAsia="Arial" w:hAnsi="Arial"/>
          <w:b/>
          <w:bCs/>
        </w:rPr>
        <w:t xml:space="preserve">(4)</w:t>
      </w:r>
      <w:r>
        <w:rPr>
          <w:rFonts w:ascii="Arial" w:cs="Arial" w:eastAsia="Arial" w:hAnsi="Arial"/>
          <w:b w:val="false"/>
          <w:bCs w:val="false"/>
        </w:rPr>
        <w:t xml:space="preserve"> Decision: </w:t>
      </w:r>
      <w:r>
        <w:rPr>
          <w:rFonts w:ascii="Arial" w:cs="Arial" w:eastAsia="Arial" w:hAnsi="Arial"/>
          <w:b/>
          <w:bCs/>
        </w:rPr>
        <w:t xml:space="preserve">reject H</w:t>
      </w:r>
      <w:r>
        <w:rPr>
          <w:rFonts w:ascii="Arial" w:cs="Arial" w:eastAsia="Arial" w:hAnsi="Arial"/>
          <w:b/>
          <w:bCs/>
          <w:vertAlign w:val="subscript"/>
        </w:rPr>
        <w:t xml:space="preserve">0</w:t>
      </w:r>
      <w:r>
        <w:rPr>
          <w:rFonts w:ascii="Arial" w:cs="Arial" w:eastAsia="Arial" w:hAnsi="Arial"/>
          <w:b w:val="false"/>
          <w:bCs w:val="false"/>
        </w:rPr>
        <w:t xml:space="preserve"> (B14). The mean price is significantly above $25, consistent with $25 lying outside the 95% CI.</w:t>
      </w:r>
    </w:p>
    <w:p>
      <w:pPr>
        <w:spacing w:after="40"/>
      </w:pPr>
    </w:p>
    <w:p>
      <w:pPr>
        <w:spacing w:after="100" w:line="264"/>
      </w:pPr>
      <w:r>
        <w:rPr>
          <w:rFonts w:ascii="Arial" w:cs="Arial" w:eastAsia="Arial" w:hAnsi="Arial"/>
          <w:b/>
          <w:bCs/>
        </w:rPr>
        <w:t xml:space="preserve">Why the mean estimates β</w:t>
      </w:r>
      <w:r>
        <w:rPr>
          <w:rFonts w:ascii="Arial" w:cs="Arial" w:eastAsia="Arial" w:hAnsi="Arial"/>
          <w:b/>
          <w:bCs/>
          <w:vertAlign w:val="subscript"/>
        </w:rPr>
        <w:t xml:space="preserve">0</w:t>
      </w:r>
      <w:r>
        <w:rPr>
          <w:rFonts w:ascii="Arial" w:cs="Arial" w:eastAsia="Arial" w:hAnsi="Arial"/>
          <w:b/>
          <w:bCs/>
        </w:rPr>
        <w:t xml:space="preserve">:</w:t>
      </w:r>
      <w:r>
        <w:rPr>
          <w:rFonts w:ascii="Arial" w:cs="Arial" w:eastAsia="Arial" w:hAnsi="Arial"/>
          <w:b w:val="false"/>
          <w:bCs w:val="false"/>
        </w:rPr>
        <w:t xml:space="preserve"> with no X the model predicts the same value β</w:t>
      </w:r>
      <w:r>
        <w:rPr>
          <w:rFonts w:ascii="Arial" w:cs="Arial" w:eastAsia="Arial" w:hAnsi="Arial"/>
          <w:b w:val="false"/>
          <w:bCs w:val="false"/>
          <w:vertAlign w:val="subscript"/>
        </w:rPr>
        <w:t xml:space="preserve">0</w:t>
      </w:r>
      <w:r>
        <w:rPr>
          <w:rFonts w:ascii="Arial" w:cs="Arial" w:eastAsia="Arial" w:hAnsi="Arial"/>
          <w:b w:val="false"/>
          <w:bCs w:val="false"/>
        </w:rPr>
        <w:t xml:space="preserve"> for every wine; OLS chooses β</w:t>
      </w:r>
      <w:r>
        <w:rPr>
          <w:rFonts w:ascii="Arial" w:cs="Arial" w:eastAsia="Arial" w:hAnsi="Arial"/>
          <w:b w:val="false"/>
          <w:bCs w:val="false"/>
          <w:vertAlign w:val="subscript"/>
        </w:rPr>
        <w:t xml:space="preserve">0</w:t>
      </w:r>
      <w:r>
        <w:rPr>
          <w:rFonts w:ascii="Arial" w:cs="Arial" w:eastAsia="Arial" w:hAnsi="Arial"/>
          <w:b w:val="false"/>
          <w:bCs w:val="false"/>
        </w:rPr>
        <w:t xml:space="preserve"> to minimise Σ(Price − β</w:t>
      </w:r>
      <w:r>
        <w:rPr>
          <w:rFonts w:ascii="Arial" w:cs="Arial" w:eastAsia="Arial" w:hAnsi="Arial"/>
          <w:b w:val="false"/>
          <w:bCs w:val="false"/>
          <w:vertAlign w:val="subscript"/>
        </w:rPr>
        <w:t xml:space="preserve">0</w:t>
      </w:r>
      <w:r>
        <w:rPr>
          <w:rFonts w:ascii="Arial" w:cs="Arial" w:eastAsia="Arial" w:hAnsi="Arial"/>
          <w:b w:val="false"/>
          <w:bCs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vertAlign w:val="superscript"/>
        </w:rPr>
        <w:t xml:space="preserve">2</w:t>
      </w:r>
      <w:r>
        <w:rPr>
          <w:rFonts w:ascii="Arial" w:cs="Arial" w:eastAsia="Arial" w:hAnsi="Arial"/>
          <w:b w:val="false"/>
          <w:bCs w:val="false"/>
        </w:rPr>
        <w:t xml:space="preserve">, and setting the derivative −2Σ(Price − β</w:t>
      </w:r>
      <w:r>
        <w:rPr>
          <w:rFonts w:ascii="Arial" w:cs="Arial" w:eastAsia="Arial" w:hAnsi="Arial"/>
          <w:b w:val="false"/>
          <w:bCs w:val="false"/>
          <w:vertAlign w:val="subscript"/>
        </w:rPr>
        <w:t xml:space="preserve">0</w:t>
      </w:r>
      <w:r>
        <w:rPr>
          <w:rFonts w:ascii="Arial" w:cs="Arial" w:eastAsia="Arial" w:hAnsi="Arial"/>
          <w:b w:val="false"/>
          <w:bCs w:val="false"/>
        </w:rPr>
        <w:t xml:space="preserve">) to zero gives β</w:t>
      </w:r>
      <w:r>
        <w:rPr>
          <w:rFonts w:ascii="Arial" w:cs="Arial" w:eastAsia="Arial" w:hAnsi="Arial"/>
          <w:b w:val="false"/>
          <w:bCs w:val="false"/>
          <w:vertAlign w:val="subscript"/>
        </w:rPr>
        <w:t xml:space="preserve">0</w:t>
      </w:r>
      <w:r>
        <w:rPr>
          <w:rFonts w:ascii="Arial" w:cs="Arial" w:eastAsia="Arial" w:hAnsi="Arial"/>
          <w:b w:val="false"/>
          <w:bCs w:val="false"/>
        </w:rPr>
        <w:t xml:space="preserve"> = x̄, so b</w:t>
      </w:r>
      <w:r>
        <w:rPr>
          <w:rFonts w:ascii="Arial" w:cs="Arial" w:eastAsia="Arial" w:hAnsi="Arial"/>
          <w:b w:val="false"/>
          <w:bCs w:val="false"/>
          <w:vertAlign w:val="subscript"/>
        </w:rPr>
        <w:t xml:space="preserve">0</w:t>
      </w:r>
      <w:r>
        <w:rPr>
          <w:rFonts w:ascii="Arial" w:cs="Arial" w:eastAsia="Arial" w:hAnsi="Arial"/>
          <w:b w:val="false"/>
          <w:bCs w:val="false"/>
        </w:rPr>
        <w:t xml:space="preserve"> = $29.58.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B2 · Continuous Y, one dummy X  (Price = β</w:t>
      </w:r>
      <w:r>
        <w:rPr>
          <w:rFonts w:ascii="Arial" w:cs="Arial" w:eastAsia="Arial" w:hAnsi="Arial"/>
          <w:b/>
          <w:bCs/>
          <w:vertAlign w:val="subscript"/>
        </w:rPr>
        <w:t xml:space="preserve">0</w:t>
      </w:r>
      <w:r>
        <w:rPr>
          <w:rFonts w:ascii="Arial" w:cs="Arial" w:eastAsia="Arial" w:hAnsi="Arial"/>
          <w:b/>
          <w:bCs/>
        </w:rPr>
        <w:t xml:space="preserve"> + β</w:t>
      </w:r>
      <w:r>
        <w:rPr>
          <w:rFonts w:ascii="Arial" w:cs="Arial" w:eastAsia="Arial" w:hAnsi="Arial"/>
          <w:b/>
          <w:bCs/>
          <w:vertAlign w:val="subscript"/>
        </w:rPr>
        <w:t xml:space="preserve">1</w:t>
      </w:r>
      <w:r>
        <w:rPr>
          <w:rFonts w:ascii="Arial" w:cs="Arial" w:eastAsia="Arial" w:hAnsi="Arial"/>
          <w:b/>
          <w:bCs/>
        </w:rPr>
        <w:t xml:space="preserve">·Napa + ε)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6"/>
        <w:gridCol w:w="2300"/>
        <w:gridCol w:w="2300"/>
        <w:gridCol w:w="2400"/>
      </w:tblGrid>
      <w:tr>
        <w:trPr>
          <w:tblHeader/>
        </w:trPr>
        <w:tc>
          <w:tcPr>
            <w:tcW w:type="dxa" w:w="2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Group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 (B21:C21)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Mean price (B22:C22)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Variance (B23:C23)</w:t>
            </w:r>
          </w:p>
        </w:tc>
      </w:tr>
      <w:tr>
        <w:trPr>
          <w:cantSplit/>
        </w:trPr>
        <w:tc>
          <w:tcPr>
            <w:tcW w:type="dxa" w:w="2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Napa (Napa = 1)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287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$43.06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2,689.99</w:t>
            </w:r>
          </w:p>
        </w:tc>
      </w:tr>
      <w:tr>
        <w:trPr>
          <w:cantSplit/>
        </w:trPr>
        <w:tc>
          <w:tcPr>
            <w:tcW w:type="dxa" w:w="2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Other (Napa = 0)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519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$22.13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171.31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B2.1 · Welch t-test (unequal variances)</w:t>
      </w:r>
    </w:p>
    <w:p>
      <w:pPr>
        <w:spacing w:after="40" w:line="252"/>
        <w:ind w:left="280" w:hanging="280"/>
      </w:pPr>
      <w:r>
        <w:rPr>
          <w:rFonts w:ascii="Arial" w:cs="Arial" w:eastAsia="Arial" w:hAnsi="Arial"/>
          <w:b/>
          <w:bCs/>
        </w:rPr>
        <w:t xml:space="preserve">(1)</w:t>
      </w:r>
      <w:r>
        <w:rPr>
          <w:rFonts w:ascii="Arial" w:cs="Arial" w:eastAsia="Arial" w:hAnsi="Arial"/>
          <w:b w:val="false"/>
          <w:bCs w:val="false"/>
        </w:rPr>
        <w:t xml:space="preserve"> Hypotheses: H</w:t>
      </w:r>
      <w:r>
        <w:rPr>
          <w:rFonts w:ascii="Arial" w:cs="Arial" w:eastAsia="Arial" w:hAnsi="Arial"/>
          <w:b w:val="false"/>
          <w:bCs w:val="false"/>
          <w:vertAlign w:val="subscript"/>
        </w:rPr>
        <w:t xml:space="preserve">0</w:t>
      </w:r>
      <w:r>
        <w:rPr>
          <w:rFonts w:ascii="Arial" w:cs="Arial" w:eastAsia="Arial" w:hAnsi="Arial"/>
          <w:b w:val="false"/>
          <w:bCs w:val="false"/>
        </w:rPr>
        <w:t xml:space="preserve">: μ</w:t>
      </w:r>
      <w:r>
        <w:rPr>
          <w:rFonts w:ascii="Arial" w:cs="Arial" w:eastAsia="Arial" w:hAnsi="Arial"/>
          <w:b w:val="false"/>
          <w:bCs w:val="false"/>
          <w:vertAlign w:val="subscript"/>
        </w:rPr>
        <w:t xml:space="preserve">Napa</w:t>
      </w:r>
      <w:r>
        <w:rPr>
          <w:rFonts w:ascii="Arial" w:cs="Arial" w:eastAsia="Arial" w:hAnsi="Arial"/>
          <w:b w:val="false"/>
          <w:bCs w:val="false"/>
        </w:rPr>
        <w:t xml:space="preserve"> = μ</w:t>
      </w:r>
      <w:r>
        <w:rPr>
          <w:rFonts w:ascii="Arial" w:cs="Arial" w:eastAsia="Arial" w:hAnsi="Arial"/>
          <w:b w:val="false"/>
          <w:bCs w:val="false"/>
          <w:vertAlign w:val="subscript"/>
        </w:rPr>
        <w:t xml:space="preserve">Other</w:t>
      </w:r>
      <w:r>
        <w:rPr>
          <w:rFonts w:ascii="Arial" w:cs="Arial" w:eastAsia="Arial" w:hAnsi="Arial"/>
          <w:b w:val="false"/>
          <w:bCs w:val="false"/>
        </w:rPr>
        <w:t xml:space="preserve">; H</w:t>
      </w:r>
      <w:r>
        <w:rPr>
          <w:rFonts w:ascii="Arial" w:cs="Arial" w:eastAsia="Arial" w:hAnsi="Arial"/>
          <w:b w:val="false"/>
          <w:bCs w:val="false"/>
          <w:vertAlign w:val="subscript"/>
        </w:rPr>
        <w:t xml:space="preserve">1</w:t>
      </w:r>
      <w:r>
        <w:rPr>
          <w:rFonts w:ascii="Arial" w:cs="Arial" w:eastAsia="Arial" w:hAnsi="Arial"/>
          <w:b w:val="false"/>
          <w:bCs w:val="false"/>
        </w:rPr>
        <w:t xml:space="preserve">: μ</w:t>
      </w:r>
      <w:r>
        <w:rPr>
          <w:rFonts w:ascii="Arial" w:cs="Arial" w:eastAsia="Arial" w:hAnsi="Arial"/>
          <w:b w:val="false"/>
          <w:bCs w:val="false"/>
          <w:vertAlign w:val="subscript"/>
        </w:rPr>
        <w:t xml:space="preserve">Napa</w:t>
      </w:r>
      <w:r>
        <w:rPr>
          <w:rFonts w:ascii="Arial" w:cs="Arial" w:eastAsia="Arial" w:hAnsi="Arial"/>
          <w:b w:val="false"/>
          <w:bCs w:val="false"/>
        </w:rPr>
        <w:t xml:space="preserve"> ≠ μ</w:t>
      </w:r>
      <w:r>
        <w:rPr>
          <w:rFonts w:ascii="Arial" w:cs="Arial" w:eastAsia="Arial" w:hAnsi="Arial"/>
          <w:b w:val="false"/>
          <w:bCs w:val="false"/>
          <w:vertAlign w:val="subscript"/>
        </w:rPr>
        <w:t xml:space="preserve">Other</w:t>
      </w:r>
      <w:r>
        <w:rPr>
          <w:rFonts w:ascii="Arial" w:cs="Arial" w:eastAsia="Arial" w:hAnsi="Arial"/>
          <w:b w:val="false"/>
          <w:bCs w:val="false"/>
        </w:rPr>
        <w:t xml:space="preserve">; α = 0.05.</w:t>
      </w:r>
    </w:p>
    <w:p>
      <w:pPr>
        <w:spacing w:after="40" w:line="252"/>
        <w:ind w:left="280" w:hanging="280"/>
      </w:pPr>
      <w:r>
        <w:rPr>
          <w:rFonts w:ascii="Arial" w:cs="Arial" w:eastAsia="Arial" w:hAnsi="Arial"/>
          <w:b/>
          <w:bCs/>
        </w:rPr>
        <w:t xml:space="preserve">(2)</w:t>
      </w:r>
      <w:r>
        <w:rPr>
          <w:rFonts w:ascii="Arial" w:cs="Arial" w:eastAsia="Arial" w:hAnsi="Arial"/>
          <w:b w:val="false"/>
          <w:bCs w:val="false"/>
        </w:rPr>
        <w:t xml:space="preserve"> Test statistic: Welch t = (43.06 − 22.13) / √(2,689.99/287 + 171.31/519) = 20.93/3.115 = </w:t>
      </w:r>
      <w:r>
        <w:rPr>
          <w:rFonts w:ascii="Arial" w:cs="Arial" w:eastAsia="Arial" w:hAnsi="Arial"/>
          <w:b/>
          <w:bCs/>
        </w:rPr>
        <w:t xml:space="preserve">6.72</w:t>
      </w:r>
      <w:r>
        <w:rPr>
          <w:rFonts w:ascii="Arial" w:cs="Arial" w:eastAsia="Arial" w:hAnsi="Arial"/>
          <w:b w:val="false"/>
          <w:bCs w:val="false"/>
        </w:rPr>
        <w:t xml:space="preserve">, df = 306.3 (B26:B29).</w:t>
      </w:r>
    </w:p>
    <w:p>
      <w:pPr>
        <w:spacing w:after="40" w:line="252"/>
        <w:ind w:left="280" w:hanging="280"/>
      </w:pPr>
      <w:r>
        <w:rPr>
          <w:rFonts w:ascii="Arial" w:cs="Arial" w:eastAsia="Arial" w:hAnsi="Arial"/>
          <w:b/>
          <w:bCs/>
        </w:rPr>
        <w:t xml:space="preserve">(3)</w:t>
      </w:r>
      <w:r>
        <w:rPr>
          <w:rFonts w:ascii="Arial" w:cs="Arial" w:eastAsia="Arial" w:hAnsi="Arial"/>
          <w:b w:val="false"/>
          <w:bCs w:val="false"/>
        </w:rPr>
        <w:t xml:space="preserve"> p-value = </w:t>
      </w:r>
      <w:r>
        <w:rPr>
          <w:rFonts w:ascii="Arial" w:cs="Arial" w:eastAsia="Arial" w:hAnsi="Arial"/>
          <w:b/>
          <w:bCs/>
        </w:rPr>
        <w:t xml:space="preserve">8.89×10</w:t>
      </w:r>
      <w:r>
        <w:rPr>
          <w:rFonts w:ascii="Arial" w:cs="Arial" w:eastAsia="Arial" w:hAnsi="Arial"/>
          <w:b/>
          <w:bCs/>
          <w:vertAlign w:val="superscript"/>
        </w:rPr>
        <w:t xml:space="preserve">−11</w:t>
      </w:r>
      <w:r>
        <w:rPr>
          <w:rFonts w:ascii="Arial" w:cs="Arial" w:eastAsia="Arial" w:hAnsi="Arial"/>
          <w:b w:val="false"/>
          <w:bCs w:val="false"/>
        </w:rPr>
        <w:t xml:space="preserve"> (B30, T.DIST.2T); Excel's T.TEST type 3 gives 8.87×10</w:t>
      </w:r>
      <w:r>
        <w:rPr>
          <w:rFonts w:ascii="Arial" w:cs="Arial" w:eastAsia="Arial" w:hAnsi="Arial"/>
          <w:b w:val="false"/>
          <w:bCs w:val="false"/>
          <w:vertAlign w:val="superscript"/>
        </w:rPr>
        <w:t xml:space="preserve">−11</w:t>
      </w:r>
      <w:r>
        <w:rPr>
          <w:rFonts w:ascii="Arial" w:cs="Arial" w:eastAsia="Arial" w:hAnsi="Arial"/>
          <w:b w:val="false"/>
          <w:bCs w:val="false"/>
        </w:rPr>
        <w:t xml:space="preserve"> (B31); p &lt; 0.05.</w:t>
      </w:r>
    </w:p>
    <w:p>
      <w:pPr>
        <w:spacing w:after="40" w:line="252"/>
        <w:ind w:left="280" w:hanging="280"/>
      </w:pPr>
      <w:r>
        <w:rPr>
          <w:rFonts w:ascii="Arial" w:cs="Arial" w:eastAsia="Arial" w:hAnsi="Arial"/>
          <w:b/>
          <w:bCs/>
        </w:rPr>
        <w:t xml:space="preserve">(4)</w:t>
      </w:r>
      <w:r>
        <w:rPr>
          <w:rFonts w:ascii="Arial" w:cs="Arial" w:eastAsia="Arial" w:hAnsi="Arial"/>
          <w:b w:val="false"/>
          <w:bCs w:val="false"/>
        </w:rPr>
        <w:t xml:space="preserve"> Decision: </w:t>
      </w:r>
      <w:r>
        <w:rPr>
          <w:rFonts w:ascii="Arial" w:cs="Arial" w:eastAsia="Arial" w:hAnsi="Arial"/>
          <w:b/>
          <w:bCs/>
        </w:rPr>
        <w:t xml:space="preserve">reject H</w:t>
      </w:r>
      <w:r>
        <w:rPr>
          <w:rFonts w:ascii="Arial" w:cs="Arial" w:eastAsia="Arial" w:hAnsi="Arial"/>
          <w:b/>
          <w:bCs/>
          <w:vertAlign w:val="subscript"/>
        </w:rPr>
        <w:t xml:space="preserve">0</w:t>
      </w:r>
      <w:r>
        <w:rPr>
          <w:rFonts w:ascii="Arial" w:cs="Arial" w:eastAsia="Arial" w:hAnsi="Arial"/>
          <w:b w:val="false"/>
          <w:bCs w:val="false"/>
        </w:rPr>
        <w:t xml:space="preserve"> (B32).</w:t>
      </w:r>
    </w:p>
    <w:p>
      <w:pPr>
        <w:spacing w:after="40"/>
      </w:pPr>
    </w:p>
    <w:p>
      <w:pPr>
        <w:spacing w:after="100" w:line="264"/>
      </w:pPr>
      <w:r>
        <w:rPr>
          <w:rFonts w:ascii="Arial" w:cs="Arial" w:eastAsia="Arial" w:hAnsi="Arial"/>
          <w:b w:val="false"/>
          <w:bCs w:val="false"/>
        </w:rPr>
        <w:t xml:space="preserve">Napa wines cost on average </w:t>
      </w:r>
      <w:r>
        <w:rPr>
          <w:rFonts w:ascii="Arial" w:cs="Arial" w:eastAsia="Arial" w:hAnsi="Arial"/>
          <w:b/>
          <w:bCs/>
        </w:rPr>
        <w:t xml:space="preserve">$20.93 more per bottle</w:t>
      </w:r>
      <w:r>
        <w:rPr>
          <w:rFonts w:ascii="Arial" w:cs="Arial" w:eastAsia="Arial" w:hAnsi="Arial"/>
          <w:b w:val="false"/>
          <w:bCs w:val="false"/>
        </w:rPr>
        <w:t xml:space="preserve"> than other wines, far beyond sampling noise. Welch's test is the right choice because the Napa variance is about 16 times larger. This is a raw gap: score, age, volume and variety are not held constant, so it is not yet the premium of the Napa name (see B5 and Part C).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B2.2 · Regression of Price on the Napa dummy</w:t>
      </w:r>
    </w:p>
    <w:p>
      <w:pPr>
        <w:spacing w:after="60" w:line="264"/>
      </w:pPr>
      <w:r>
        <w:rPr>
          <w:rFonts w:ascii="Arial" w:cs="Arial" w:eastAsia="Arial" w:hAnsi="Arial"/>
          <w:b w:val="false"/>
          <w:bCs w:val="false"/>
        </w:rPr>
        <w:t xml:space="preserve">LINEST (K42:L46): </w:t>
      </w:r>
      <w:r>
        <w:rPr>
          <w:rFonts w:ascii="Arial" w:cs="Arial" w:eastAsia="Arial" w:hAnsi="Arial"/>
          <w:b/>
          <w:bCs/>
        </w:rPr>
        <w:t xml:space="preserve">Predicted Price = 22.13 + 20.93·Napa</w:t>
      </w:r>
      <w:r>
        <w:rPr>
          <w:rFonts w:ascii="Arial" w:cs="Arial" w:eastAsia="Arial" w:hAnsi="Arial"/>
          <w:b w:val="false"/>
          <w:bCs w:val="false"/>
        </w:rPr>
        <w:t xml:space="preserve"> (R</w:t>
      </w:r>
      <w:r>
        <w:rPr>
          <w:rFonts w:ascii="Arial" w:cs="Arial" w:eastAsia="Arial" w:hAnsi="Arial"/>
          <w:b w:val="false"/>
          <w:bCs w:val="false"/>
          <w:vertAlign w:val="superscript"/>
        </w:rPr>
        <w:t xml:space="preserve">2</w:t>
      </w:r>
      <w:r>
        <w:rPr>
          <w:rFonts w:ascii="Arial" w:cs="Arial" w:eastAsia="Arial" w:hAnsi="Arial"/>
          <w:b w:val="false"/>
          <w:bCs w:val="false"/>
        </w:rPr>
        <w:t xml:space="preserve"> = 0.086).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6"/>
        <w:gridCol w:w="1750"/>
        <w:gridCol w:w="1750"/>
        <w:gridCol w:w="1500"/>
        <w:gridCol w:w="2000"/>
      </w:tblGrid>
      <w:tr>
        <w:trPr>
          <w:tblHeader/>
        </w:trPr>
        <w:tc>
          <w:tcPr>
            <w:tcW w:type="dxa" w:w="2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Variable (A53:A54)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Coefficient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Std. error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 Stat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p-value</w:t>
            </w:r>
          </w:p>
        </w:tc>
      </w:tr>
      <w:tr>
        <w:trPr>
          <w:cantSplit/>
        </w:trPr>
        <w:tc>
          <w:tcPr>
            <w:tcW w:type="dxa" w:w="2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Intercept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22.13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1.434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15.43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3.04×10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vertAlign w:val="superscript"/>
              </w:rPr>
              <w:t xml:space="preserve">−47</w:t>
            </w:r>
          </w:p>
        </w:tc>
      </w:tr>
      <w:tr>
        <w:trPr>
          <w:cantSplit/>
        </w:trPr>
        <w:tc>
          <w:tcPr>
            <w:tcW w:type="dxa" w:w="2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Napa valley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20.93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2.403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8.71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1.71×10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vertAlign w:val="superscript"/>
              </w:rPr>
              <w:t xml:space="preserve">−17</w:t>
            </w:r>
          </w:p>
        </w:tc>
      </w:tr>
    </w:tbl>
    <w:p>
      <w:pPr>
        <w:spacing w:after="40"/>
      </w:pPr>
    </w:p>
    <w:p>
      <w:pPr>
        <w:spacing w:after="100" w:line="264"/>
      </w:pPr>
      <w:r>
        <w:rPr>
          <w:rFonts w:ascii="Arial" w:cs="Arial" w:eastAsia="Arial" w:hAnsi="Arial"/>
          <w:b w:val="false"/>
          <w:bCs w:val="false"/>
        </w:rPr>
        <w:t xml:space="preserve">The intercept equals the mean price of non-Napa wines ($22.13, C22) and the slope equals 43.06 − 22.13 = 20.93, the difference between the two group means (B26); check cells B56 and B57 are both 0. The model predicts b</w:t>
      </w:r>
      <w:r>
        <w:rPr>
          <w:rFonts w:ascii="Arial" w:cs="Arial" w:eastAsia="Arial" w:hAnsi="Arial"/>
          <w:b w:val="false"/>
          <w:bCs w:val="false"/>
          <w:vertAlign w:val="subscript"/>
        </w:rPr>
        <w:t xml:space="preserve">0</w:t>
      </w:r>
      <w:r>
        <w:rPr>
          <w:rFonts w:ascii="Arial" w:cs="Arial" w:eastAsia="Arial" w:hAnsi="Arial"/>
          <w:b w:val="false"/>
          <w:bCs w:val="false"/>
        </w:rPr>
        <w:t xml:space="preserve"> when Napa = 0 and b</w:t>
      </w:r>
      <w:r>
        <w:rPr>
          <w:rFonts w:ascii="Arial" w:cs="Arial" w:eastAsia="Arial" w:hAnsi="Arial"/>
          <w:b w:val="false"/>
          <w:bCs w:val="false"/>
          <w:vertAlign w:val="subscript"/>
        </w:rPr>
        <w:t xml:space="preserve">0</w:t>
      </w:r>
      <w:r>
        <w:rPr>
          <w:rFonts w:ascii="Arial" w:cs="Arial" w:eastAsia="Arial" w:hAnsi="Arial"/>
          <w:b w:val="false"/>
          <w:bCs w:val="false"/>
        </w:rPr>
        <w:t xml:space="preserve"> + b</w:t>
      </w:r>
      <w:r>
        <w:rPr>
          <w:rFonts w:ascii="Arial" w:cs="Arial" w:eastAsia="Arial" w:hAnsi="Arial"/>
          <w:b w:val="false"/>
          <w:bCs w:val="false"/>
          <w:vertAlign w:val="subscript"/>
        </w:rPr>
        <w:t xml:space="preserve">1</w:t>
      </w:r>
      <w:r>
        <w:rPr>
          <w:rFonts w:ascii="Arial" w:cs="Arial" w:eastAsia="Arial" w:hAnsi="Arial"/>
          <w:b w:val="false"/>
          <w:bCs w:val="false"/>
        </w:rPr>
        <w:t xml:space="preserve"> when Napa = 1, and OLS sets each prediction to its group mean. The Napa dummy alone explains only 8.6% of the variation in price.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B2.3 · Which t-test does the regression reproduce?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6"/>
        <w:gridCol w:w="2200"/>
        <w:gridCol w:w="2200"/>
        <w:gridCol w:w="2200"/>
      </w:tblGrid>
      <w:tr>
        <w:trPr>
          <w:tblHeader/>
        </w:trPr>
        <w:tc>
          <w:tcPr>
            <w:tcW w:type="dxa" w:w="2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40"/>
              <w:jc w:val="left"/>
            </w:pP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Welch t-test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Regression slope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Pooled t-test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Standard error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3.115 (B27)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2.403 (C54)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2.403 (B36)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 statistic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6.72 (B28)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8.71 (D54)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8.71 (B37)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Degrees of freedom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306.3 (B29)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804 (B47)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804 (B38)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p-value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8.89×10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vertAlign w:val="superscript"/>
              </w:rPr>
              <w:t xml:space="preserve">−11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(B30)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1.71×10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vertAlign w:val="superscript"/>
              </w:rPr>
              <w:t xml:space="preserve">−17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(E54)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1.71×10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vertAlign w:val="superscript"/>
              </w:rPr>
              <w:t xml:space="preserve">−17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(B39)</w:t>
            </w:r>
          </w:p>
        </w:tc>
      </w:tr>
    </w:tbl>
    <w:p>
      <w:pPr>
        <w:spacing w:after="40"/>
      </w:pPr>
    </w:p>
    <w:p>
      <w:pPr>
        <w:spacing w:after="100" w:line="264"/>
      </w:pPr>
      <w:r>
        <w:rPr>
          <w:rFonts w:ascii="Arial" w:cs="Arial" w:eastAsia="Arial" w:hAnsi="Arial"/>
          <w:b w:val="false"/>
          <w:bCs w:val="false"/>
        </w:rPr>
        <w:t xml:space="preserve">The slope's t equals the </w:t>
      </w:r>
      <w:r>
        <w:rPr>
          <w:rFonts w:ascii="Arial" w:cs="Arial" w:eastAsia="Arial" w:hAnsi="Arial"/>
          <w:b/>
          <w:bCs/>
        </w:rPr>
        <w:t xml:space="preserve">pooled (equal-variance) two-sample t-test</w:t>
      </w:r>
      <w:r>
        <w:rPr>
          <w:rFonts w:ascii="Arial" w:cs="Arial" w:eastAsia="Arial" w:hAnsi="Arial"/>
          <w:b w:val="false"/>
          <w:bCs w:val="false"/>
        </w:rPr>
        <w:t xml:space="preserve"> (T.TEST type 2; check cell B58 = 0), not Welch's. OLS assumes one common error variance for every wine (homoskedasticity) and estimates it from all residuals: SSE/(n − 2) = 32.67</w:t>
      </w:r>
      <w:r>
        <w:rPr>
          <w:rFonts w:ascii="Arial" w:cs="Arial" w:eastAsia="Arial" w:hAnsi="Arial"/>
          <w:b w:val="false"/>
          <w:bCs w:val="false"/>
          <w:vertAlign w:val="superscript"/>
        </w:rPr>
        <w:t xml:space="preserve">2</w:t>
      </w:r>
      <w:r>
        <w:rPr>
          <w:rFonts w:ascii="Arial" w:cs="Arial" w:eastAsia="Arial" w:hAnsi="Arial"/>
          <w:b w:val="false"/>
          <w:bCs w:val="false"/>
        </w:rPr>
        <w:t xml:space="preserve"> = 1,067.26, exactly the pooled variance s</w:t>
      </w:r>
      <w:r>
        <w:rPr>
          <w:rFonts w:ascii="Arial" w:cs="Arial" w:eastAsia="Arial" w:hAnsi="Arial"/>
          <w:b w:val="false"/>
          <w:bCs w:val="false"/>
          <w:vertAlign w:val="subscript"/>
        </w:rPr>
        <w:t xml:space="preserve">p</w:t>
      </w:r>
      <w:r>
        <w:rPr>
          <w:rFonts w:ascii="Arial" w:cs="Arial" w:eastAsia="Arial" w:hAnsi="Arial"/>
          <w:b w:val="false"/>
          <w:bCs w:val="false"/>
          <w:vertAlign w:val="superscript"/>
        </w:rPr>
        <w:t xml:space="preserve">2</w:t>
      </w:r>
      <w:r>
        <w:rPr>
          <w:rFonts w:ascii="Arial" w:cs="Arial" w:eastAsia="Arial" w:hAnsi="Arial"/>
          <w:b w:val="false"/>
          <w:bCs w:val="false"/>
        </w:rPr>
        <w:t xml:space="preserve"> (B35), so its standard error (2.403) is the pooled one. Since the Napa variance is about 16 times larger, Welch's standard error (3.115) is the more reliable; both tests reject H</w:t>
      </w:r>
      <w:r>
        <w:rPr>
          <w:rFonts w:ascii="Arial" w:cs="Arial" w:eastAsia="Arial" w:hAnsi="Arial"/>
          <w:b w:val="false"/>
          <w:bCs w:val="false"/>
          <w:vertAlign w:val="subscript"/>
        </w:rPr>
        <w:t xml:space="preserve">0</w:t>
      </w:r>
      <w:r>
        <w:rPr>
          <w:rFonts w:ascii="Arial" w:cs="Arial" w:eastAsia="Arial" w:hAnsi="Arial"/>
          <w:b w:val="false"/>
          <w:bCs w:val="false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B2.4 · Safer rank-based test</w:t>
      </w:r>
    </w:p>
    <w:p>
      <w:pPr>
        <w:spacing w:after="100" w:line="264"/>
      </w:pPr>
      <w:r>
        <w:rPr>
          <w:rFonts w:ascii="Arial" w:cs="Arial" w:eastAsia="Arial" w:hAnsi="Arial"/>
          <w:b w:val="false"/>
          <w:bCs w:val="false"/>
        </w:rPr>
        <w:t xml:space="preserve">Price is strongly right-skewed (skewness 7.87; mean $29.58 &gt; median $22; histogram in A5), so a few very expensive bottles can drive a comparison of means. The safer check is the </w:t>
      </w:r>
      <w:r>
        <w:rPr>
          <w:rFonts w:ascii="Arial" w:cs="Arial" w:eastAsia="Arial" w:hAnsi="Arial"/>
          <w:b/>
          <w:bCs/>
        </w:rPr>
        <w:t xml:space="preserve">Wilcoxon rank-sum (Mann–Whitney U) test</w:t>
      </w:r>
      <w:r>
        <w:rPr>
          <w:rFonts w:ascii="Arial" w:cs="Arial" w:eastAsia="Arial" w:hAnsi="Arial"/>
          <w:b w:val="false"/>
          <w:bCs w:val="false"/>
        </w:rPr>
        <w:t xml:space="preserve">, which compares the ranks of prices instead of their values, so outliers cannot dominate the result.</w:t>
      </w:r>
    </w:p>
    <w:sectPr>
      <w:pgSz w:w="11906" w:h="16838" w:orient="portrait"/>
      <w:pgMar w:top="1100" w:right="1300" w:bottom="11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80" w:before="20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60" w:before="140"/>
      <w:outlineLvl w:val="1"/>
    </w:pPr>
    <w:rPr>
      <w:rFonts w:ascii="Arial" w:cs="Arial" w:eastAsia="Arial" w:hAnsi="Arial"/>
      <w:b/>
      <w:bCs/>
      <w:color w:val="222222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 8 – B1–B2 (short)</dc:title>
  <dc:creator>Group 8</dc:creator>
  <cp:lastModifiedBy>Un-named</cp:lastModifiedBy>
  <cp:revision>1</cp:revision>
  <dcterms:created xsi:type="dcterms:W3CDTF">2026-10-17T08:58:08.962Z</dcterms:created>
  <dcterms:modified xsi:type="dcterms:W3CDTF">2026-10-17T08:58:08.962Z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