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p14">
  <w:body>
    <w:p>
      <w:pPr>
        <w:pBdr/>
        <w:spacing w:after="60"/>
        <w:ind/>
        <w:jc w:val="center"/>
        <w:rPr/>
      </w:pPr>
      <w:r>
        <w:rPr>
          <w:rFonts w:ascii="Arial" w:hAnsi="Arial"/>
          <w:b/>
          <w:color w:val="1f4e79"/>
          <w:sz w:val="44"/>
        </w:rPr>
        <w:t xml:space="preserve">DESIGN SPECIFICATION</w:t>
      </w:r>
      <w:r/>
    </w:p>
    <w:p>
      <w:pPr>
        <w:pBdr/>
        <w:spacing w:after="180"/>
        <w:ind/>
        <w:jc w:val="center"/>
        <w:rPr/>
      </w:pPr>
      <w:r>
        <w:rPr>
          <w:rFonts w:ascii="Arial" w:hAnsi="Arial"/>
          <w:b/>
          <w:color w:val="1f4e79"/>
          <w:sz w:val="30"/>
        </w:rPr>
        <w:t xml:space="preserve">ASYNCHRONOUS FIFO USING GRAY-CODE POINTERS</w:t>
      </w:r>
      <w:r/>
    </w:p>
    <w:p>
      <w:pPr>
        <w:pStyle w:val="894"/>
        <w:pBdr/>
        <w:spacing/>
        <w:ind/>
        <w:rPr/>
      </w:pPr>
      <w:r>
        <w:t xml:space="preserve">1. Overview</w:t>
      </w:r>
      <w:r/>
    </w:p>
    <w:p>
      <w:pPr>
        <w:pStyle w:val="915"/>
        <w:pBdr/>
        <w:spacing w:after="60" w:line="259" w:lineRule="auto"/>
        <w:ind/>
        <w:rPr/>
      </w:pPr>
      <w:r>
        <w:t xml:space="preserve">Asynchronous FIFO là bộ đệm First-In First-Out dùng để truyền dữ liệu giữa hai miền clock độc lập. Dữ liệu được ghi theo wr_clk và đọc theo rd_clk. Hai clock có thể cùng hoặc khác tần số, nhanh/chậm hơn nhau, có pha bất kỳ và không cần quan hệ cố định.</w:t>
      </w:r>
      <w:r/>
    </w:p>
    <w:p>
      <w:pPr>
        <w:pStyle w:val="915"/>
        <w:pBdr/>
        <w:spacing w:after="60" w:line="259" w:lineRule="auto"/>
        <w:ind/>
        <w:rPr/>
      </w:pPr>
      <w:r>
        <w:rPr/>
        <w:t xml:space="preserve">Thiết kế dùng binary pointer để định địa chỉ cục bộ và Gray-code pointer qua bộ đồng bộ hai flip-flop để truyền trạng thái pointer giữa hai clock domain. wr_rst_n và rd_rst_n là hai external reset request active-low của toàn FIFO. Hai tín hiệu được kết hợp thành fifo_rst_n = wr_rst_n &amp; rd_rst_n; vì vậy chỉ cần một reset được assert thì cả write domain và read domain đều được flush về cùng một FIFO epoch mới. Mạch hỗ trợ ghi/đọc độc lập, phát hiện full/empty, báo overflow/underflow, pointer wrap-around và bảo toàn thứ tự dữ liệu.</w:t>
      </w:r>
    </w:p>
    <w:tbl>
      <w:tblPr>
        <w:tblStyle w:val="954"/>
        <w:jc w:val="center"/>
        <w:tblW w:w="0" w:type="auto"/>
        <w:tblBorders/>
        <w:tblLayout w:type="fixed"/>
        <w:tblLook w:val="04A0" w:firstRow="1" w:lastRow="0" w:firstColumn="1" w:lastColumn="0" w:noHBand="0" w:noVBand="1"/>
      </w:tblPr>
      <w:tblGrid>
        <w:gridCol w:w="2160"/>
        <w:gridCol w:w="2015"/>
        <w:gridCol w:w="2448"/>
        <w:gridCol w:w="3816"/>
      </w:tblGrid>
      <w:tr>
        <w:trPr>
          <w:cantSplit/>
          <w:tblHeader/>
        </w:trPr>
        <w:tc>
          <w:tcPr>
            <w:shd w:val="clear" w:color="auto" w:fill="1f4e79"/>
            <w:tcBorders/>
            <w:tcMar>
              <w:left w:w="70" w:type="dxa"/>
              <w:top w:w="70" w:type="dxa"/>
              <w:right w:w="70" w:type="dxa"/>
              <w:bottom w:w="70" w:type="dxa"/>
            </w:tcMar>
            <w:tcW w:w="2160" w:type="dxa"/>
            <w:vAlign w:val="center"/>
          </w:tcPr>
          <w:p>
            <w:pPr>
              <w:pBdr/>
              <w:spacing w:after="0" w:line="240" w:lineRule="auto"/>
              <w:ind/>
              <w:rPr/>
            </w:pPr>
            <w:r>
              <w:rPr>
                <w:rFonts w:ascii="Arial" w:hAnsi="Arial"/>
                <w:b/>
                <w:color w:val="ffffff"/>
                <w:sz w:val="18"/>
              </w:rPr>
              <w:t xml:space="preserve">Parameter</w:t>
            </w:r>
            <w:r>
              <w:rPr>
                <w:sz w:val="18"/>
              </w:rPr>
            </w:r>
            <w:r/>
          </w:p>
        </w:tc>
        <w:tc>
          <w:tcPr>
            <w:shd w:val="clear" w:color="auto" w:fill="1f4e79"/>
            <w:tcBorders/>
            <w:tcMar>
              <w:left w:w="70" w:type="dxa"/>
              <w:top w:w="70" w:type="dxa"/>
              <w:right w:w="70" w:type="dxa"/>
              <w:bottom w:w="70" w:type="dxa"/>
            </w:tcMar>
            <w:tcW w:w="2015" w:type="dxa"/>
            <w:vAlign w:val="center"/>
          </w:tcPr>
          <w:p>
            <w:pPr>
              <w:pBdr/>
              <w:spacing w:after="0" w:line="240" w:lineRule="auto"/>
              <w:ind/>
              <w:rPr>
                <w:rFonts w:ascii="Arial" w:hAnsi="Arial"/>
                <w:b/>
                <w:bCs/>
                <w:color w:val="ffffff"/>
                <w:sz w:val="18"/>
                <w:szCs w:val="18"/>
                <ns2:ligatures ns2:val="none"/>
              </w:rPr>
            </w:pPr>
            <w:r>
              <w:rPr>
                <w:rFonts w:ascii="Arial" w:hAnsi="Arial"/>
                <w:b/>
                <w:bCs/>
                <w:color w:val="ffffff"/>
                <w:sz w:val="18"/>
                <w:szCs w:val="18"/>
              </w:rPr>
              <w:t xml:space="preserve">Default</w:t>
            </w:r>
            <w:r>
              <w:rPr>
                <w:rFonts w:ascii="Arial" w:hAnsi="Arial"/>
                <w:b/>
                <w:bCs/>
                <w:color w:val="ffffff"/>
                <w:sz w:val="18"/>
                <w:szCs w:val="18"/>
              </w:rPr>
            </w:r>
            <w:r>
              <w:rPr>
                <w:rFonts w:ascii="Arial" w:hAnsi="Arial"/>
                <w:b/>
                <w:bCs/>
                <w:color w:val="ffffff"/>
                <w:sz w:val="18"/>
                <w:szCs w:val="18"/>
                <ns2:ligatures ns2:val="none"/>
              </w:rPr>
            </w:r>
          </w:p>
        </w:tc>
        <w:tc>
          <w:tcPr>
            <w:shd w:val="clear" w:color="auto" w:fill="1f4e79"/>
            <w:tcBorders/>
            <w:tcMar>
              <w:left w:w="70" w:type="dxa"/>
              <w:top w:w="70" w:type="dxa"/>
              <w:right w:w="70" w:type="dxa"/>
              <w:bottom w:w="70" w:type="dxa"/>
            </w:tcMar>
            <w:tcW w:w="2448" w:type="dxa"/>
            <w:vAlign w:val="center"/>
          </w:tcPr>
          <w:p>
            <w:pPr>
              <w:pBdr/>
              <w:spacing w:after="0" w:line="240" w:lineRule="auto"/>
              <w:ind/>
              <w:rPr/>
            </w:pPr>
            <w:r>
              <w:rPr>
                <w:rFonts w:ascii="Arial" w:hAnsi="Arial"/>
                <w:b/>
                <w:color w:val="ffffff"/>
                <w:sz w:val="18"/>
              </w:rPr>
              <w:t xml:space="preserve">Constraint</w:t>
            </w:r>
            <w:r>
              <w:rPr>
                <w:sz w:val="18"/>
              </w:rPr>
            </w:r>
            <w:r/>
          </w:p>
        </w:tc>
        <w:tc>
          <w:tcPr>
            <w:shd w:val="clear" w:color="auto" w:fill="1f4e79"/>
            <w:tcBorders/>
            <w:tcMar>
              <w:left w:w="70" w:type="dxa"/>
              <w:top w:w="70" w:type="dxa"/>
              <w:right w:w="70" w:type="dxa"/>
              <w:bottom w:w="70" w:type="dxa"/>
            </w:tcMar>
            <w:tcW w:w="3816" w:type="dxa"/>
            <w:vAlign w:val="center"/>
          </w:tcPr>
          <w:p>
            <w:pPr>
              <w:pBdr/>
              <w:spacing w:after="0" w:line="240" w:lineRule="auto"/>
              <w:ind/>
              <w:rPr/>
            </w:pPr>
            <w:r>
              <w:rPr>
                <w:rFonts w:ascii="Arial" w:hAnsi="Arial"/>
                <w:b/>
                <w:color w:val="ffffff"/>
                <w:sz w:val="18"/>
              </w:rPr>
              <w:t xml:space="preserve">Meaning</w:t>
            </w:r>
            <w:r>
              <w:rPr>
                <w:sz w:val="18"/>
              </w:rPr>
            </w:r>
            <w:r/>
          </w:p>
        </w:tc>
      </w:tr>
      <w:tr>
        <w:trPr>
          <w:cantSplit/>
        </w:trPr>
        <w:tc>
          <w:tcPr>
            <w:tcBorders/>
            <w:tcMar>
              <w:left w:w="70" w:type="dxa"/>
              <w:top w:w="70" w:type="dxa"/>
              <w:right w:w="70" w:type="dxa"/>
              <w:bottom w:w="70" w:type="dxa"/>
            </w:tcMar>
            <w:tcW w:w="2160" w:type="dxa"/>
            <w:vAlign w:val="center"/>
          </w:tcPr>
          <w:p>
            <w:pPr>
              <w:pBdr/>
              <w:spacing w:after="0" w:line="240" w:lineRule="auto"/>
              <w:ind/>
              <w:rPr/>
            </w:pPr>
            <w:r>
              <w:rPr>
                <w:rFonts w:ascii="Arial" w:hAnsi="Arial"/>
                <w:sz w:val="18"/>
              </w:rPr>
              <w:t xml:space="preserve">DATA_WIDTH</w:t>
            </w:r>
            <w:r>
              <w:rPr>
                <w:sz w:val="18"/>
              </w:rPr>
            </w:r>
            <w:r/>
          </w:p>
        </w:tc>
        <w:tc>
          <w:tcPr>
            <w:tcBorders/>
            <w:tcMar>
              <w:left w:w="70" w:type="dxa"/>
              <w:top w:w="70" w:type="dxa"/>
              <w:right w:w="70" w:type="dxa"/>
              <w:bottom w:w="70" w:type="dxa"/>
            </w:tcMar>
            <w:tcW w:w="2015" w:type="dxa"/>
            <w:vAlign w:val="center"/>
          </w:tcPr>
          <w:p>
            <w:pPr>
              <w:pBdr/>
              <w:spacing w:after="0" w:line="240" w:lineRule="auto"/>
              <w:ind/>
              <w:rPr/>
            </w:pPr>
            <w:r>
              <w:rPr>
                <w:rFonts w:ascii="Arial" w:hAnsi="Arial"/>
                <w:sz w:val="18"/>
              </w:rPr>
              <w:t xml:space="preserve">8</w:t>
            </w:r>
            <w:r>
              <w:rPr>
                <w:sz w:val="18"/>
              </w:rPr>
            </w:r>
            <w:r/>
          </w:p>
        </w:tc>
        <w:tc>
          <w:tcPr>
            <w:tcBorders/>
            <w:tcMar>
              <w:left w:w="70" w:type="dxa"/>
              <w:top w:w="70" w:type="dxa"/>
              <w:right w:w="70" w:type="dxa"/>
              <w:bottom w:w="70" w:type="dxa"/>
            </w:tcMar>
            <w:tcW w:w="2448" w:type="dxa"/>
            <w:vAlign w:val="center"/>
          </w:tcPr>
          <w:p>
            <w:pPr>
              <w:pBdr/>
              <w:spacing w:after="0" w:line="240" w:lineRule="auto"/>
              <w:ind/>
              <w:rPr/>
            </w:pPr>
            <w:r>
              <w:rPr>
                <w:rFonts w:ascii="Arial" w:hAnsi="Arial"/>
                <w:sz w:val="18"/>
              </w:rPr>
              <w:t xml:space="preserve">&gt;= 1</w:t>
            </w:r>
            <w:r>
              <w:rPr>
                <w:sz w:val="18"/>
              </w:rPr>
            </w:r>
            <w:r/>
          </w:p>
        </w:tc>
        <w:tc>
          <w:tcPr>
            <w:tcBorders/>
            <w:tcMar>
              <w:left w:w="70" w:type="dxa"/>
              <w:top w:w="70" w:type="dxa"/>
              <w:right w:w="70" w:type="dxa"/>
              <w:bottom w:w="70" w:type="dxa"/>
            </w:tcMar>
            <w:tcW w:w="3816" w:type="dxa"/>
            <w:vAlign w:val="center"/>
          </w:tcPr>
          <w:p>
            <w:pPr>
              <w:pBdr/>
              <w:spacing w:after="0" w:line="240" w:lineRule="auto"/>
              <w:ind/>
              <w:rPr/>
            </w:pPr>
            <w:r>
              <w:rPr>
                <w:rFonts w:ascii="Arial" w:hAnsi="Arial"/>
                <w:sz w:val="18"/>
              </w:rPr>
              <w:t xml:space="preserve">Độ rộng một phần tử dữ liệu</w:t>
            </w:r>
            <w:r>
              <w:rPr>
                <w:sz w:val="18"/>
              </w:rPr>
            </w:r>
            <w:r/>
          </w:p>
        </w:tc>
      </w:tr>
      <w:tr>
        <w:trPr>
          <w:cantSplit/>
        </w:trPr>
        <w:tc>
          <w:tcPr>
            <w:tcBorders/>
            <w:tcMar>
              <w:left w:w="70" w:type="dxa"/>
              <w:top w:w="70" w:type="dxa"/>
              <w:right w:w="70" w:type="dxa"/>
              <w:bottom w:w="70" w:type="dxa"/>
            </w:tcMar>
            <w:tcW w:w="2160" w:type="dxa"/>
            <w:vAlign w:val="center"/>
          </w:tcPr>
          <w:p>
            <w:pPr>
              <w:pBdr/>
              <w:spacing w:after="0" w:line="240" w:lineRule="auto"/>
              <w:ind/>
              <w:rPr/>
            </w:pPr>
            <w:r>
              <w:rPr>
                <w:rFonts w:ascii="Arial" w:hAnsi="Arial"/>
                <w:sz w:val="18"/>
              </w:rPr>
              <w:t xml:space="preserve">DEPTH</w:t>
            </w:r>
            <w:r>
              <w:rPr>
                <w:sz w:val="18"/>
              </w:rPr>
            </w:r>
            <w:r/>
          </w:p>
        </w:tc>
        <w:tc>
          <w:tcPr>
            <w:tcBorders/>
            <w:tcMar>
              <w:left w:w="70" w:type="dxa"/>
              <w:top w:w="70" w:type="dxa"/>
              <w:right w:w="70" w:type="dxa"/>
              <w:bottom w:w="70" w:type="dxa"/>
            </w:tcMar>
            <w:tcW w:w="2015" w:type="dxa"/>
            <w:vAlign w:val="center"/>
          </w:tcPr>
          <w:p>
            <w:pPr>
              <w:pBdr/>
              <w:spacing w:after="0" w:line="240" w:lineRule="auto"/>
              <w:ind/>
              <w:rPr/>
            </w:pPr>
            <w:r>
              <w:rPr>
                <w:rFonts w:ascii="Arial" w:hAnsi="Arial"/>
                <w:sz w:val="18"/>
              </w:rPr>
              <w:t xml:space="preserve">16</w:t>
            </w:r>
            <w:r>
              <w:rPr>
                <w:sz w:val="18"/>
              </w:rPr>
            </w:r>
            <w:r/>
          </w:p>
        </w:tc>
        <w:tc>
          <w:tcPr>
            <w:tcBorders/>
            <w:tcMar>
              <w:left w:w="70" w:type="dxa"/>
              <w:top w:w="70" w:type="dxa"/>
              <w:right w:w="70" w:type="dxa"/>
              <w:bottom w:w="70" w:type="dxa"/>
            </w:tcMar>
            <w:tcW w:w="2448" w:type="dxa"/>
            <w:vAlign w:val="center"/>
          </w:tcPr>
          <w:p>
            <w:pPr>
              <w:pBdr/>
              <w:spacing w:after="0" w:before="0" w:line="240" w:lineRule="auto"/>
              <w:ind/>
              <w:rPr/>
            </w:pPr>
            <w:r>
              <w:rPr>
                <w:sz w:val="18"/>
              </w:rPr>
              <w:t xml:space="preserve">Power of two, &gt;= 4</w:t>
            </w:r>
            <w:r/>
          </w:p>
        </w:tc>
        <w:tc>
          <w:tcPr>
            <w:tcBorders/>
            <w:tcMar>
              <w:left w:w="70" w:type="dxa"/>
              <w:top w:w="70" w:type="dxa"/>
              <w:right w:w="70" w:type="dxa"/>
              <w:bottom w:w="70" w:type="dxa"/>
            </w:tcMar>
            <w:tcW w:w="3816" w:type="dxa"/>
            <w:vAlign w:val="center"/>
          </w:tcPr>
          <w:p>
            <w:pPr>
              <w:pBdr/>
              <w:spacing w:after="0" w:line="240" w:lineRule="auto"/>
              <w:ind/>
              <w:rPr/>
            </w:pPr>
            <w:r>
              <w:rPr>
                <w:rFonts w:ascii="Arial" w:hAnsi="Arial"/>
                <w:sz w:val="18"/>
              </w:rPr>
              <w:t xml:space="preserve">Số phần tử FIFO</w:t>
            </w:r>
            <w:r>
              <w:rPr>
                <w:sz w:val="18"/>
              </w:rPr>
            </w:r>
            <w:r/>
          </w:p>
        </w:tc>
      </w:tr>
      <w:tr>
        <w:trPr>
          <w:cantSplit/>
        </w:trPr>
        <w:tc>
          <w:tcPr>
            <w:tcBorders/>
            <w:tcMar>
              <w:left w:w="70" w:type="dxa"/>
              <w:top w:w="70" w:type="dxa"/>
              <w:right w:w="70" w:type="dxa"/>
              <w:bottom w:w="70" w:type="dxa"/>
            </w:tcMar>
            <w:tcW w:w="2160" w:type="dxa"/>
            <w:vAlign w:val="center"/>
          </w:tcPr>
          <w:p>
            <w:pPr>
              <w:pBdr/>
              <w:spacing w:after="0" w:line="240" w:lineRule="auto"/>
              <w:ind/>
              <w:rPr/>
            </w:pPr>
            <w:r>
              <w:rPr>
                <w:rFonts w:ascii="Arial" w:hAnsi="Arial"/>
                <w:sz w:val="18"/>
              </w:rPr>
              <w:t xml:space="preserve">ADDR_WIDTH</w:t>
            </w:r>
            <w:r>
              <w:rPr>
                <w:sz w:val="18"/>
              </w:rPr>
            </w:r>
            <w:r/>
          </w:p>
        </w:tc>
        <w:tc>
          <w:tcPr>
            <w:tcBorders/>
            <w:tcMar>
              <w:left w:w="70" w:type="dxa"/>
              <w:top w:w="70" w:type="dxa"/>
              <w:right w:w="70" w:type="dxa"/>
              <w:bottom w:w="70" w:type="dxa"/>
            </w:tcMar>
            <w:tcW w:w="2015" w:type="dxa"/>
            <w:vAlign w:val="center"/>
          </w:tcPr>
          <w:p>
            <w:pPr>
              <w:pBdr/>
              <w:spacing w:after="0" w:line="240" w:lineRule="auto"/>
              <w:ind/>
              <w:rPr/>
            </w:pPr>
            <w:r>
              <w:rPr>
                <w:rFonts w:ascii="Arial" w:hAnsi="Arial"/>
                <w:sz w:val="18"/>
              </w:rPr>
              <w:t xml:space="preserve">$clog2(DEPTH)</w:t>
            </w:r>
            <w:r>
              <w:rPr>
                <w:sz w:val="18"/>
              </w:rPr>
            </w:r>
            <w:r/>
          </w:p>
        </w:tc>
        <w:tc>
          <w:tcPr>
            <w:tcBorders/>
            <w:tcMar>
              <w:left w:w="70" w:type="dxa"/>
              <w:top w:w="70" w:type="dxa"/>
              <w:right w:w="70" w:type="dxa"/>
              <w:bottom w:w="70" w:type="dxa"/>
            </w:tcMar>
            <w:tcW w:w="2448" w:type="dxa"/>
            <w:vAlign w:val="center"/>
          </w:tcPr>
          <w:p>
            <w:pPr>
              <w:pBdr/>
              <w:spacing w:after="0" w:line="240" w:lineRule="auto"/>
              <w:ind/>
              <w:rPr/>
            </w:pPr>
            <w:r>
              <w:rPr>
                <w:rFonts w:ascii="Arial" w:hAnsi="Arial"/>
                <w:sz w:val="18"/>
              </w:rPr>
              <w:t xml:space="preserve">Derived</w:t>
            </w:r>
            <w:r>
              <w:rPr>
                <w:sz w:val="18"/>
              </w:rPr>
            </w:r>
            <w:r/>
          </w:p>
        </w:tc>
        <w:tc>
          <w:tcPr>
            <w:tcBorders/>
            <w:tcMar>
              <w:left w:w="70" w:type="dxa"/>
              <w:top w:w="70" w:type="dxa"/>
              <w:right w:w="70" w:type="dxa"/>
              <w:bottom w:w="70" w:type="dxa"/>
            </w:tcMar>
            <w:tcW w:w="3816" w:type="dxa"/>
            <w:vAlign w:val="center"/>
          </w:tcPr>
          <w:p>
            <w:pPr>
              <w:pBdr/>
              <w:spacing w:after="0" w:line="240" w:lineRule="auto"/>
              <w:ind/>
              <w:rPr/>
            </w:pPr>
            <w:r>
              <w:rPr>
                <w:rFonts w:ascii="Arial" w:hAnsi="Arial"/>
                <w:sz w:val="18"/>
              </w:rPr>
              <w:t xml:space="preserve">Độ rộng địa chỉ memory</w:t>
            </w:r>
            <w:r>
              <w:rPr>
                <w:sz w:val="18"/>
              </w:rPr>
            </w:r>
            <w:r/>
          </w:p>
        </w:tc>
      </w:tr>
      <w:tr>
        <w:trPr>
          <w:cantSplit/>
        </w:trPr>
        <w:tc>
          <w:tcPr>
            <w:tcBorders/>
            <w:tcMar>
              <w:left w:w="70" w:type="dxa"/>
              <w:top w:w="70" w:type="dxa"/>
              <w:right w:w="70" w:type="dxa"/>
              <w:bottom w:w="70" w:type="dxa"/>
            </w:tcMar>
            <w:tcW w:w="2160" w:type="dxa"/>
            <w:vAlign w:val="center"/>
          </w:tcPr>
          <w:p>
            <w:pPr>
              <w:pBdr/>
              <w:spacing w:after="0" w:line="240" w:lineRule="auto"/>
              <w:ind/>
              <w:rPr/>
            </w:pPr>
            <w:r>
              <w:rPr>
                <w:rFonts w:ascii="Arial" w:hAnsi="Arial"/>
                <w:sz w:val="18"/>
              </w:rPr>
              <w:t xml:space="preserve">PTR_WIDTH</w:t>
            </w:r>
            <w:r>
              <w:rPr>
                <w:sz w:val="18"/>
              </w:rPr>
            </w:r>
            <w:r/>
          </w:p>
        </w:tc>
        <w:tc>
          <w:tcPr>
            <w:tcBorders/>
            <w:tcMar>
              <w:left w:w="70" w:type="dxa"/>
              <w:top w:w="70" w:type="dxa"/>
              <w:right w:w="70" w:type="dxa"/>
              <w:bottom w:w="70" w:type="dxa"/>
            </w:tcMar>
            <w:tcW w:w="2015" w:type="dxa"/>
            <w:vAlign w:val="center"/>
          </w:tcPr>
          <w:p>
            <w:pPr>
              <w:pBdr/>
              <w:spacing w:after="0" w:line="240" w:lineRule="auto"/>
              <w:ind/>
              <w:rPr/>
            </w:pPr>
            <w:r>
              <w:rPr>
                <w:rFonts w:ascii="Arial" w:hAnsi="Arial"/>
                <w:sz w:val="18"/>
              </w:rPr>
              <w:t xml:space="preserve">ADDR_WIDTH + 1</w:t>
            </w:r>
            <w:r>
              <w:rPr>
                <w:sz w:val="18"/>
              </w:rPr>
            </w:r>
            <w:r/>
          </w:p>
        </w:tc>
        <w:tc>
          <w:tcPr>
            <w:tcBorders/>
            <w:tcMar>
              <w:left w:w="70" w:type="dxa"/>
              <w:top w:w="70" w:type="dxa"/>
              <w:right w:w="70" w:type="dxa"/>
              <w:bottom w:w="70" w:type="dxa"/>
            </w:tcMar>
            <w:tcW w:w="2448" w:type="dxa"/>
            <w:vAlign w:val="center"/>
          </w:tcPr>
          <w:p>
            <w:pPr>
              <w:pBdr/>
              <w:spacing w:after="0" w:line="240" w:lineRule="auto"/>
              <w:ind/>
              <w:rPr/>
            </w:pPr>
            <w:r>
              <w:rPr>
                <w:rFonts w:ascii="Arial" w:hAnsi="Arial"/>
                <w:sz w:val="18"/>
              </w:rPr>
              <w:t xml:space="preserve">Derived</w:t>
            </w:r>
            <w:r>
              <w:rPr>
                <w:sz w:val="18"/>
              </w:rPr>
            </w:r>
            <w:r/>
          </w:p>
        </w:tc>
        <w:tc>
          <w:tcPr>
            <w:tcBorders/>
            <w:tcMar>
              <w:left w:w="70" w:type="dxa"/>
              <w:top w:w="70" w:type="dxa"/>
              <w:right w:w="70" w:type="dxa"/>
              <w:bottom w:w="70" w:type="dxa"/>
            </w:tcMar>
            <w:tcW w:w="3816" w:type="dxa"/>
            <w:vAlign w:val="center"/>
          </w:tcPr>
          <w:p>
            <w:pPr>
              <w:pBdr/>
              <w:spacing w:after="0" w:line="240" w:lineRule="auto"/>
              <w:ind/>
              <w:rPr/>
            </w:pPr>
            <w:r>
              <w:rPr>
                <w:rFonts w:ascii="Arial" w:hAnsi="Arial"/>
                <w:sz w:val="18"/>
              </w:rPr>
              <w:t xml:space="preserve">Pointer gồm bit wrap-around</w:t>
            </w:r>
            <w:r>
              <w:rPr>
                <w:sz w:val="18"/>
              </w:rPr>
            </w:r>
            <w:r/>
          </w:p>
        </w:tc>
      </w:tr>
    </w:tbl>
    <w:p>
      <w:pPr>
        <w:pStyle w:val="894"/>
        <w:pBdr/>
        <w:spacing/>
        <w:ind/>
        <w:rPr/>
      </w:pPr>
      <w:r>
        <w:t xml:space="preserve">2. Pin/Port Description</w:t>
      </w:r>
      <w:r/>
    </w:p>
    <w:p>
      <w:pPr>
        <w:pStyle w:val="915"/>
        <w:pBdr/>
        <w:spacing w:after="60" w:line="259" w:lineRule="auto"/>
        <w:ind/>
        <w:rPr/>
      </w:pPr>
      <w:r>
        <w:t xml:space="preserve">Bảng dưới đây chỉ mô tả các chân giao tiếp bên ngoài của module.</w:t>
      </w:r>
      <w:r/>
    </w:p>
    <w:tbl>
      <w:tblPr>
        <w:tblStyle w:val="954"/>
        <w:jc w:val="center"/>
        <w:tblW w:w="0" w:type="auto"/>
        <w:tblBorders/>
        <w:tblLayout w:type="fixed"/>
        <w:tblLook w:val="04A0" w:firstRow="1" w:lastRow="0" w:firstColumn="1" w:lastColumn="0" w:noHBand="0" w:noVBand="1"/>
      </w:tblPr>
      <w:tblGrid>
        <w:gridCol w:w="1512"/>
        <w:gridCol w:w="936"/>
        <w:gridCol w:w="1368"/>
        <w:gridCol w:w="1080"/>
        <w:gridCol w:w="1291"/>
        <w:gridCol w:w="4253"/>
      </w:tblGrid>
      <w:tr>
        <w:trPr>
          <w:cantSplit/>
          <w:tblHeader/>
        </w:trPr>
        <w:tc>
          <w:tcPr>
            <w:shd w:val="clear" w:color="auto" w:fill="1f4e79"/>
            <w:tcBorders/>
            <w:tcMar>
              <w:left w:w="50" w:type="dxa"/>
              <w:top w:w="55" w:type="dxa"/>
              <w:right w:w="50" w:type="dxa"/>
              <w:bottom w:w="55" w:type="dxa"/>
            </w:tcMar>
            <w:tcW w:w="1512" w:type="dxa"/>
            <w:vAlign w:val="center"/>
          </w:tcPr>
          <w:p>
            <w:pPr>
              <w:pBdr/>
              <w:spacing w:after="0" w:line="240" w:lineRule="auto"/>
              <w:ind/>
              <w:rPr>
                <w:rFonts w:ascii="Arial" w:hAnsi="Arial"/>
                <w:b/>
                <w:bCs/>
                <w:color w:val="ffffff"/>
                <w:sz w:val="18"/>
                <w:szCs w:val="18"/>
                <ns2:ligatures ns2:val="none"/>
              </w:rPr>
            </w:pPr>
            <w:r>
              <w:rPr>
                <w:rFonts w:ascii="Arial" w:hAnsi="Arial"/>
                <w:b/>
                <w:bCs/>
                <w:color w:val="ffffff"/>
                <w:sz w:val="18"/>
                <w:szCs w:val="18"/>
              </w:rPr>
              <w:t xml:space="preserve">Port</w:t>
            </w:r>
            <w:r>
              <w:rPr>
                <w:rFonts w:ascii="Arial" w:hAnsi="Arial"/>
                <w:b/>
                <w:bCs/>
                <w:color w:val="ffffff"/>
                <w:sz w:val="18"/>
                <w:szCs w:val="18"/>
              </w:rPr>
            </w:r>
            <w:r>
              <w:rPr>
                <w:rFonts w:ascii="Arial" w:hAnsi="Arial"/>
                <w:b/>
                <w:bCs/>
                <w:color w:val="ffffff"/>
                <w:sz w:val="18"/>
                <w:szCs w:val="18"/>
                <ns2:ligatures ns2:val="none"/>
              </w:rPr>
            </w:r>
          </w:p>
        </w:tc>
        <w:tc>
          <w:tcPr>
            <w:shd w:val="clear" w:color="auto" w:fill="1f4e79"/>
            <w:tcBorders/>
            <w:tcMar>
              <w:left w:w="50" w:type="dxa"/>
              <w:top w:w="55" w:type="dxa"/>
              <w:right w:w="50" w:type="dxa"/>
              <w:bottom w:w="55" w:type="dxa"/>
            </w:tcMar>
            <w:tcW w:w="936" w:type="dxa"/>
            <w:vAlign w:val="center"/>
          </w:tcPr>
          <w:p>
            <w:pPr>
              <w:pBdr/>
              <w:spacing w:after="0" w:line="240" w:lineRule="auto"/>
              <w:ind/>
              <w:rPr>
                <w:rFonts w:ascii="Arial" w:hAnsi="Arial"/>
                <w:b/>
                <w:bCs/>
                <w:color w:val="ffffff"/>
                <w:sz w:val="18"/>
                <w:szCs w:val="18"/>
                <ns2:ligatures ns2:val="none"/>
              </w:rPr>
            </w:pPr>
            <w:r>
              <w:rPr>
                <w:rFonts w:ascii="Arial" w:hAnsi="Arial"/>
                <w:b/>
                <w:bCs/>
                <w:color w:val="ffffff"/>
                <w:sz w:val="18"/>
                <w:szCs w:val="18"/>
              </w:rPr>
              <w:t xml:space="preserve">Dir.</w:t>
            </w:r>
            <w:r>
              <w:rPr>
                <w:rFonts w:ascii="Arial" w:hAnsi="Arial"/>
                <w:b/>
                <w:bCs/>
                <w:color w:val="ffffff"/>
                <w:sz w:val="18"/>
                <w:szCs w:val="18"/>
              </w:rPr>
            </w:r>
            <w:r>
              <w:rPr>
                <w:rFonts w:ascii="Arial" w:hAnsi="Arial"/>
                <w:b/>
                <w:bCs/>
                <w:color w:val="ffffff"/>
                <w:sz w:val="18"/>
                <w:szCs w:val="18"/>
                <ns2:ligatures ns2:val="none"/>
              </w:rPr>
            </w:r>
          </w:p>
        </w:tc>
        <w:tc>
          <w:tcPr>
            <w:shd w:val="clear" w:color="auto" w:fill="1f4e79"/>
            <w:tcBorders/>
            <w:tcMar>
              <w:left w:w="50" w:type="dxa"/>
              <w:top w:w="55" w:type="dxa"/>
              <w:right w:w="50" w:type="dxa"/>
              <w:bottom w:w="55" w:type="dxa"/>
            </w:tcMar>
            <w:tcW w:w="1368" w:type="dxa"/>
            <w:vAlign w:val="center"/>
          </w:tcPr>
          <w:p>
            <w:pPr>
              <w:pBdr/>
              <w:spacing w:after="0" w:line="240" w:lineRule="auto"/>
              <w:ind/>
              <w:rPr>
                <w:rFonts w:ascii="Arial" w:hAnsi="Arial"/>
                <w:b/>
                <w:bCs/>
                <w:color w:val="ffffff"/>
                <w:sz w:val="18"/>
                <w:szCs w:val="18"/>
                <ns2:ligatures ns2:val="none"/>
              </w:rPr>
            </w:pPr>
            <w:r>
              <w:rPr>
                <w:rFonts w:ascii="Arial" w:hAnsi="Arial"/>
                <w:b/>
                <w:bCs/>
                <w:color w:val="ffffff"/>
                <w:sz w:val="18"/>
                <w:szCs w:val="18"/>
              </w:rPr>
              <w:t xml:space="preserve">Width</w:t>
            </w:r>
            <w:r>
              <w:rPr>
                <w:rFonts w:ascii="Arial" w:hAnsi="Arial"/>
                <w:b/>
                <w:bCs/>
                <w:color w:val="ffffff"/>
                <w:sz w:val="18"/>
                <w:szCs w:val="18"/>
              </w:rPr>
            </w:r>
            <w:r>
              <w:rPr>
                <w:rFonts w:ascii="Arial" w:hAnsi="Arial"/>
                <w:b/>
                <w:bCs/>
                <w:color w:val="ffffff"/>
                <w:sz w:val="18"/>
                <w:szCs w:val="18"/>
                <ns2:ligatures ns2:val="none"/>
              </w:rPr>
            </w:r>
          </w:p>
        </w:tc>
        <w:tc>
          <w:tcPr>
            <w:shd w:val="clear" w:color="auto" w:fill="1f4e79"/>
            <w:tcBorders/>
            <w:tcMar>
              <w:left w:w="50" w:type="dxa"/>
              <w:top w:w="55" w:type="dxa"/>
              <w:right w:w="50" w:type="dxa"/>
              <w:bottom w:w="55" w:type="dxa"/>
            </w:tcMar>
            <w:tcW w:w="1080" w:type="dxa"/>
            <w:vAlign w:val="center"/>
          </w:tcPr>
          <w:p>
            <w:pPr>
              <w:pBdr/>
              <w:spacing w:after="0" w:line="240" w:lineRule="auto"/>
              <w:ind/>
              <w:rPr>
                <w:rFonts w:ascii="Arial" w:hAnsi="Arial"/>
                <w:b/>
                <w:bCs/>
                <w:color w:val="ffffff"/>
                <w:sz w:val="18"/>
                <w:szCs w:val="18"/>
                <ns2:ligatures ns2:val="none"/>
              </w:rPr>
            </w:pPr>
            <w:r>
              <w:rPr>
                <w:rFonts w:ascii="Arial" w:hAnsi="Arial"/>
                <w:b/>
                <w:bCs/>
                <w:color w:val="ffffff"/>
                <w:sz w:val="18"/>
                <w:szCs w:val="18"/>
              </w:rPr>
              <w:t xml:space="preserve">Domain</w:t>
            </w:r>
            <w:r>
              <w:rPr>
                <w:rFonts w:ascii="Arial" w:hAnsi="Arial"/>
                <w:b/>
                <w:bCs/>
                <w:color w:val="ffffff"/>
                <w:sz w:val="18"/>
                <w:szCs w:val="18"/>
              </w:rPr>
            </w:r>
            <w:r>
              <w:rPr>
                <w:rFonts w:ascii="Arial" w:hAnsi="Arial"/>
                <w:b/>
                <w:bCs/>
                <w:color w:val="ffffff"/>
                <w:sz w:val="18"/>
                <w:szCs w:val="18"/>
                <ns2:ligatures ns2:val="none"/>
              </w:rPr>
            </w:r>
          </w:p>
        </w:tc>
        <w:tc>
          <w:tcPr>
            <w:shd w:val="clear" w:color="auto" w:fill="1f4e79"/>
            <w:tcBorders/>
            <w:tcMar>
              <w:left w:w="50" w:type="dxa"/>
              <w:top w:w="55" w:type="dxa"/>
              <w:right w:w="50" w:type="dxa"/>
              <w:bottom w:w="55" w:type="dxa"/>
            </w:tcMar>
            <w:tcW w:w="1291" w:type="dxa"/>
            <w:vAlign w:val="center"/>
          </w:tcPr>
          <w:p>
            <w:pPr>
              <w:pBdr/>
              <w:spacing w:after="0" w:line="240" w:lineRule="auto"/>
              <w:ind/>
              <w:rPr>
                <w:rFonts w:ascii="Arial" w:hAnsi="Arial"/>
                <w:b/>
                <w:bCs/>
                <w:color w:val="ffffff"/>
                <w:sz w:val="18"/>
                <w:szCs w:val="18"/>
                <ns2:ligatures ns2:val="none"/>
              </w:rPr>
            </w:pPr>
            <w:r>
              <w:rPr>
                <w:rFonts w:ascii="Arial" w:hAnsi="Arial"/>
                <w:b/>
                <w:bCs/>
                <w:color w:val="ffffff"/>
                <w:sz w:val="18"/>
                <w:szCs w:val="18"/>
              </w:rPr>
              <w:t xml:space="preserve">Reset value</w:t>
            </w:r>
            <w:r>
              <w:rPr>
                <w:rFonts w:ascii="Arial" w:hAnsi="Arial"/>
                <w:b/>
                <w:bCs/>
                <w:color w:val="ffffff"/>
                <w:sz w:val="18"/>
                <w:szCs w:val="18"/>
              </w:rPr>
            </w:r>
            <w:r>
              <w:rPr>
                <w:rFonts w:ascii="Arial" w:hAnsi="Arial"/>
                <w:b/>
                <w:bCs/>
                <w:color w:val="ffffff"/>
                <w:sz w:val="18"/>
                <w:szCs w:val="18"/>
                <ns2:ligatures ns2:val="none"/>
              </w:rPr>
            </w:r>
          </w:p>
        </w:tc>
        <w:tc>
          <w:tcPr>
            <w:shd w:val="clear" w:color="auto" w:fill="1f4e79"/>
            <w:tcBorders/>
            <w:tcMar>
              <w:left w:w="50" w:type="dxa"/>
              <w:top w:w="55" w:type="dxa"/>
              <w:right w:w="50" w:type="dxa"/>
              <w:bottom w:w="55" w:type="dxa"/>
            </w:tcMar>
            <w:tcW w:w="4253" w:type="dxa"/>
            <w:vAlign w:val="center"/>
          </w:tcPr>
          <w:p>
            <w:pPr>
              <w:pBdr/>
              <w:spacing w:after="0" w:line="240" w:lineRule="auto"/>
              <w:ind/>
              <w:rPr>
                <w:rFonts w:ascii="Arial" w:hAnsi="Arial"/>
                <w:b/>
                <w:bCs/>
                <w:color w:val="ffffff"/>
                <w:sz w:val="18"/>
                <w:szCs w:val="18"/>
                <ns2:ligatures ns2:val="none"/>
              </w:rPr>
            </w:pPr>
            <w:r>
              <w:rPr>
                <w:rFonts w:ascii="Arial" w:hAnsi="Arial"/>
                <w:b/>
                <w:bCs/>
                <w:color w:val="ffffff"/>
                <w:sz w:val="18"/>
                <w:szCs w:val="18"/>
              </w:rPr>
              <w:t xml:space="preserve">Description</w:t>
            </w:r>
            <w:r>
              <w:rPr>
                <w:rFonts w:ascii="Arial" w:hAnsi="Arial"/>
                <w:b/>
                <w:bCs/>
                <w:color w:val="ffffff"/>
                <w:sz w:val="18"/>
                <w:szCs w:val="18"/>
              </w:rPr>
            </w:r>
            <w:r>
              <w:rPr>
                <w:rFonts w:ascii="Arial" w:hAnsi="Arial"/>
                <w:b/>
                <w:bCs/>
                <w:color w:val="ffffff"/>
                <w:sz w:val="18"/>
                <w:szCs w:val="18"/>
                <ns2:ligatures ns2:val="none"/>
              </w:rP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wr_clk</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Input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Write</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Clock của write domain; không yêu cầu quan hệ tần số hoặc pha với rd_clk và có thể dừng.</w:t>
            </w: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wr_rst_n</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Input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Write</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t xml:space="preserve">External reset request active-low của toàn FIFO. Khi wr_rst_n = 0, fifo_rst_n = 0 và cả write/read state đều được reset bất đồng bộ; write domain nhả reset đồng bộ nội bộ theo wr_clk.</w:t>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wr_en</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Input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Write</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Yêu cầu ghi một phần tử; chỉ được chấp nhận tại cạnh lên wr_clk hợp lệ.</w:t>
            </w: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wr_data</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Input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DATA_WIDTH</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Write</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Dữ liệu đầu vào; được sample khi write được chấp nhận.</w:t>
            </w: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wr_full</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Output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Write</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0</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Registered status của write domain; FIFO chưa thể nhận thêm dữ liệu.</w:t>
            </w: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overflow</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Output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Write</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0</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Registered error; assert sau cạnh wr_clk từ chối write do wr_full = 1.</w:t>
            </w: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rd_clk</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Input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Read</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Clock của read domain; không yêu cầu quan hệ tần số hoặc pha với wr_clk và có thể dừng.</w:t>
            </w: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rd_rst_n</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Input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Read</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t xml:space="preserve">External reset request active-low của toàn FIFO. Khi rd_rst_n = 0, fifo_rst_n = 0 và cả write/read state đều được reset bất đồng bộ; read domain nhả reset đồng bộ nội bộ theo rd_clk.</w:t>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rd_en</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Input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Read</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Yêu cầu đọc một phần tử; chỉ được chấp nhận tại cạnh lên rd_clk hợp lệ.</w:t>
            </w: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rd_data</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Output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DATA_WIDTH</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Read</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0</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Dữ liệu đọc registered; giữ giá trị đọc hợp lệ gần nhất khi rd_valid = 0.</w:t>
            </w: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rd_valid</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Output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Read</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0</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Registered valid; báo rd_data mới từ một accepted read và có thể high liên tục khi đọc back-to-back.</w:t>
            </w: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rd_empty</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Output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Read</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Registered status của read domain; chưa có dữ liệu được phép đọc.</w:t>
            </w:r>
            <w:r/>
          </w:p>
        </w:tc>
      </w:tr>
      <w:tr>
        <w:trPr/>
        <w:tc>
          <w:tcPr>
            <w:tcBorders/>
            <w:tcW w:w="1512" w:type="dxa"/>
          </w:tcPr>
          <w:p>
            <w:pPr>
              <w:pBdr/>
              <w:spacing w:line="240" w:lineRule="auto"/>
              <w:ind/>
              <w:rPr/>
            </w:pPr>
            <w:r>
              <w:rPr>
                <w:sz w:val="18"/>
              </w:rPr>
              <w:t xml:space="preserve">underflow</w:t>
            </w:r>
            <w:r>
              <w:rPr>
                <w:sz w:val="18"/>
              </w:rPr>
            </w:r>
            <w:r/>
          </w:p>
        </w:tc>
        <w:tc>
          <w:tcPr>
            <w:tcBorders/>
            <w:tcW w:w="936" w:type="dxa"/>
          </w:tcPr>
          <w:p>
            <w:pPr>
              <w:pBdr/>
              <w:spacing w:line="240" w:lineRule="auto"/>
              <w:ind/>
              <w:rPr/>
            </w:pPr>
            <w:r>
              <w:rPr>
                <w:sz w:val="18"/>
              </w:rPr>
              <w:t xml:space="preserve">Output</w:t>
            </w:r>
            <w:r>
              <w:rPr>
                <w:sz w:val="18"/>
              </w:rPr>
            </w:r>
            <w:r/>
          </w:p>
        </w:tc>
        <w:tc>
          <w:tcPr>
            <w:tcBorders/>
            <w:tcW w:w="1368" w:type="dxa"/>
          </w:tcPr>
          <w:p>
            <w:pPr>
              <w:pBdr/>
              <w:spacing w:line="240" w:lineRule="auto"/>
              <w:ind/>
              <w:rPr/>
            </w:pPr>
            <w:r>
              <w:rPr>
                <w:sz w:val="18"/>
              </w:rPr>
              <w:t xml:space="preserve">1</w:t>
            </w:r>
            <w:r>
              <w:rPr>
                <w:sz w:val="18"/>
              </w:rPr>
            </w:r>
            <w:r/>
          </w:p>
        </w:tc>
        <w:tc>
          <w:tcPr>
            <w:tcBorders/>
            <w:tcW w:w="1080" w:type="dxa"/>
          </w:tcPr>
          <w:p>
            <w:pPr>
              <w:pBdr/>
              <w:spacing w:line="240" w:lineRule="auto"/>
              <w:ind/>
              <w:rPr/>
            </w:pPr>
            <w:r>
              <w:rPr>
                <w:sz w:val="18"/>
              </w:rPr>
              <w:t xml:space="preserve">Read</w:t>
            </w:r>
            <w:r>
              <w:rPr>
                <w:sz w:val="18"/>
              </w:rPr>
            </w:r>
            <w:r/>
          </w:p>
        </w:tc>
        <w:tc>
          <w:tcPr>
            <w:tcBorders/>
            <w:tcW w:w="1291" w:type="dxa"/>
          </w:tcPr>
          <w:p>
            <w:pPr>
              <w:pBdr/>
              <w:spacing w:line="240" w:lineRule="auto"/>
              <w:ind/>
              <w:rPr/>
            </w:pPr>
            <w:r>
              <w:rPr>
                <w:sz w:val="18"/>
              </w:rPr>
              <w:t xml:space="preserve">0</w:t>
            </w:r>
            <w:r>
              <w:rPr>
                <w:sz w:val="18"/>
              </w:rPr>
            </w:r>
            <w:r/>
          </w:p>
        </w:tc>
        <w:tc>
          <w:tcPr>
            <w:tcBorders/>
            <w:tcW w:w="4253" w:type="dxa"/>
          </w:tcPr>
          <w:p>
            <w:pPr>
              <w:pBdr/>
              <w:spacing w:after="0" w:before="0" w:line="240" w:lineRule="auto"/>
              <w:ind/>
              <w:rPr/>
            </w:pPr>
            <w:r>
              <w:rPr>
                <w:sz w:val="18"/>
              </w:rPr>
              <w:t xml:space="preserve">Registered error; assert sau cạnh rd_clk từ chối read do rd_empty = 1.</w:t>
            </w:r>
            <w:r/>
          </w:p>
        </w:tc>
      </w:tr>
    </w:tbl>
    <w:p>
      <w:pPr>
        <w:pStyle w:val="894"/>
        <w:pBdr/>
        <w:spacing/>
        <w:ind/>
        <w:rPr/>
      </w:pPr>
      <w:r>
        <w:t xml:space="preserve">3. Functions</w:t>
      </w:r>
      <w:r/>
    </w:p>
    <w:p>
      <w:pPr>
        <w:pStyle w:val="915"/>
        <w:pBdr/>
        <w:spacing/>
        <w:ind/>
        <w:rPr/>
      </w:pPr>
      <w:r>
        <w:t xml:space="preserve">Quy ước thời gian: output “cập nhật trong cùng </w:t>
      </w:r>
      <w:r>
        <w:t xml:space="preserve">chu kỳ” nghĩa là giá trị thay đổi ngay sau cạnh lên local clock đã sample điều kiện và giữ trong phần còn lại của chu kỳ. Điều kiện accept luôn sử dụng giá trị wr_full hoặc rd_empty ổn định ngay trước cạnh local clock. Reset có ưu tiên cao hơn mọi request.</w:t>
      </w:r>
      <w:r/>
    </w:p>
    <w:p>
      <w:pPr>
        <w:pStyle w:val="895"/>
        <w:pBdr/>
        <w:spacing/>
        <w:ind/>
        <w:rPr/>
      </w:pPr>
      <w:r>
        <w:t xml:space="preserve">Clock relationship and clock stopping</w:t>
      </w:r>
      <w:r/>
    </w:p>
    <w:p>
      <w:pPr>
        <w:pStyle w:val="915"/>
        <w:pBdr/>
        <w:spacing/>
        <w:ind/>
        <w:rPr/>
      </w:pPr>
      <w:r>
        <w:t xml:space="preserve">Về chức năng RTL, wr_clk và rd_clk có thể có tần số bất kỳ: wr_clk có thể nhan</w:t>
      </w:r>
      <w:r>
        <w:t xml:space="preserve">h hơn, chậm hơn hoặc bằng rd_clk; hai clock có thể cùng pha, lệch pha hoặc không có quan hệ pha cố định. Tính đúng của FIFO không được phụ thuộc vào một tỷ lệ tần số cụ thể. Tần số sử dụng thực tế vẫn phải thỏa điều kiện timing của từng local clock domain.</w:t>
      </w:r>
      <w:r/>
    </w:p>
    <w:p>
      <w:pPr>
        <w:pStyle w:val="915"/>
        <w:pBdr/>
        <w:spacing/>
        <w:ind/>
        <w:rPr/>
      </w:pPr>
      <w:r>
        <w:t xml:space="preserve">M</w:t>
      </w:r>
      <w:r>
        <w:t xml:space="preserve">ỗi clock có thể dừng độc lập trong thời gian bất kỳ. Khi một clock dừng, domain tương ứng không accept giao dịch mới và các trạng thái registered của domain đó giữ nguyên, ngoại trừ tác động tức thời của asynchronous reset. Domain còn chạy có thể tiếp tục </w:t>
      </w:r>
      <w:r>
        <w:t xml:space="preserve">hoạt động cho đến khi local full/empty chặn thêm giao dịch. Dữ liệu đã được accept phải được giữ nguyên. Khi clock chạy lại, quá trình đồng bộ pointer và cập nhật flag tiếp tục; không có cam kết về thời gian hoàn thành giao dịch trong khoảng clock bị dừng.</w:t>
      </w:r>
      <w:r/>
    </w:p>
    <w:p>
      <w:pPr>
        <w:pStyle w:val="895"/>
        <w:pBdr/>
        <w:spacing/>
        <w:ind/>
        <w:rPr/>
      </w:pPr>
      <w:r>
        <w:t xml:space="preserve">Reset</w:t>
      </w:r>
      <w:r/>
    </w:p>
    <w:p ns2:paraId="266BF7C2">
      <w:pPr>
        <w:pStyle w:val="915"/>
        <w:pBdr>
          <w:top w:val="none" w:color="000000" w:sz="4" w:space="0"/>
          <w:left w:val="none" w:color="000000" w:sz="4" w:space="0"/>
          <w:bottom w:val="none" w:color="000000" w:sz="4" w:space="0"/>
          <w:right w:val="none" w:color="000000" w:sz="4" w:space="0"/>
        </w:pBdr>
        <w:spacing/>
        <w:ind/>
        <w:rPr>
          <ns2:ligatures ns2:val="none"/>
        </w:rPr>
      </w:pPr>
      <w:r>
        <w:rPr>
          <ns2:ligatures ns2:val="none"/>
        </w:rPr>
        <w:t xml:space="preserve">wr_rst_n và rd_rst_n là hai external reset request active-low của toàn FIFO. RTL tạo reset chung bằng biểu thức fifo_rst_n = wr_rst_n &amp; rd_rst_n. Vì vậy, chỉ cần một trong hai reset bằng 0 thì fifo_rst_n bằng 0 và toàn bộ FIFO được flush.</w:t>
      </w:r>
    </w:p>
    <w:p ns2:paraId="266BF7C2">
      <w:pPr>
        <w:pStyle w:val="915"/>
        <w:pBdr>
          <w:top w:val="none" w:color="000000" w:sz="4" w:space="0"/>
          <w:left w:val="none" w:color="000000" w:sz="4" w:space="0"/>
          <w:bottom w:val="none" w:color="000000" w:sz="4" w:space="0"/>
          <w:right w:val="none" w:color="000000" w:sz="4" w:space="0"/>
        </w:pBdr>
        <w:spacing/>
        <w:ind/>
        <w:rPr>
          <ns2:ligatures ns2:val="none"/>
        </w:rPr>
      </w:pPr>
      <w:r>
        <w:rPr>
          <ns2:ligatures ns2:val="none"/>
        </w:rPr>
        <w:t xml:space="preserve">Khi fifo_rst_n chuyển xuống 0, write pointer, registered write Gray pointer, read pointer, registered read Gray pointer, cả hai Gray-pointer synchronizer, hai reset pipeline, wr_full, overflow, rd_empty, underflow, rd_valid và rd_data đều trở về trạng thái reset bất đồng bộ. wr_accept và rd_accept bằng 0 do reset_done cục bộ bằng 0. Reset assertion không cần wr_clk hoặc rd_clk hoạt động.</w:t>
      </w:r>
    </w:p>
    <w:p ns2:paraId="266BF7C2">
      <w:pPr>
        <w:pStyle w:val="915"/>
        <w:pBdr>
          <w:top w:val="none" w:color="000000" w:sz="4" w:space="0"/>
          <w:left w:val="none" w:color="000000" w:sz="4" w:space="0"/>
          <w:bottom w:val="none" w:color="000000" w:sz="4" w:space="0"/>
          <w:right w:val="none" w:color="000000" w:sz="4" w:space="0"/>
        </w:pBdr>
        <w:spacing/>
        <w:ind/>
        <w:rPr>
          <ns2:ligatures ns2:val="none"/>
        </w:rPr>
      </w:pPr>
      <w:r>
        <w:rPr>
          <ns2:ligatures ns2:val="none"/>
        </w:rPr>
        <w:t xml:space="preserve">Memory array không được reset. Global flush đưa cả hai pointer về 0 và rd_empty về 1 nên mọi nội dung được ghi trước reset đều trở thành không hợp lệ. Giá trị vật lý còn lại trong memory không quyết định tính hợp lệ của dữ liệu FIFO.</w:t>
      </w:r>
    </w:p>
    <w:p ns2:paraId="266BF7C2">
      <w:pPr>
        <w:pStyle w:val="915"/>
        <w:pBdr>
          <w:top w:val="none" w:color="000000" w:sz="4" w:space="0"/>
          <w:left w:val="none" w:color="000000" w:sz="4" w:space="0"/>
          <w:bottom w:val="none" w:color="000000" w:sz="4" w:space="0"/>
          <w:right w:val="none" w:color="000000" w:sz="4" w:space="0"/>
        </w:pBdr>
        <w:spacing/>
        <w:ind/>
        <w:rPr>
          <ns2:ligatures ns2:val="none"/>
        </w:rPr>
      </w:pPr>
      <w:r>
        <w:rPr>
          <ns2:ligatures ns2:val="none"/>
        </w:rPr>
        <w:t xml:space="preserve">fifo_rst_n chỉ chuyển lên 1 khi cả wr_rst_n và rd_rst_n đều bằng 1. Việc deassert fifo_rst_n không trực tiếp cho phép giao dịch. Mỗi domain có reset pipeline hai tầng riêng và chỉ nhả trạng thái chức năng đồng bộ theo local clock tương ứng.</w:t>
      </w:r>
    </w:p>
    <w:p ns2:paraId="266BF7C2">
      <w:pPr>
        <w:pStyle w:val="915"/>
        <w:pBdr>
          <w:top w:val="none" w:color="000000" w:sz="4" w:space="0"/>
          <w:left w:val="none" w:color="000000" w:sz="4" w:space="0"/>
          <w:bottom w:val="none" w:color="000000" w:sz="4" w:space="0"/>
          <w:right w:val="none" w:color="000000" w:sz="4" w:space="0"/>
        </w:pBdr>
        <w:spacing/>
        <w:ind/>
        <w:rPr>
          <ns2:ligatures ns2:val="none"/>
        </w:rPr>
      </w:pPr>
      <w:r>
        <w:rPr>
          <ns2:ligatures ns2:val="none"/>
        </w:rPr>
        <w:t xml:space="preserve">Gọi E1 và E2 là hai cạnh lên local clock đầu tiên sau khi fifo_rst_n chuyển từ 0 lên 1. Reset pipeline chuyển 00 → 01 tại E1 và 01 → 11 tại E2. Local reset_done lên 1 ngay sau E2; do các thanh ghi chức năng vẫn quan sát reset_done cũ tại E2, cạnh local clock đầu tiên có thể accept giao dịch là E3.</w:t>
      </w:r>
    </w:p>
    <w:p ns2:paraId="266BF7C2">
      <w:pPr>
        <w:pStyle w:val="915"/>
        <w:pBdr>
          <w:top w:val="none" w:color="000000" w:sz="4" w:space="0"/>
          <w:left w:val="none" w:color="000000" w:sz="4" w:space="0"/>
          <w:bottom w:val="none" w:color="000000" w:sz="4" w:space="0"/>
          <w:right w:val="none" w:color="000000" w:sz="4" w:space="0"/>
        </w:pBdr>
        <w:spacing/>
        <w:ind/>
        <w:rPr>
          <ns2:ligatures ns2:val="none"/>
        </w:rPr>
      </w:pPr>
      <w:r>
        <w:rPr>
          <ns2:ligatures ns2:val="none"/>
        </w:rPr>
        <w:t xml:space="preserve">Write và read reset pipeline nhả độc lập theo wr_clk và rd_clk. Thiết kế không bổ sung cross-ready handshake: write có thể bắt đầu một FIFO epoch mới sau khi wr_reset_done = 1 dù read clock chưa hoàn tất release. Read side vẫn bảo thủ ở trạng thái empty cho đến khi write Gray pointer mới đi qua synchronizer.</w:t>
      </w:r>
    </w:p>
    <w:p ns2:paraId="266BF7C2">
      <w:pPr>
        <w:pStyle w:val="915"/>
        <w:pBdr>
          <w:top w:val="none" w:color="000000" w:sz="4" w:space="0"/>
          <w:left w:val="none" w:color="000000" w:sz="4" w:space="0"/>
          <w:bottom w:val="none" w:color="000000" w:sz="4" w:space="0"/>
          <w:right w:val="none" w:color="000000" w:sz="4" w:space="0"/>
        </w:pBdr>
        <w:spacing/>
        <w:ind/>
        <w:rPr>
          <ns2:ligatures ns2:val="none"/>
        </w:rPr>
      </w:pPr>
      <w:r>
        <w:rPr>
          <ns2:ligatures ns2:val="none"/>
        </w:rPr>
        <w:t xml:space="preserve">Nếu một local clock đang dừng, việc assert wr_rst_n hoặc rd_rst_n vẫn reset bất đồng bộ state của cả hai domain. Sau khi cả hai external reset cùng trở lại 1, domain có clock chạy có thể hoàn tất local release; domain có clock dừng chỉ hoàn tất release sau khi clock chạy lại và nhận đủ E1, E2.</w:t>
      </w:r>
    </w:p>
    <w:p ns2:paraId="266BF7C2">
      <w:pPr>
        <w:pStyle w:val="915"/>
        <w:pBdr>
          <w:top w:val="none" w:color="000000" w:sz="4" w:space="0"/>
          <w:left w:val="none" w:color="000000" w:sz="4" w:space="0"/>
          <w:bottom w:val="none" w:color="000000" w:sz="4" w:space="0"/>
          <w:right w:val="none" w:color="000000" w:sz="4" w:space="0"/>
        </w:pBdr>
        <w:spacing/>
        <w:ind/>
        <w:rPr>
          <ns2:ligatures ns2:val="none"/>
        </w:rPr>
      </w:pPr>
      <w:r>
        <w:rPr>
          <ns2:ligatures ns2:val="none"/>
        </w:rPr>
        <w:t xml:space="preserve">Pulse chỉ trên wr_rst_n hoặc chỉ trên rd_rst_n là một reset sequence hợp lệ và có cùng ý nghĩa: flush toàn bộ FIFO. Không yêu cầu hai external reset phải cùng được assert. Nếu thời điểm deassert khác nhau, fifo_rst_n tiếp tục ở 0 cho đến khi cả hai đều ở 1.</w:t>
      </w:r>
    </w:p>
    <w:p ns2:paraId="266BF7C2">
      <w:pPr>
        <w:pStyle w:val="915"/>
        <w:pBdr>
          <w:top w:val="none" w:color="000000" w:sz="4" w:space="0"/>
          <w:left w:val="none" w:color="000000" w:sz="4" w:space="0"/>
          <w:bottom w:val="none" w:color="000000" w:sz="4" w:space="0"/>
          <w:right w:val="none" w:color="000000" w:sz="4" w:space="0"/>
        </w:pBdr>
        <w:spacing/>
        <w:ind/>
        <w:rPr>
          <ns2:ligatures ns2:val="none"/>
        </w:rPr>
      </w:pPr>
      <w:r>
        <w:rPr>
          <ns2:ligatures ns2:val="none"/>
        </w:rPr>
        <w:t xml:space="preserve">wr_en và rd_en không cần tạo thành điều kiện của reset. Khi local reset_done = 0, request không được accept và error output giữ giá trị reset. Sau khi local reset_done = 1, interface đó tuân theo điều kiện accept bình thường.</w:t>
      </w:r>
    </w:p>
    <w:p ns2:paraId="266BF7C2">
      <w:pPr>
        <w:pStyle w:val="915"/>
        <w:pBdr>
          <w:top w:val="none" w:color="000000" w:sz="4" w:space="0"/>
          <w:left w:val="none" w:color="000000" w:sz="4" w:space="0"/>
          <w:bottom w:val="none" w:color="000000" w:sz="4" w:space="0"/>
          <w:right w:val="none" w:color="000000" w:sz="4" w:space="0"/>
        </w:pBdr>
        <w:spacing/>
        <w:ind/>
        <w:rPr>
          <ns2:ligatures ns2:val="none"/>
        </w:rPr>
      </w:pPr>
      <w:r>
        <w:rPr>
          <ns2:ligatures ns2:val="none"/>
        </w:rPr>
        <w:t xml:space="preserve">wr_rst_n và rd_rst_n phải là các reset signal sạch, không glitch. Trong physical implementation, phép kết hợp reset phải được xử lý bằng reset controller/reset tree phù hợp với technology flow.</w:t>
      </w:r>
    </w:p>
    <w:p>
      <w:pPr>
        <w:pStyle w:val="895"/>
        <w:pBdr/>
        <w:spacing/>
        <w:ind/>
        <w:rPr/>
      </w:pPr>
      <w:r>
        <w:t xml:space="preserve">Write operation and overflow</w:t>
      </w:r>
      <w:r/>
    </w:p>
    <w:p>
      <w:pPr>
        <w:pStyle w:val="915"/>
        <w:pBdr/>
        <w:spacing/>
        <w:ind/>
        <w:rPr/>
      </w:pPr>
      <w:r>
        <w:t xml:space="preserve">Tại cạnh lên wr_clk, write được chấp nhận khi write domain đã thoát reset, wr_en = 1 và giá trị wr_full t</w:t>
      </w:r>
      <w:r>
        <w:t xml:space="preserve">rước cạnh bằng 0. wr_data được sample và ghi vào FIFO, sau đó write pointer tăng một. Nếu write lấp đầy ô cuối cùng, wr_full assert ngay sau chính cạnh đó. FIFO có thể nhận một write tại mỗi cạnh wr_clk liên tiếp khi các điều kiện accept đều được thỏa mãn.</w:t>
      </w:r>
      <w:r/>
    </w:p>
    <w:p>
      <w:pPr>
        <w:pStyle w:val="915"/>
        <w:pBdr/>
        <w:spacing/>
        <w:ind/>
        <w:rPr/>
      </w:pPr>
      <w:r>
        <w:t xml:space="preserve">Nếu wr_en = 1 và wr_full = 1 trước cạnh wr_clk, write bị từ chối; wr_data bị bỏ qua, mem</w:t>
      </w:r>
      <w:r>
        <w:t xml:space="preserve">ory và write pointer giữ nguyên. overflow là output registered và bằng 1 ngay sau cạnh từ chối đó. Nếu điều kiện lỗi tồn tại qua nhiều cạnh wr_clk, overflow giữ high liên tục; nó trở về 0 ngay sau cạnh đầu tiên không còn đồng thời wr_en = 1 và wr_full = 1.</w:t>
      </w:r>
      <w:r/>
    </w:p>
    <w:p>
      <w:pPr>
        <w:pStyle w:val="895"/>
        <w:pBdr/>
        <w:spacing/>
        <w:ind/>
        <w:rPr/>
      </w:pPr>
      <w:r>
        <w:t xml:space="preserve">Read operation, rd_data and underflow</w:t>
      </w:r>
      <w:r/>
    </w:p>
    <w:p>
      <w:pPr>
        <w:pStyle w:val="915"/>
        <w:pBdr/>
        <w:spacing/>
        <w:ind/>
        <w:rPr/>
      </w:pPr>
      <w:r>
        <w:t xml:space="preserve">Tại cạnh lên rd_clk, read đư</w:t>
      </w:r>
      <w:r>
        <w:t xml:space="preserve">ợc chấp nhận khi read domain đã thoát reset, rd_en = 1 và giá trị rd_empty trước cạnh bằng 0. Phần tử đầu FIFO được đưa lên rd_data ngay sau chính cạnh đó, rd_valid = 1 trong phần còn lại của chu kỳ và read pointer tăng một. Không chờ thêm một cạnh rd_clk.</w:t>
      </w:r>
      <w:r/>
    </w:p>
    <w:p>
      <w:pPr>
        <w:pStyle w:val="915"/>
        <w:pBdr/>
        <w:spacing/>
        <w:ind/>
        <w:rPr/>
      </w:pPr>
      <w:r>
        <w:t xml:space="preserve">Khi không có accepted read, rd_valid = 0 và r</w:t>
      </w:r>
      <w:r>
        <w:t xml:space="preserve">d_data giữ giá trị đọc hợp lệ gần nhất. rd_data chỉ có ý nghĩa khi rd_valid = 1. Nếu nhiều read liên tiếp đều được chấp nhận, rd_valid có thể giữ high liên tục qua nhiều chu kỳ; rd_data được cập nhật bằng phần tử kế tiếp ngay sau mỗi cạnh rd_clk tương ứng.</w:t>
      </w:r>
      <w:r/>
    </w:p>
    <w:p>
      <w:pPr>
        <w:pStyle w:val="915"/>
        <w:pBdr/>
        <w:spacing/>
        <w:ind/>
        <w:rPr/>
      </w:pPr>
      <w:r>
        <w:t xml:space="preserve">Nếu rd_en = 1 và rd_empty = 1 trước cạnh rd_clk, read bị từ chối; read poi</w:t>
      </w:r>
      <w:r>
        <w:t xml:space="preserve">nter giữ nguyên, rd_valid = 0 và underflow = 1 ngay sau cạnh đó. underflow là output registered. Nếu điều kiện lỗi tồn tại qua nhiều cạnh rd_clk, underflow giữ high liên tục; nó trở về 0 ngay sau cạnh đầu tiên không còn đồng thời rd_en = 1 và rd_empty = 1.</w:t>
      </w:r>
      <w:r/>
    </w:p>
    <w:p>
      <w:pPr>
        <w:pStyle w:val="895"/>
        <w:pBdr/>
        <w:spacing/>
        <w:ind/>
        <w:rPr/>
      </w:pPr>
      <w:r>
        <w:t xml:space="preserve">Full/empty status, CDC latency and request acceptance</w:t>
      </w:r>
      <w:r/>
    </w:p>
    <w:p>
      <w:pPr>
        <w:pStyle w:val="915"/>
        <w:pBdr/>
        <w:spacing/>
        <w:ind/>
        <w:rPr/>
      </w:pPr>
      <w:r>
        <w:t xml:space="preserve">wr_full và rd_empty là các status registered thuộc write domain và read domain tương ứng. wr_full được xác định theo </w:t>
      </w:r>
      <w:r>
        <w:t xml:space="preserve">trạng thái write pointer sau accepted write; rd_empty được xác định theo trạng thái read pointer sau accepted read. Vì vậy, wr_full assert ngay sau write lấp đầy ô cuối và rd_empty assert ngay sau read lấy phần tử cuối, không có thêm một chu kỳ trễ cục bộ.</w:t>
      </w:r>
      <w:r/>
    </w:p>
    <w:p>
      <w:pPr>
        <w:pStyle w:val="915"/>
        <w:pBdr/>
        <w:spacing/>
        <w:ind/>
        <w:rPr/>
      </w:pPr>
      <w:r>
        <w:t xml:space="preserve">Remote Gray pointer đi qua synchronizer hai tần</w:t>
      </w:r>
      <w:r>
        <w:t xml:space="preserve">g trước khi được dùng trong destination domain. Gọi D1 là cạnh destination clock đầu tiên có thể capture pointer mới: tầng thứ nhất nhận pointer tại D1, tầng thứ hai nhận pointer tại D2 và registered flag có thể phản ánh pointer đó tại D3. Vì quan hệ pha h</w:t>
      </w:r>
      <w:r>
        <w:t xml:space="preserve">ai clock là bất kỳ, khoảng thời gian từ source pointer update đến flag update danh định tương đương khoảng 2–3 chu kỳ destination clock. Flag được phép deassert trễ theo hướng bảo thủ nhưng không được deassert sớm làm chấp nhận một giao dịch không an toàn.</w:t>
      </w:r>
      <w:r/>
    </w:p>
    <w:p>
      <w:pPr>
        <w:pStyle w:val="915"/>
        <w:pBdr/>
        <w:spacing/>
        <w:ind/>
        <w:rPr/>
      </w:pPr>
      <w:r>
        <w:t xml:space="preserve">Nếu rd_en đang giữ 1 và rd_empty chuyển 1→0 nga</w:t>
      </w:r>
      <w:r>
        <w:t xml:space="preserve">y sau một cạnh rd_clk, read vẫn bị từ chối tại cạnh đó vì accept dùng giá trị rd_empty trước cạnh. Read được chấp nhận tại cạnh rd_clk kế tiếp nếu rd_en vẫn bằng 1 và rd_empty đã bằng 0 trước cạnh. Quy tắc tương tự áp dụng cho wr_en khi wr_full chuyển 1→0.</w:t>
      </w:r>
      <w:r/>
    </w:p>
    <w:p>
      <w:pPr>
        <w:pStyle w:val="915"/>
        <w:pBdr/>
        <w:spacing/>
        <w:ind/>
        <w:rPr/>
      </w:pPr>
      <w:r>
        <w:t xml:space="preserve">Do hai flag thuộc hai domai</w:t>
      </w:r>
      <w:r>
        <w:t xml:space="preserve">n và quan sát remote pointer với độ trễ khác nhau, wr_full và rd_empty được phép cùng bằng 1 tạm thời. Đây là hai góc nhìn cục bộ bảo thủ do CDC, không có nghĩa FIFO vật lý đồng thời full và empty. Không tồn tại yêu cầu loại trừ lẫn nhau giữa hai flag này.</w:t>
      </w:r>
      <w:r/>
    </w:p>
    <w:p>
      <w:pPr>
        <w:pStyle w:val="895"/>
        <w:pBdr/>
        <w:spacing/>
        <w:ind/>
        <w:rPr/>
      </w:pPr>
      <w:r>
        <w:t xml:space="preserve">Coincident clock edges and boundary operations</w:t>
      </w:r>
      <w:r/>
    </w:p>
    <w:p>
      <w:pPr>
        <w:pStyle w:val="915"/>
        <w:pBdr/>
        <w:spacing/>
        <w:ind/>
        <w:rPr/>
      </w:pPr>
      <w:r>
        <w:t xml:space="preserve">Async FIFO không có một chu kỳ chung cho write và read. Khi cạnh lên wr_clk và rd_clk trùng nhau hoặc xảy ra gần nhau, mỗi domain vẫn độc lập quyết định accept bằng local flag ngay trước local edge.</w:t>
      </w:r>
      <w:r/>
    </w:p>
    <w:p>
      <w:pPr>
        <w:pStyle w:val="924"/>
        <w:pBdr/>
        <w:spacing/>
        <w:ind/>
        <w:rPr/>
      </w:pPr>
      <w:r>
        <w:t xml:space="preserve">FIFO empty: write có thể được chấp nhận nếu wr_full = 0; read vẫn bị từ chối nếu rd_empty = 1. Không có bypass để read domain nhận ngay dữ liệu vừa được write domain ghi.</w:t>
      </w:r>
      <w:r/>
    </w:p>
    <w:p>
      <w:pPr>
        <w:pStyle w:val="924"/>
        <w:pBdr/>
        <w:spacing/>
        <w:ind/>
        <w:rPr/>
      </w:pPr>
      <w:r>
        <w:t xml:space="preserve">FIFO full: read có thể được chấp nhận nếu rd_empty = 0; write vẫn bị từ chối nếu wr_full = 1. Không có cơ chế read-and-replace dựa trên một remote read xảy ra gần cùng thời điểm.</w:t>
      </w:r>
      <w:r/>
    </w:p>
    <w:p>
      <w:pPr>
        <w:pStyle w:val="924"/>
        <w:pBdr/>
        <w:spacing/>
        <w:ind/>
        <w:rPr/>
      </w:pPr>
      <w:r>
        <w:t xml:space="preserve">FIFO còn một phần tử và cả read lẫn write đều đ</w:t>
      </w:r>
      <w:r>
        <w:t xml:space="preserve">ược chấp nhận tại các local edge tương ứng: read trả phần tử cũ ở đầu FIFO và write lưu phần tử mới. Sau khi cả hai operation hoàn tất, net logical occupancy là một. rd_empty có thể assert tạm thời trước khi write pointer mới được đồng bộ sang read domain.</w:t>
      </w:r>
      <w:r/>
    </w:p>
    <w:p>
      <w:pPr>
        <w:pStyle w:val="895"/>
        <w:pBdr/>
        <w:spacing/>
        <w:ind/>
        <w:rPr/>
      </w:pPr>
      <w:r>
        <w:t xml:space="preserve">Memory behavior</w:t>
      </w:r>
      <w:r/>
    </w:p>
    <w:p>
      <w:pPr>
        <w:pStyle w:val="915"/>
        <w:pBdr/>
        <w:spacing/>
        <w:ind/>
        <w:rPr/>
      </w:pPr>
      <w:r>
        <w:t xml:space="preserve">FIFO sử dụng một vùng memory có đường ghi điều khiển bởi wr_clk và đường đọc điều khiển bởi rd_</w:t>
      </w:r>
      <w:r>
        <w:t xml:space="preserve">clk. Một accepted write cập nhật đúng một phần tử memory tại cạnh wr_clk; một accepted read cập nhật rd_data ngay sau cạnh rd_clk. Memory array không được reset và nội dung memory không được xem là hợp lệ nếu không thể tiếp cận thông qua một accepted read.</w:t>
      </w:r>
      <w:r/>
    </w:p>
    <w:p>
      <w:pPr>
        <w:pStyle w:val="915"/>
        <w:pBdr/>
        <w:spacing/>
        <w:ind/>
        <w:rPr/>
      </w:pPr>
      <w:r>
        <w:t xml:space="preserve">Thiết kế không được phụ thuộc vào hành vi read-during-write tại cùng một địa chỉ. Khi FIFO empty, read bị chặn; khi FIFO full, write bị chặn; khi FIFO còn một phần tử, read và write hợp lệ trỏ tới hai địa chỉ khác nhau.</w:t>
      </w:r>
      <w:r/>
    </w:p>
    <w:p>
      <w:pPr>
        <w:pStyle w:val="895"/>
        <w:pBdr/>
        <w:spacing/>
        <w:ind/>
        <w:rPr/>
      </w:pPr>
      <w:r>
        <w:t xml:space="preserve">Gray-code pointer, CDC protection, ordering and wrap-around</w:t>
      </w:r>
      <w:r/>
    </w:p>
    <w:p>
      <w:pPr>
        <w:pStyle w:val="915"/>
        <w:pBdr/>
        <w:spacing/>
        <w:ind/>
        <w:rPr/>
      </w:pPr>
      <w:r>
        <w:t xml:space="preserve">Binary pointer chỉ dùng cục bộ để định địa chỉ và tăng pointer. Pointer chỉ tăng khi local operation đư</w:t>
      </w:r>
      <w:r>
        <w:t xml:space="preserve">ợc chấp nhận; nếu request bị từ chối thì pointer giữ nguyên. Trước khi truyền sang domain còn lại, pointer được đổi sang Gray code theo Gray = Binary XOR (Binary &gt;&gt; 1), được register trong source domain và đi qua synchronizer hai tầng ở destination domain.</w:t>
      </w:r>
      <w:r/>
    </w:p>
    <w:p>
      <w:pPr>
        <w:pStyle w:val="915"/>
        <w:pBdr/>
        <w:spacing/>
        <w:ind/>
        <w:rPr/>
      </w:pPr>
      <w:r>
        <w:t xml:space="preserve">Chỉ outpu</w:t>
      </w:r>
      <w:r>
        <w:t xml:space="preserve">t của tầng synchronizer thứ hai được phép điều khiển logic chức năng; tầng thứ nhất không được dùng cho mục đích khác. Đường truyền Gray pointer phải được triển khai sao cho độ lệch giữa các bit không phá vỡ đặc tính chuyển đổi của Gray code tại phía nhận.</w:t>
      </w:r>
      <w:r/>
    </w:p>
    <w:p>
      <w:pPr>
        <w:pStyle w:val="915"/>
        <w:pBdr/>
        <w:spacing/>
        <w:ind/>
        <w:rPr/>
      </w:pPr>
      <w:r>
        <w:t xml:space="preserve">Mọi accepted read phải trả dữ</w:t>
      </w:r>
      <w:r>
        <w:t xml:space="preserve"> liệu theo đúng thứ tự accepted write; không được mất, lặp, đổi thứ tự hoặc thay đổi giá trị dữ liệu. Khi địa chỉ đạt DEPTH - 1, phần địa chỉ quay về 0 và bit wrap giúp phân biệt trạng thái full với empty. Logical capacity của FIFO bằng đúng DEPTH phần tử.</w:t>
      </w:r>
      <w:r/>
    </w:p>
    <w:p>
      <w:pPr>
        <w:pStyle w:val="895"/>
        <w:pBdr/>
        <w:spacing/>
        <w:ind/>
        <w:rPr/>
      </w:pPr>
      <w:r>
        <w:t xml:space="preserve">Scope limitations</w:t>
      </w:r>
      <w:r/>
    </w:p>
    <w:p>
      <w:pPr>
        <w:pStyle w:val="915"/>
        <w:pBdr/>
        <w:spacing/>
        <w:ind/>
        <w:rPr/>
      </w:pPr>
      <w:r>
        <w:rPr/>
        <w:t xml:space="preserve">Thiết kế không hỗ trợ first-word fall-through/show-ahead, bypass khi empty, read-and-replace khi full, almost-full/almost-empty, exact cross-domain occupancy count, bảo toàn dữ liệu qua reset, reset chỉ giao diện mà không flush FIFO, DEPTH không phải lũy thừa của hai hoặc read/write data width khác nhau.</w:t>
      </w:r>
    </w:p>
    <w:sectPr>
      <w:headerReference w:type="default" ns3:id="rId9"/>
      <w:footerReference w:type="default" ns3:id="rId10"/>
      <w:footnotePr/>
      <w:endnotePr/>
      <w:type w:val="nextPage"/>
      <w:pgSz w:h="15840" w:orient="portrait" w:w="12240"/>
      <w:pgMar w:top="648" w:right="893" w:bottom="648" w:left="893"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2"/>
      <w:pBdr/>
      <w:spacing/>
      <w:ind/>
      <w:jc w:val="center"/>
      <w:rPr/>
    </w:pPr>
    <w:r>
      <w:fldChar w:fldCharType="begin"/>
      <w:instrText xml:space="preserve"> PAGE </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0"/>
      <w:pBdr/>
      <w:spacing/>
      <w:ind/>
      <w:jc w:val="right"/>
      <w:rPr/>
    </w:pPr>
    <w:r>
      <w:rPr>
        <w:rFonts w:ascii="Arial" w:hAnsi="Arial"/>
        <w:color w:val="595959"/>
        <w:sz w:val="16"/>
      </w:rPr>
      <w:t xml:space="preserve">ASYNCHRONOUS FIFO - DESIGN SPECIFICATION</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2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2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7826E0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5">
    <w:name w:val="Table Grid Light"/>
    <w:basedOn w:val="9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1"/>
    <w:basedOn w:val="9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2"/>
    <w:basedOn w:val="90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3"/>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4"/>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5"/>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w:basedOn w:val="90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1"/>
    <w:basedOn w:val="9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2"/>
    <w:basedOn w:val="9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3"/>
    <w:basedOn w:val="9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4"/>
    <w:basedOn w:val="9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5"/>
    <w:basedOn w:val="9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6"/>
    <w:basedOn w:val="9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w:basedOn w:val="9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1"/>
    <w:basedOn w:val="9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5"/>
    <w:basedOn w:val="9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6"/>
    <w:basedOn w:val="9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w:basedOn w:val="9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1"/>
    <w:basedOn w:val="9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5"/>
    <w:basedOn w:val="9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6"/>
    <w:basedOn w:val="9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w:basedOn w:val="90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1"/>
    <w:basedOn w:val="90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2"/>
    <w:basedOn w:val="90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3"/>
    <w:basedOn w:val="90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4"/>
    <w:basedOn w:val="90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5"/>
    <w:basedOn w:val="90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6"/>
    <w:basedOn w:val="90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Accent 1"/>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2"/>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3"/>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Accent 4"/>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5"/>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6"/>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6 Colorful"/>
    <w:basedOn w:val="90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7">
    <w:name w:val="Grid Table 6 Colorful - Accent 1"/>
    <w:basedOn w:val="90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8">
    <w:name w:val="Grid Table 6 Colorful - Accent 2"/>
    <w:basedOn w:val="9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9">
    <w:name w:val="Grid Table 6 Colorful - Accent 3"/>
    <w:basedOn w:val="90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0">
    <w:name w:val="Grid Table 6 Colorful - Accent 4"/>
    <w:basedOn w:val="9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1">
    <w:name w:val="Grid Table 6 Colorful - Accent 5"/>
    <w:basedOn w:val="90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2">
    <w:name w:val="Grid Table 6 Colorful - Accent 6"/>
    <w:basedOn w:val="90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3">
    <w:name w:val="Grid Table 7 Colorful"/>
    <w:basedOn w:val="90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1"/>
    <w:basedOn w:val="90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5"/>
    <w:basedOn w:val="90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6"/>
    <w:basedOn w:val="90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1"/>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2"/>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3"/>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4"/>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5"/>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6"/>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w:basedOn w:val="90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1"/>
    <w:basedOn w:val="90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2"/>
    <w:basedOn w:val="90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3"/>
    <w:basedOn w:val="90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4"/>
    <w:basedOn w:val="90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5"/>
    <w:basedOn w:val="90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6"/>
    <w:basedOn w:val="90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w:basedOn w:val="9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1"/>
    <w:basedOn w:val="90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2"/>
    <w:basedOn w:val="9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3"/>
    <w:basedOn w:val="90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4"/>
    <w:basedOn w:val="9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5"/>
    <w:basedOn w:val="90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6"/>
    <w:basedOn w:val="90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w:basedOn w:val="9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1"/>
    <w:basedOn w:val="90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2"/>
    <w:basedOn w:val="90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3"/>
    <w:basedOn w:val="90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4"/>
    <w:basedOn w:val="90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5"/>
    <w:basedOn w:val="90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6"/>
    <w:basedOn w:val="90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5 Dark"/>
    <w:basedOn w:val="90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1"/>
    <w:basedOn w:val="90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2"/>
    <w:basedOn w:val="90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3"/>
    <w:basedOn w:val="90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4"/>
    <w:basedOn w:val="90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5"/>
    <w:basedOn w:val="90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6"/>
    <w:basedOn w:val="90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6 Colorful"/>
    <w:basedOn w:val="90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1"/>
    <w:basedOn w:val="90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2"/>
    <w:basedOn w:val="90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3"/>
    <w:basedOn w:val="90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4"/>
    <w:basedOn w:val="90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5"/>
    <w:basedOn w:val="90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6"/>
    <w:basedOn w:val="90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7 Colorful"/>
    <w:basedOn w:val="90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3">
    <w:name w:val="List Table 7 Colorful - Accent 1"/>
    <w:basedOn w:val="90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4">
    <w:name w:val="List Table 7 Colorful - Accent 2"/>
    <w:basedOn w:val="90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5">
    <w:name w:val="List Table 7 Colorful - Accent 3"/>
    <w:basedOn w:val="90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6">
    <w:name w:val="List Table 7 Colorful - Accent 4"/>
    <w:basedOn w:val="90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7">
    <w:name w:val="List Table 7 Colorful - Accent 5"/>
    <w:basedOn w:val="90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8">
    <w:name w:val="List Table 7 Colorful - Accent 6"/>
    <w:basedOn w:val="90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9">
    <w:name w:val="Lined - Accent"/>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1"/>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2"/>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3"/>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4"/>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5"/>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6"/>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w:basedOn w:val="90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1"/>
    <w:basedOn w:val="90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2"/>
    <w:basedOn w:val="90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3"/>
    <w:basedOn w:val="90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4"/>
    <w:basedOn w:val="90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5"/>
    <w:basedOn w:val="90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6"/>
    <w:basedOn w:val="90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w:basedOn w:val="90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1"/>
    <w:basedOn w:val="9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2"/>
    <w:basedOn w:val="9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3"/>
    <w:basedOn w:val="9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4"/>
    <w:basedOn w:val="9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5"/>
    <w:basedOn w:val="9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6"/>
    <w:basedOn w:val="9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0">
    <w:name w:val="footnote text"/>
    <w:basedOn w:val="889"/>
    <w:link w:val="871"/>
    <w:uiPriority w:val="99"/>
    <w:semiHidden/>
    <w:unhideWhenUsed/>
    <w:pPr>
      <w:pBdr/>
      <w:spacing w:after="0" w:line="240" w:lineRule="auto"/>
      <w:ind/>
    </w:pPr>
    <w:rPr>
      <w:sz w:val="20"/>
      <w:szCs w:val="20"/>
    </w:rPr>
  </w:style>
  <w:style w:type="character" w:styleId="871">
    <w:name w:val="Footnote Text Char"/>
    <w:basedOn w:val="903"/>
    <w:link w:val="870"/>
    <w:uiPriority w:val="99"/>
    <w:semiHidden/>
    <w:pPr>
      <w:pBdr/>
      <w:spacing/>
      <w:ind/>
    </w:pPr>
    <w:rPr>
      <w:sz w:val="20"/>
      <w:szCs w:val="20"/>
    </w:rPr>
  </w:style>
  <w:style w:type="character" w:styleId="872">
    <w:name w:val="footnote reference"/>
    <w:basedOn w:val="903"/>
    <w:uiPriority w:val="99"/>
    <w:semiHidden/>
    <w:unhideWhenUsed/>
    <w:pPr>
      <w:pBdr/>
      <w:spacing/>
      <w:ind/>
    </w:pPr>
    <w:rPr>
      <w:vertAlign w:val="superscript"/>
    </w:rPr>
  </w:style>
  <w:style w:type="paragraph" w:styleId="873">
    <w:name w:val="endnote text"/>
    <w:basedOn w:val="889"/>
    <w:link w:val="874"/>
    <w:uiPriority w:val="99"/>
    <w:semiHidden/>
    <w:unhideWhenUsed/>
    <w:pPr>
      <w:pBdr/>
      <w:spacing w:after="0" w:line="240" w:lineRule="auto"/>
      <w:ind/>
    </w:pPr>
    <w:rPr>
      <w:sz w:val="20"/>
      <w:szCs w:val="20"/>
    </w:rPr>
  </w:style>
  <w:style w:type="character" w:styleId="874">
    <w:name w:val="Endnote Text Char"/>
    <w:basedOn w:val="903"/>
    <w:link w:val="873"/>
    <w:uiPriority w:val="99"/>
    <w:semiHidden/>
    <w:pPr>
      <w:pBdr/>
      <w:spacing/>
      <w:ind/>
    </w:pPr>
    <w:rPr>
      <w:sz w:val="20"/>
      <w:szCs w:val="20"/>
    </w:rPr>
  </w:style>
  <w:style w:type="character" w:styleId="875">
    <w:name w:val="endnote reference"/>
    <w:basedOn w:val="903"/>
    <w:uiPriority w:val="99"/>
    <w:semiHidden/>
    <w:unhideWhenUsed/>
    <w:pPr>
      <w:pBdr/>
      <w:spacing/>
      <w:ind/>
    </w:pPr>
    <w:rPr>
      <w:vertAlign w:val="superscript"/>
    </w:rPr>
  </w:style>
  <w:style w:type="character" w:styleId="876">
    <w:name w:val="Hyperlink"/>
    <w:basedOn w:val="903"/>
    <w:uiPriority w:val="99"/>
    <w:unhideWhenUsed/>
    <w:pPr>
      <w:pBdr/>
      <w:spacing/>
      <w:ind/>
    </w:pPr>
    <w:rPr>
      <w:color w:val="0563c1" w:themeColor="hyperlink"/>
      <w:u w:val="single"/>
    </w:rPr>
  </w:style>
  <w:style w:type="character" w:styleId="877">
    <w:name w:val="FollowedHyperlink"/>
    <w:basedOn w:val="903"/>
    <w:uiPriority w:val="99"/>
    <w:semiHidden/>
    <w:unhideWhenUsed/>
    <w:pPr>
      <w:pBdr/>
      <w:spacing/>
      <w:ind/>
    </w:pPr>
    <w:rPr>
      <w:color w:val="954f72" w:themeColor="followedHyperlink"/>
      <w:u w:val="single"/>
    </w:rPr>
  </w:style>
  <w:style w:type="paragraph" w:styleId="878">
    <w:name w:val="toc 1"/>
    <w:basedOn w:val="889"/>
    <w:next w:val="889"/>
    <w:uiPriority w:val="39"/>
    <w:unhideWhenUsed/>
    <w:pPr>
      <w:pBdr/>
      <w:spacing w:after="100"/>
      <w:ind/>
    </w:pPr>
  </w:style>
  <w:style w:type="paragraph" w:styleId="879">
    <w:name w:val="toc 2"/>
    <w:basedOn w:val="889"/>
    <w:next w:val="889"/>
    <w:uiPriority w:val="39"/>
    <w:unhideWhenUsed/>
    <w:pPr>
      <w:pBdr/>
      <w:spacing w:after="100"/>
      <w:ind w:left="220"/>
    </w:pPr>
  </w:style>
  <w:style w:type="paragraph" w:styleId="880">
    <w:name w:val="toc 3"/>
    <w:basedOn w:val="889"/>
    <w:next w:val="889"/>
    <w:uiPriority w:val="39"/>
    <w:unhideWhenUsed/>
    <w:pPr>
      <w:pBdr/>
      <w:spacing w:after="100"/>
      <w:ind w:left="440"/>
    </w:pPr>
  </w:style>
  <w:style w:type="paragraph" w:styleId="881">
    <w:name w:val="toc 4"/>
    <w:basedOn w:val="889"/>
    <w:next w:val="889"/>
    <w:uiPriority w:val="39"/>
    <w:unhideWhenUsed/>
    <w:pPr>
      <w:pBdr/>
      <w:spacing w:after="100"/>
      <w:ind w:left="660"/>
    </w:pPr>
  </w:style>
  <w:style w:type="paragraph" w:styleId="882">
    <w:name w:val="toc 5"/>
    <w:basedOn w:val="889"/>
    <w:next w:val="889"/>
    <w:uiPriority w:val="39"/>
    <w:unhideWhenUsed/>
    <w:pPr>
      <w:pBdr/>
      <w:spacing w:after="100"/>
      <w:ind w:left="880"/>
    </w:pPr>
  </w:style>
  <w:style w:type="paragraph" w:styleId="883">
    <w:name w:val="toc 6"/>
    <w:basedOn w:val="889"/>
    <w:next w:val="889"/>
    <w:uiPriority w:val="39"/>
    <w:unhideWhenUsed/>
    <w:pPr>
      <w:pBdr/>
      <w:spacing w:after="100"/>
      <w:ind w:left="1100"/>
    </w:pPr>
  </w:style>
  <w:style w:type="paragraph" w:styleId="884">
    <w:name w:val="toc 7"/>
    <w:basedOn w:val="889"/>
    <w:next w:val="889"/>
    <w:uiPriority w:val="39"/>
    <w:unhideWhenUsed/>
    <w:pPr>
      <w:pBdr/>
      <w:spacing w:after="100"/>
      <w:ind w:left="1320"/>
    </w:pPr>
  </w:style>
  <w:style w:type="paragraph" w:styleId="885">
    <w:name w:val="toc 8"/>
    <w:basedOn w:val="889"/>
    <w:next w:val="889"/>
    <w:uiPriority w:val="39"/>
    <w:unhideWhenUsed/>
    <w:pPr>
      <w:pBdr/>
      <w:spacing w:after="100"/>
      <w:ind w:left="1540"/>
    </w:pPr>
  </w:style>
  <w:style w:type="paragraph" w:styleId="886">
    <w:name w:val="toc 9"/>
    <w:basedOn w:val="889"/>
    <w:next w:val="889"/>
    <w:uiPriority w:val="39"/>
    <w:unhideWhenUsed/>
    <w:pPr>
      <w:pBdr/>
      <w:spacing w:after="100"/>
      <w:ind w:left="1760"/>
    </w:pPr>
  </w:style>
  <w:style w:type="character" w:styleId="887">
    <w:name w:val="Placeholder Text"/>
    <w:basedOn w:val="903"/>
    <w:uiPriority w:val="99"/>
    <w:semiHidden/>
    <w:pPr>
      <w:pBdr/>
      <w:spacing/>
      <w:ind/>
    </w:pPr>
    <w:rPr>
      <w:color w:val="666666"/>
    </w:rPr>
  </w:style>
  <w:style w:type="paragraph" w:styleId="888">
    <w:name w:val="table of figures"/>
    <w:basedOn w:val="889"/>
    <w:next w:val="889"/>
    <w:uiPriority w:val="99"/>
    <w:unhideWhenUsed/>
    <w:pPr>
      <w:pBdr/>
      <w:spacing w:after="0" w:afterAutospacing="0"/>
      <w:ind/>
    </w:pPr>
  </w:style>
  <w:style w:type="paragraph" w:styleId="889" w:default="1">
    <w:name w:val="Normal"/>
    <w:qFormat/>
    <w:pPr>
      <w:pBdr/>
      <w:spacing/>
      <w:ind/>
    </w:pPr>
    <w:rPr>
      <w:rFonts w:ascii="Arial" w:hAnsi="Arial" w:eastAsia="Arial"/>
      <w:sz w:val="20"/>
    </w:rPr>
  </w:style>
  <w:style w:type="paragraph" w:styleId="890">
    <w:name w:val="Header"/>
    <w:basedOn w:val="889"/>
    <w:link w:val="891"/>
    <w:uiPriority w:val="99"/>
    <w:unhideWhenUsed/>
    <w:pPr>
      <w:pBdr/>
      <w:tabs>
        <w:tab w:val="center" w:leader="none" w:pos="4680"/>
        <w:tab w:val="right" w:leader="none" w:pos="9360"/>
      </w:tabs>
      <w:spacing w:after="0" w:line="240" w:lineRule="auto"/>
      <w:ind/>
    </w:pPr>
  </w:style>
  <w:style w:type="character" w:styleId="891" w:customStyle="1">
    <w:name w:val="Header Char"/>
    <w:basedOn w:val="903"/>
    <w:link w:val="890"/>
    <w:uiPriority w:val="99"/>
    <w:pPr>
      <w:pBdr/>
      <w:spacing/>
      <w:ind/>
    </w:pPr>
  </w:style>
  <w:style w:type="paragraph" w:styleId="892">
    <w:name w:val="Footer"/>
    <w:basedOn w:val="889"/>
    <w:link w:val="893"/>
    <w:uiPriority w:val="99"/>
    <w:unhideWhenUsed/>
    <w:pPr>
      <w:pBdr/>
      <w:tabs>
        <w:tab w:val="center" w:leader="none" w:pos="4680"/>
        <w:tab w:val="right" w:leader="none" w:pos="9360"/>
      </w:tabs>
      <w:spacing w:after="0" w:line="240" w:lineRule="auto"/>
      <w:ind/>
    </w:pPr>
  </w:style>
  <w:style w:type="character" w:styleId="893" w:customStyle="1">
    <w:name w:val="Footer Char"/>
    <w:basedOn w:val="903"/>
    <w:link w:val="892"/>
    <w:uiPriority w:val="99"/>
    <w:pPr>
      <w:pBdr/>
      <w:spacing/>
      <w:ind/>
    </w:pPr>
  </w:style>
  <w:style w:type="paragraph" w:styleId="894">
    <w:name w:val="Heading 1"/>
    <w:basedOn w:val="889"/>
    <w:next w:val="889"/>
    <w:link w:val="907"/>
    <w:uiPriority w:val="9"/>
    <w:qFormat/>
    <w:pPr>
      <w:keepNext w:val="true"/>
      <w:keepLines w:val="true"/>
      <w:pBdr/>
      <w:spacing w:after="80" w:before="160"/>
      <w:ind/>
      <w:outlineLvl w:val="0"/>
    </w:pPr>
    <w:rPr>
      <w:rFonts w:ascii="Arial" w:hAnsi="Arial" w:eastAsia="Arial" w:asciiTheme="majorHAnsi" w:hAnsiTheme="majorHAnsi" w:eastAsiaTheme="majorEastAsia" w:cstheme="majorBidi"/>
      <w:b/>
      <w:bCs/>
      <w:color w:val="1f4e79"/>
      <w:sz w:val="30"/>
      <w:szCs w:val="28"/>
    </w:rPr>
  </w:style>
  <w:style w:type="paragraph" w:styleId="895">
    <w:name w:val="Heading 2"/>
    <w:basedOn w:val="889"/>
    <w:next w:val="889"/>
    <w:link w:val="908"/>
    <w:uiPriority w:val="9"/>
    <w:unhideWhenUsed/>
    <w:qFormat/>
    <w:pPr>
      <w:keepNext w:val="true"/>
      <w:keepLines w:val="true"/>
      <w:pBdr/>
      <w:spacing w:after="40" w:before="100"/>
      <w:ind/>
      <w:outlineLvl w:val="1"/>
    </w:pPr>
    <w:rPr>
      <w:rFonts w:ascii="Arial" w:hAnsi="Arial" w:eastAsia="Arial" w:asciiTheme="majorHAnsi" w:hAnsiTheme="majorHAnsi" w:eastAsiaTheme="majorEastAsia" w:cstheme="majorBidi"/>
      <w:b/>
      <w:bCs/>
      <w:color w:val="1f4e79"/>
      <w:sz w:val="23"/>
      <w:szCs w:val="26"/>
    </w:rPr>
  </w:style>
  <w:style w:type="paragraph" w:styleId="896">
    <w:name w:val="Heading 3"/>
    <w:basedOn w:val="889"/>
    <w:next w:val="889"/>
    <w:link w:val="90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97">
    <w:name w:val="Heading 4"/>
    <w:basedOn w:val="889"/>
    <w:next w:val="889"/>
    <w:link w:val="93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98">
    <w:name w:val="Heading 5"/>
    <w:basedOn w:val="889"/>
    <w:next w:val="889"/>
    <w:link w:val="93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99">
    <w:name w:val="Heading 6"/>
    <w:basedOn w:val="889"/>
    <w:next w:val="889"/>
    <w:link w:val="93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0">
    <w:name w:val="Heading 7"/>
    <w:basedOn w:val="889"/>
    <w:next w:val="889"/>
    <w:link w:val="94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01">
    <w:name w:val="Heading 8"/>
    <w:basedOn w:val="889"/>
    <w:next w:val="889"/>
    <w:link w:val="94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02">
    <w:name w:val="Heading 9"/>
    <w:basedOn w:val="889"/>
    <w:next w:val="889"/>
    <w:link w:val="94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03" w:default="1">
    <w:name w:val="Default Paragraph Font"/>
    <w:uiPriority w:val="1"/>
    <w:semiHidden/>
    <w:unhideWhenUsed/>
    <w:pPr>
      <w:pBdr/>
      <w:spacing/>
      <w:ind/>
    </w:pPr>
  </w:style>
  <w:style w:type="table" w:styleId="90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5" w:default="1">
    <w:name w:val="No List"/>
    <w:uiPriority w:val="99"/>
    <w:semiHidden/>
    <w:unhideWhenUsed/>
    <w:pPr>
      <w:pBdr/>
      <w:spacing/>
      <w:ind/>
    </w:pPr>
  </w:style>
  <w:style w:type="paragraph" w:styleId="906">
    <w:name w:val="No Spacing"/>
    <w:uiPriority w:val="1"/>
    <w:qFormat/>
    <w:pPr>
      <w:pBdr/>
      <w:spacing w:after="0" w:line="240" w:lineRule="auto"/>
      <w:ind/>
    </w:pPr>
  </w:style>
  <w:style w:type="character" w:styleId="907" w:customStyle="1">
    <w:name w:val="Heading 1 Char"/>
    <w:basedOn w:val="903"/>
    <w:link w:val="894"/>
    <w:uiPriority w:val="9"/>
    <w:pPr>
      <w:pBdr/>
      <w:spacing/>
      <w:ind/>
    </w:pPr>
    <w:rPr>
      <w:rFonts w:asciiTheme="majorHAnsi" w:hAnsiTheme="majorHAnsi" w:eastAsiaTheme="majorEastAsia" w:cstheme="majorBidi"/>
      <w:b/>
      <w:bCs/>
      <w:color w:val="365f91" w:themeColor="accent1" w:themeShade="BF"/>
      <w:sz w:val="28"/>
      <w:szCs w:val="28"/>
    </w:rPr>
  </w:style>
  <w:style w:type="character" w:styleId="908" w:customStyle="1">
    <w:name w:val="Heading 2 Char"/>
    <w:basedOn w:val="903"/>
    <w:link w:val="895"/>
    <w:uiPriority w:val="9"/>
    <w:pPr>
      <w:pBdr/>
      <w:spacing/>
      <w:ind/>
    </w:pPr>
    <w:rPr>
      <w:rFonts w:asciiTheme="majorHAnsi" w:hAnsiTheme="majorHAnsi" w:eastAsiaTheme="majorEastAsia" w:cstheme="majorBidi"/>
      <w:b/>
      <w:bCs/>
      <w:color w:val="4f81bd" w:themeColor="accent1"/>
      <w:sz w:val="26"/>
      <w:szCs w:val="26"/>
    </w:rPr>
  </w:style>
  <w:style w:type="character" w:styleId="909" w:customStyle="1">
    <w:name w:val="Heading 3 Char"/>
    <w:basedOn w:val="903"/>
    <w:link w:val="896"/>
    <w:uiPriority w:val="9"/>
    <w:pPr>
      <w:pBdr/>
      <w:spacing/>
      <w:ind/>
    </w:pPr>
    <w:rPr>
      <w:rFonts w:asciiTheme="majorHAnsi" w:hAnsiTheme="majorHAnsi" w:eastAsiaTheme="majorEastAsia" w:cstheme="majorBidi"/>
      <w:b/>
      <w:bCs/>
      <w:color w:val="4f81bd" w:themeColor="accent1"/>
    </w:rPr>
  </w:style>
  <w:style w:type="paragraph" w:styleId="910">
    <w:name w:val="Title"/>
    <w:basedOn w:val="889"/>
    <w:next w:val="889"/>
    <w:link w:val="91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11" w:customStyle="1">
    <w:name w:val="Title Char"/>
    <w:basedOn w:val="903"/>
    <w:link w:val="91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12">
    <w:name w:val="Subtitle"/>
    <w:basedOn w:val="889"/>
    <w:next w:val="889"/>
    <w:link w:val="91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13" w:customStyle="1">
    <w:name w:val="Subtitle Char"/>
    <w:basedOn w:val="903"/>
    <w:link w:val="91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14">
    <w:name w:val="List Paragraph"/>
    <w:basedOn w:val="889"/>
    <w:uiPriority w:val="34"/>
    <w:qFormat/>
    <w:pPr>
      <w:pBdr/>
      <w:spacing/>
      <w:ind w:left="720"/>
      <w:contextualSpacing w:val="true"/>
    </w:pPr>
  </w:style>
  <w:style w:type="paragraph" w:styleId="915">
    <w:name w:val="Body Text"/>
    <w:basedOn w:val="889"/>
    <w:link w:val="916"/>
    <w:uiPriority w:val="99"/>
    <w:unhideWhenUsed/>
    <w:pPr>
      <w:pBdr/>
      <w:spacing w:after="40" w:line="240" w:lineRule="auto"/>
      <w:ind/>
    </w:pPr>
    <w:rPr>
      <w:rFonts w:ascii="Arial" w:hAnsi="Arial" w:eastAsia="Arial"/>
      <w:sz w:val="19"/>
    </w:rPr>
  </w:style>
  <w:style w:type="character" w:styleId="916" w:customStyle="1">
    <w:name w:val="Body Text Char"/>
    <w:basedOn w:val="903"/>
    <w:link w:val="915"/>
    <w:uiPriority w:val="99"/>
    <w:pPr>
      <w:pBdr/>
      <w:spacing/>
      <w:ind/>
    </w:pPr>
  </w:style>
  <w:style w:type="paragraph" w:styleId="917">
    <w:name w:val="Body Text 2"/>
    <w:basedOn w:val="889"/>
    <w:link w:val="918"/>
    <w:uiPriority w:val="99"/>
    <w:unhideWhenUsed/>
    <w:pPr>
      <w:pBdr/>
      <w:spacing w:after="120" w:line="480" w:lineRule="auto"/>
      <w:ind/>
    </w:pPr>
  </w:style>
  <w:style w:type="character" w:styleId="918" w:customStyle="1">
    <w:name w:val="Body Text 2 Char"/>
    <w:basedOn w:val="903"/>
    <w:link w:val="917"/>
    <w:uiPriority w:val="99"/>
    <w:pPr>
      <w:pBdr/>
      <w:spacing/>
      <w:ind/>
    </w:pPr>
  </w:style>
  <w:style w:type="paragraph" w:styleId="919">
    <w:name w:val="Body Text 3"/>
    <w:basedOn w:val="889"/>
    <w:link w:val="920"/>
    <w:uiPriority w:val="99"/>
    <w:unhideWhenUsed/>
    <w:pPr>
      <w:pBdr/>
      <w:spacing w:after="120"/>
      <w:ind/>
    </w:pPr>
    <w:rPr>
      <w:sz w:val="16"/>
      <w:szCs w:val="16"/>
    </w:rPr>
  </w:style>
  <w:style w:type="character" w:styleId="920" w:customStyle="1">
    <w:name w:val="Body Text 3 Char"/>
    <w:basedOn w:val="903"/>
    <w:link w:val="919"/>
    <w:uiPriority w:val="99"/>
    <w:pPr>
      <w:pBdr/>
      <w:spacing/>
      <w:ind/>
    </w:pPr>
    <w:rPr>
      <w:sz w:val="16"/>
      <w:szCs w:val="16"/>
    </w:rPr>
  </w:style>
  <w:style w:type="paragraph" w:styleId="921">
    <w:name w:val="List"/>
    <w:basedOn w:val="889"/>
    <w:uiPriority w:val="99"/>
    <w:unhideWhenUsed/>
    <w:pPr>
      <w:pBdr/>
      <w:spacing/>
      <w:ind w:hanging="360" w:left="360"/>
      <w:contextualSpacing w:val="true"/>
    </w:pPr>
  </w:style>
  <w:style w:type="paragraph" w:styleId="922">
    <w:name w:val="List 2"/>
    <w:basedOn w:val="889"/>
    <w:uiPriority w:val="99"/>
    <w:unhideWhenUsed/>
    <w:pPr>
      <w:pBdr/>
      <w:spacing/>
      <w:ind w:hanging="360" w:left="720"/>
      <w:contextualSpacing w:val="true"/>
    </w:pPr>
  </w:style>
  <w:style w:type="paragraph" w:styleId="923">
    <w:name w:val="List 3"/>
    <w:basedOn w:val="889"/>
    <w:uiPriority w:val="99"/>
    <w:unhideWhenUsed/>
    <w:pPr>
      <w:pBdr/>
      <w:spacing/>
      <w:ind w:hanging="360" w:left="1080"/>
      <w:contextualSpacing w:val="true"/>
    </w:pPr>
  </w:style>
  <w:style w:type="paragraph" w:styleId="924">
    <w:name w:val="List Bullet"/>
    <w:basedOn w:val="889"/>
    <w:uiPriority w:val="99"/>
    <w:unhideWhenUsed/>
    <w:pPr>
      <w:numPr>
        <w:numId w:val="1"/>
      </w:numPr>
      <w:pBdr/>
      <w:spacing w:after="0" w:line="240" w:lineRule="auto"/>
      <w:ind/>
      <w:contextualSpacing w:val="true"/>
    </w:pPr>
    <w:rPr>
      <w:rFonts w:ascii="Arial" w:hAnsi="Arial" w:eastAsia="Arial"/>
      <w:sz w:val="19"/>
    </w:rPr>
  </w:style>
  <w:style w:type="paragraph" w:styleId="925">
    <w:name w:val="List Bullet 2"/>
    <w:basedOn w:val="889"/>
    <w:uiPriority w:val="99"/>
    <w:unhideWhenUsed/>
    <w:pPr>
      <w:numPr>
        <w:numId w:val="2"/>
      </w:numPr>
      <w:pBdr/>
      <w:spacing/>
      <w:ind/>
      <w:contextualSpacing w:val="true"/>
    </w:pPr>
  </w:style>
  <w:style w:type="paragraph" w:styleId="926">
    <w:name w:val="List Bullet 3"/>
    <w:basedOn w:val="889"/>
    <w:uiPriority w:val="99"/>
    <w:unhideWhenUsed/>
    <w:pPr>
      <w:numPr>
        <w:numId w:val="3"/>
      </w:numPr>
      <w:pBdr/>
      <w:spacing/>
      <w:ind/>
      <w:contextualSpacing w:val="true"/>
    </w:pPr>
  </w:style>
  <w:style w:type="paragraph" w:styleId="927">
    <w:name w:val="List Number"/>
    <w:basedOn w:val="889"/>
    <w:uiPriority w:val="99"/>
    <w:unhideWhenUsed/>
    <w:pPr>
      <w:numPr>
        <w:numId w:val="5"/>
      </w:numPr>
      <w:pBdr/>
      <w:spacing/>
      <w:ind/>
      <w:contextualSpacing w:val="true"/>
    </w:pPr>
  </w:style>
  <w:style w:type="paragraph" w:styleId="928">
    <w:name w:val="List Number 2"/>
    <w:basedOn w:val="889"/>
    <w:uiPriority w:val="99"/>
    <w:unhideWhenUsed/>
    <w:pPr>
      <w:numPr>
        <w:numId w:val="6"/>
      </w:numPr>
      <w:pBdr/>
      <w:spacing/>
      <w:ind/>
      <w:contextualSpacing w:val="true"/>
    </w:pPr>
  </w:style>
  <w:style w:type="paragraph" w:styleId="929">
    <w:name w:val="List Number 3"/>
    <w:basedOn w:val="889"/>
    <w:uiPriority w:val="99"/>
    <w:unhideWhenUsed/>
    <w:pPr>
      <w:numPr>
        <w:numId w:val="7"/>
      </w:numPr>
      <w:pBdr/>
      <w:spacing/>
      <w:ind/>
      <w:contextualSpacing w:val="true"/>
    </w:pPr>
  </w:style>
  <w:style w:type="paragraph" w:styleId="930">
    <w:name w:val="List Continue"/>
    <w:basedOn w:val="889"/>
    <w:uiPriority w:val="99"/>
    <w:unhideWhenUsed/>
    <w:pPr>
      <w:pBdr/>
      <w:spacing w:after="120"/>
      <w:ind w:left="360"/>
      <w:contextualSpacing w:val="true"/>
    </w:pPr>
  </w:style>
  <w:style w:type="paragraph" w:styleId="931">
    <w:name w:val="List Continue 2"/>
    <w:basedOn w:val="889"/>
    <w:uiPriority w:val="99"/>
    <w:unhideWhenUsed/>
    <w:pPr>
      <w:pBdr/>
      <w:spacing w:after="120"/>
      <w:ind w:left="720"/>
      <w:contextualSpacing w:val="true"/>
    </w:pPr>
  </w:style>
  <w:style w:type="paragraph" w:styleId="932">
    <w:name w:val="List Continue 3"/>
    <w:basedOn w:val="889"/>
    <w:uiPriority w:val="99"/>
    <w:unhideWhenUsed/>
    <w:pPr>
      <w:pBdr/>
      <w:spacing w:after="120"/>
      <w:ind w:left="1080"/>
      <w:contextualSpacing w:val="true"/>
    </w:pPr>
  </w:style>
  <w:style w:type="paragraph" w:styleId="933">
    <w:name w:val="macro"/>
    <w:link w:val="93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34" w:customStyle="1">
    <w:name w:val="Macro Text Char"/>
    <w:basedOn w:val="903"/>
    <w:link w:val="933"/>
    <w:uiPriority w:val="99"/>
    <w:pPr>
      <w:pBdr/>
      <w:spacing/>
      <w:ind/>
    </w:pPr>
    <w:rPr>
      <w:rFonts w:ascii="Courier" w:hAnsi="Courier"/>
      <w:sz w:val="20"/>
      <w:szCs w:val="20"/>
    </w:rPr>
  </w:style>
  <w:style w:type="paragraph" w:styleId="935">
    <w:name w:val="Quote"/>
    <w:basedOn w:val="889"/>
    <w:next w:val="889"/>
    <w:link w:val="936"/>
    <w:uiPriority w:val="29"/>
    <w:qFormat/>
    <w:pPr>
      <w:pBdr/>
      <w:spacing/>
      <w:ind/>
    </w:pPr>
    <w:rPr>
      <w:i/>
      <w:iCs/>
      <w:color w:val="000000" w:themeColor="text1"/>
    </w:rPr>
  </w:style>
  <w:style w:type="character" w:styleId="936" w:customStyle="1">
    <w:name w:val="Quote Char"/>
    <w:basedOn w:val="903"/>
    <w:link w:val="935"/>
    <w:uiPriority w:val="29"/>
    <w:pPr>
      <w:pBdr/>
      <w:spacing/>
      <w:ind/>
    </w:pPr>
    <w:rPr>
      <w:i/>
      <w:iCs/>
      <w:color w:val="000000" w:themeColor="text1"/>
    </w:rPr>
  </w:style>
  <w:style w:type="character" w:styleId="937" w:customStyle="1">
    <w:name w:val="Heading 4 Char"/>
    <w:basedOn w:val="903"/>
    <w:link w:val="897"/>
    <w:uiPriority w:val="9"/>
    <w:semiHidden/>
    <w:pPr>
      <w:pBdr/>
      <w:spacing/>
      <w:ind/>
    </w:pPr>
    <w:rPr>
      <w:rFonts w:asciiTheme="majorHAnsi" w:hAnsiTheme="majorHAnsi" w:eastAsiaTheme="majorEastAsia" w:cstheme="majorBidi"/>
      <w:b/>
      <w:bCs/>
      <w:i/>
      <w:iCs/>
      <w:color w:val="4f81bd" w:themeColor="accent1"/>
    </w:rPr>
  </w:style>
  <w:style w:type="character" w:styleId="938" w:customStyle="1">
    <w:name w:val="Heading 5 Char"/>
    <w:basedOn w:val="903"/>
    <w:link w:val="898"/>
    <w:uiPriority w:val="9"/>
    <w:semiHidden/>
    <w:pPr>
      <w:pBdr/>
      <w:spacing/>
      <w:ind/>
    </w:pPr>
    <w:rPr>
      <w:rFonts w:asciiTheme="majorHAnsi" w:hAnsiTheme="majorHAnsi" w:eastAsiaTheme="majorEastAsia" w:cstheme="majorBidi"/>
      <w:color w:val="243f60" w:themeColor="accent1" w:themeShade="7F"/>
    </w:rPr>
  </w:style>
  <w:style w:type="character" w:styleId="939" w:customStyle="1">
    <w:name w:val="Heading 6 Char"/>
    <w:basedOn w:val="903"/>
    <w:link w:val="899"/>
    <w:uiPriority w:val="9"/>
    <w:semiHidden/>
    <w:pPr>
      <w:pBdr/>
      <w:spacing/>
      <w:ind/>
    </w:pPr>
    <w:rPr>
      <w:rFonts w:asciiTheme="majorHAnsi" w:hAnsiTheme="majorHAnsi" w:eastAsiaTheme="majorEastAsia" w:cstheme="majorBidi"/>
      <w:i/>
      <w:iCs/>
      <w:color w:val="243f60" w:themeColor="accent1" w:themeShade="7F"/>
    </w:rPr>
  </w:style>
  <w:style w:type="character" w:styleId="940" w:customStyle="1">
    <w:name w:val="Heading 7 Char"/>
    <w:basedOn w:val="903"/>
    <w:link w:val="900"/>
    <w:uiPriority w:val="9"/>
    <w:semiHidden/>
    <w:pPr>
      <w:pBdr/>
      <w:spacing/>
      <w:ind/>
    </w:pPr>
    <w:rPr>
      <w:rFonts w:asciiTheme="majorHAnsi" w:hAnsiTheme="majorHAnsi" w:eastAsiaTheme="majorEastAsia" w:cstheme="majorBidi"/>
      <w:i/>
      <w:iCs/>
      <w:color w:val="404040" w:themeColor="text1" w:themeTint="BF"/>
    </w:rPr>
  </w:style>
  <w:style w:type="character" w:styleId="941" w:customStyle="1">
    <w:name w:val="Heading 8 Char"/>
    <w:basedOn w:val="903"/>
    <w:link w:val="901"/>
    <w:uiPriority w:val="9"/>
    <w:semiHidden/>
    <w:pPr>
      <w:pBdr/>
      <w:spacing/>
      <w:ind/>
    </w:pPr>
    <w:rPr>
      <w:rFonts w:asciiTheme="majorHAnsi" w:hAnsiTheme="majorHAnsi" w:eastAsiaTheme="majorEastAsia" w:cstheme="majorBidi"/>
      <w:color w:val="4f81bd" w:themeColor="accent1"/>
      <w:sz w:val="20"/>
      <w:szCs w:val="20"/>
    </w:rPr>
  </w:style>
  <w:style w:type="character" w:styleId="942" w:customStyle="1">
    <w:name w:val="Heading 9 Char"/>
    <w:basedOn w:val="903"/>
    <w:link w:val="90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43">
    <w:name w:val="Caption"/>
    <w:basedOn w:val="889"/>
    <w:next w:val="889"/>
    <w:uiPriority w:val="35"/>
    <w:semiHidden/>
    <w:unhideWhenUsed/>
    <w:qFormat/>
    <w:pPr>
      <w:pBdr/>
      <w:spacing w:line="240" w:lineRule="auto"/>
      <w:ind/>
    </w:pPr>
    <w:rPr>
      <w:b/>
      <w:bCs/>
      <w:color w:val="4f81bd" w:themeColor="accent1"/>
      <w:sz w:val="18"/>
      <w:szCs w:val="18"/>
    </w:rPr>
  </w:style>
  <w:style w:type="character" w:styleId="944">
    <w:name w:val="Strong"/>
    <w:basedOn w:val="903"/>
    <w:uiPriority w:val="22"/>
    <w:qFormat/>
    <w:pPr>
      <w:pBdr/>
      <w:spacing/>
      <w:ind/>
    </w:pPr>
    <w:rPr>
      <w:b/>
      <w:bCs/>
    </w:rPr>
  </w:style>
  <w:style w:type="character" w:styleId="945">
    <w:name w:val="Emphasis"/>
    <w:basedOn w:val="903"/>
    <w:uiPriority w:val="20"/>
    <w:qFormat/>
    <w:pPr>
      <w:pBdr/>
      <w:spacing/>
      <w:ind/>
    </w:pPr>
    <w:rPr>
      <w:i/>
      <w:iCs/>
    </w:rPr>
  </w:style>
  <w:style w:type="paragraph" w:styleId="946">
    <w:name w:val="Intense Quote"/>
    <w:basedOn w:val="889"/>
    <w:next w:val="889"/>
    <w:link w:val="947"/>
    <w:uiPriority w:val="30"/>
    <w:qFormat/>
    <w:pPr>
      <w:pBdr>
        <w:bottom w:val="single" w:color="4f81bd" w:themeColor="accent1" w:sz="4" w:space="4"/>
      </w:pBdr>
      <w:spacing w:after="280" w:before="200"/>
      <w:ind w:right="936" w:left="936"/>
    </w:pPr>
    <w:rPr>
      <w:b/>
      <w:bCs/>
      <w:i/>
      <w:iCs/>
      <w:color w:val="4f81bd" w:themeColor="accent1"/>
    </w:rPr>
  </w:style>
  <w:style w:type="character" w:styleId="947" w:customStyle="1">
    <w:name w:val="Intense Quote Char"/>
    <w:basedOn w:val="903"/>
    <w:link w:val="946"/>
    <w:uiPriority w:val="30"/>
    <w:pPr>
      <w:pBdr/>
      <w:spacing/>
      <w:ind/>
    </w:pPr>
    <w:rPr>
      <w:b/>
      <w:bCs/>
      <w:i/>
      <w:iCs/>
      <w:color w:val="4f81bd" w:themeColor="accent1"/>
    </w:rPr>
  </w:style>
  <w:style w:type="character" w:styleId="948">
    <w:name w:val="Subtle Emphasis"/>
    <w:basedOn w:val="903"/>
    <w:uiPriority w:val="19"/>
    <w:qFormat/>
    <w:pPr>
      <w:pBdr/>
      <w:spacing/>
      <w:ind/>
    </w:pPr>
    <w:rPr>
      <w:i/>
      <w:iCs/>
      <w:color w:val="808080" w:themeColor="text1" w:themeTint="7F"/>
    </w:rPr>
  </w:style>
  <w:style w:type="character" w:styleId="949">
    <w:name w:val="Intense Emphasis"/>
    <w:basedOn w:val="903"/>
    <w:uiPriority w:val="21"/>
    <w:qFormat/>
    <w:pPr>
      <w:pBdr/>
      <w:spacing/>
      <w:ind/>
    </w:pPr>
    <w:rPr>
      <w:b/>
      <w:bCs/>
      <w:i/>
      <w:iCs/>
      <w:color w:val="4f81bd" w:themeColor="accent1"/>
    </w:rPr>
  </w:style>
  <w:style w:type="character" w:styleId="950">
    <w:name w:val="Subtle Reference"/>
    <w:basedOn w:val="903"/>
    <w:uiPriority w:val="31"/>
    <w:qFormat/>
    <w:pPr>
      <w:pBdr/>
      <w:spacing/>
      <w:ind/>
    </w:pPr>
    <w:rPr>
      <w:smallCaps/>
      <w:color w:val="c0504d" w:themeColor="accent2"/>
      <w:u w:val="single"/>
    </w:rPr>
  </w:style>
  <w:style w:type="character" w:styleId="951">
    <w:name w:val="Intense Reference"/>
    <w:basedOn w:val="903"/>
    <w:uiPriority w:val="32"/>
    <w:qFormat/>
    <w:pPr>
      <w:pBdr/>
      <w:spacing/>
      <w:ind/>
    </w:pPr>
    <w:rPr>
      <w:b/>
      <w:bCs/>
      <w:smallCaps/>
      <w:color w:val="c0504d" w:themeColor="accent2"/>
      <w:spacing w:val="5"/>
      <w:u w:val="single"/>
    </w:rPr>
  </w:style>
  <w:style w:type="character" w:styleId="952">
    <w:name w:val="Book Title"/>
    <w:basedOn w:val="903"/>
    <w:uiPriority w:val="33"/>
    <w:qFormat/>
    <w:pPr>
      <w:pBdr/>
      <w:spacing/>
      <w:ind/>
    </w:pPr>
    <w:rPr>
      <w:b/>
      <w:bCs/>
      <w:smallCaps/>
      <w:spacing w:val="5"/>
    </w:rPr>
  </w:style>
  <w:style w:type="paragraph" w:styleId="953">
    <w:name w:val="TOC Heading"/>
    <w:basedOn w:val="894"/>
    <w:next w:val="889"/>
    <w:uiPriority w:val="39"/>
    <w:semiHidden/>
    <w:unhideWhenUsed/>
    <w:qFormat/>
    <w:pPr>
      <w:pBdr/>
      <w:spacing/>
      <w:ind/>
      <w:outlineLvl w:val="9"/>
    </w:pPr>
  </w:style>
  <w:style w:type="table" w:styleId="954">
    <w:name w:val="Table Grid"/>
    <w:basedOn w:val="90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Shading"/>
    <w:basedOn w:val="90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Shading Accent 1"/>
    <w:basedOn w:val="90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Shading Accent 2"/>
    <w:basedOn w:val="90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Shading Accent 3"/>
    <w:basedOn w:val="90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Shading Accent 4"/>
    <w:basedOn w:val="90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Shading Accent 5"/>
    <w:basedOn w:val="90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Shading Accent 6"/>
    <w:basedOn w:val="90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List"/>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List Accent 1"/>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List Accent 2"/>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List Accent 3"/>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List Accent 4"/>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List Accent 5"/>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List Accent 6"/>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Grid"/>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Grid Accent 1"/>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Grid Accent 2"/>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Grid Accent 3"/>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Grid Accent 4"/>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Grid Accent 5"/>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Grid Accent 6"/>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1"/>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1 Accent 1"/>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1 Accent 2"/>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1 Accent 3"/>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1 Accent 4"/>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Shading 1 Accent 5"/>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1 Accent 6"/>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2"/>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2 Accent 1"/>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Shading 2 Accent 2"/>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2 Accent 3"/>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2 Accent 4"/>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2 Accent 5"/>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2 Accent 6"/>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1"/>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1 Accent 1"/>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1 Accent 2"/>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1 Accent 3"/>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1 Accent 4"/>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List 1 Accent 5"/>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1 Accent 6"/>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2"/>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2 Accent 1"/>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List 2 Accent 2"/>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2 Accent 3"/>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2 Accent 4"/>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2 Accent 5"/>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2 Accent 6"/>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1"/>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1 Accent 1"/>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1 Accent 2"/>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1 Accent 3"/>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1 Accent 4"/>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1 Accent 5"/>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1 Accent 6"/>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2"/>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2 Accent 1"/>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2 Accent 2"/>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2 Accent 3"/>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2 Accent 4"/>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2 Accent 5"/>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2 Accent 6"/>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3"/>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3 Accent 1"/>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3 Accent 2"/>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3 Accent 3"/>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3 Accent 4"/>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3 Accent 5"/>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3 Accent 6"/>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Dark List"/>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Dark List Accent 1"/>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Dark List Accent 2"/>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Dark List Accent 3"/>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Dark List Accent 4"/>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Dark List Accent 5"/>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Dark List Accent 6"/>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Shading"/>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Shading Accent 1"/>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Shading Accent 2"/>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Shading Accent 3"/>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Shading Accent 4"/>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Shading Accent 5"/>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Shading Accent 6"/>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List"/>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List Accent 1"/>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List Accent 2"/>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List Accent 3"/>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List Accent 4"/>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List Accent 5"/>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List Accent 6"/>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Grid"/>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Grid Accent 1"/>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Grid Accent 2"/>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Grid Accent 3"/>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Grid Accent 4"/>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Grid Accent 5"/>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Grid Accent 6"/>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4</cp:revision>
  <dcterms:created xsi:type="dcterms:W3CDTF">2013-12-23T23:15:00Z</dcterms:created>
  <dcterms:modified xsi:type="dcterms:W3CDTF">2026-07-22T18:04:36Z</dcterms:modified>
  <cp:category/>
</cp:coreProperties>
</file>