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 Likely Q&amp;A – AT2B Presentation</w:t>
      </w:r>
    </w:p>
    <w:p>
      <w:r>
        <w:t>Answers are written in simple English for speaking. The short Vietnamese note (VN) is a memory hint only. Answer structure: short answer first → one number as evidence → what it means for the school.</w:t>
      </w:r>
    </w:p>
    <w:p>
      <w:r>
        <w:rPr>
          <w:b/>
          <w:color w:val="1B2A41"/>
        </w:rPr>
        <w:t>Q1. Why did you choose this dataset and topic?</w:t>
      </w:r>
    </w:p>
    <w:p>
      <w:r>
        <w:rPr>
          <w:b/>
        </w:rPr>
        <w:t xml:space="preserve">Answer: </w:t>
      </w:r>
      <w:r>
        <w:t>Student failure is a real, costly problem, and this dataset links grades to background, family and lifestyle information that schools already collect. It is public, well documented (Cortez &amp; Silva, 2008) and large enough for regression.</w:t>
      </w:r>
    </w:p>
    <w:p>
      <w:r>
        <w:rPr>
          <w:i/>
          <w:color w:val="555555"/>
          <w:sz w:val="20"/>
        </w:rPr>
        <w:t>VN: Chọn vì vấn đề thực tế, dữ liệu công khai, đủ lớn cho hồi quy.</w:t>
      </w:r>
    </w:p>
    <w:p>
      <w:r>
        <w:rPr>
          <w:b/>
          <w:color w:val="1B2A41"/>
        </w:rPr>
        <w:t>Q2. Why did you remove the 15 students with a final grade of 0?</w:t>
      </w:r>
    </w:p>
    <w:p>
      <w:r>
        <w:rPr>
          <w:b/>
        </w:rPr>
        <w:t xml:space="preserve">Answer: </w:t>
      </w:r>
      <w:r>
        <w:t>They had zero absences and non-zero earlier grades, so a zero most likely means they did not sit the final exam, not that they learned nothing. Keeping them would distort a model of achievement. We still kept them in the logistic model and counted them as fails, because non-completion is something schools want to flag.</w:t>
      </w:r>
    </w:p>
    <w:p>
      <w:r>
        <w:rPr>
          <w:i/>
          <w:color w:val="555555"/>
          <w:sz w:val="20"/>
        </w:rPr>
        <w:t>VN: G3=0 là bỏ thi, không phải điểm thật; loại khỏi OLS, giữ trong logistic.</w:t>
      </w:r>
    </w:p>
    <w:p>
      <w:r>
        <w:rPr>
          <w:b/>
          <w:color w:val="1B2A41"/>
        </w:rPr>
        <w:t>Q3. Why did you not use G1 and G2 in your main model? They are the best predictors.</w:t>
      </w:r>
    </w:p>
    <w:p>
      <w:r>
        <w:rPr>
          <w:b/>
        </w:rPr>
        <w:t xml:space="preserve">Answer: </w:t>
      </w:r>
      <w:r>
        <w:t>Because they are almost the same thing as the outcome measured earlier (correlation 0.88 and 0.94). Including them would hide every other factor and would not help a school act at enrolment. We tested them separately in question 3 to show how much they add.</w:t>
      </w:r>
    </w:p>
    <w:p>
      <w:r>
        <w:rPr>
          <w:i/>
          <w:color w:val="555555"/>
          <w:sz w:val="20"/>
        </w:rPr>
        <w:t>VN: G1/G2 gây rò rỉ thông tin (leakage); tách riêng ở RQ3.</w:t>
      </w:r>
    </w:p>
    <w:p>
      <w:r>
        <w:rPr>
          <w:b/>
          <w:color w:val="1B2A41"/>
        </w:rPr>
        <w:t>Q4. How did you choose the 12 predictors?</w:t>
      </w:r>
    </w:p>
    <w:p>
      <w:r>
        <w:rPr>
          <w:b/>
        </w:rPr>
        <w:t xml:space="preserve">Answer: </w:t>
      </w:r>
      <w:r>
        <w:t>We used the EDA: we kept variables with a clear relationship with the final grade, plus factors supported by the original study. From pairs that were strongly correlated, like mother's and father's education or weekday and weekend alcohol, we kept only one to avoid multicollinearity. All VIFs were below 1.25.</w:t>
      </w:r>
    </w:p>
    <w:p>
      <w:r>
        <w:rPr>
          <w:i/>
          <w:color w:val="555555"/>
          <w:sz w:val="20"/>
        </w:rPr>
        <w:t>VN: Chọn biến theo EDA + tài liệu; bỏ 1 biến trong cặp tương quan cao.</w:t>
      </w:r>
    </w:p>
    <w:p>
      <w:r>
        <w:rPr>
          <w:b/>
          <w:color w:val="1B2A41"/>
        </w:rPr>
        <w:t>Q5. Why linear regression for the grade? The grade is between 0 and 20.</w:t>
      </w:r>
    </w:p>
    <w:p>
      <w:r>
        <w:rPr>
          <w:b/>
        </w:rPr>
        <w:t xml:space="preserve">Answer: </w:t>
      </w:r>
      <w:r>
        <w:t>After removing the zeros, the grade is roughly symmetric (skew 0.13) with many values, so a linear model is a reasonable approximation and easy to explain. We checked the residuals and they were close to normal. An ordinal or beta model could be a future improvement.</w:t>
      </w:r>
    </w:p>
    <w:p>
      <w:r>
        <w:rPr>
          <w:i/>
          <w:color w:val="555555"/>
          <w:sz w:val="20"/>
        </w:rPr>
        <w:t>VN: Điểm gần đối xứng, nhiều mức nên dùng OLS hợp lý; có thể thử ordinal model.</w:t>
      </w:r>
    </w:p>
    <w:p>
      <w:r>
        <w:rPr>
          <w:b/>
          <w:color w:val="1B2A41"/>
        </w:rPr>
        <w:t>Q6. Which regression assumptions did you check, and were they met?</w:t>
      </w:r>
    </w:p>
    <w:p>
      <w:r>
        <w:rPr>
          <w:b/>
        </w:rPr>
        <w:t xml:space="preserve">Answer: </w:t>
      </w:r>
      <w:r>
        <w:t>Linearity (residual vs fitted plot), constant variance (Breusch–Pagan p = 0.06, borderline), normality (Q–Q plot, Shapiro–Wilk p = 0.003 with mild tails), multicollinearity (VIF max 1.23), influence (Cook's distance max 0.04) and independence (Durbin–Watson 1.79). Most were met; for the others we used mitigations.</w:t>
      </w:r>
    </w:p>
    <w:p>
      <w:r>
        <w:rPr>
          <w:i/>
          <w:color w:val="555555"/>
          <w:sz w:val="20"/>
        </w:rPr>
        <w:t>VN: Kể đủ 6 giả định và kết quả.</w:t>
      </w:r>
    </w:p>
    <w:p>
      <w:r>
        <w:rPr>
          <w:b/>
          <w:color w:val="1B2A41"/>
        </w:rPr>
        <w:t>Q7. What did you do because the variance was not perfectly constant?</w:t>
      </w:r>
    </w:p>
    <w:p>
      <w:r>
        <w:rPr>
          <w:b/>
        </w:rPr>
        <w:t xml:space="preserve">Answer: </w:t>
      </w:r>
      <w:r>
        <w:t>We reported HC3 heteroscedasticity-robust standard errors. They give valid confidence intervals and p-values even if the variance is uneven. The coefficients themselves do not change.</w:t>
      </w:r>
    </w:p>
    <w:p>
      <w:r>
        <w:rPr>
          <w:i/>
          <w:color w:val="555555"/>
          <w:sz w:val="20"/>
        </w:rPr>
        <w:t>VN: Dùng robust SE (HC3) để khắc phục phương sai không đều.</w:t>
      </w:r>
    </w:p>
    <w:p>
      <w:r>
        <w:rPr>
          <w:b/>
          <w:color w:val="1B2A41"/>
        </w:rPr>
        <w:t>Q8. Your residuals are not normal according to Shapiro–Wilk. Is that a problem?</w:t>
      </w:r>
    </w:p>
    <w:p>
      <w:r>
        <w:rPr>
          <w:b/>
        </w:rPr>
        <w:t xml:space="preserve">Answer: </w:t>
      </w:r>
      <w:r>
        <w:t>Not a serious one. With 634 students, Shapiro–Wilk detects even very small departures. The Q–Q plot shows only slightly heavy tails, caused by the grade being a whole number. With a large sample, the central limit theorem makes coefficient tests robust.</w:t>
      </w:r>
    </w:p>
    <w:p>
      <w:r>
        <w:rPr>
          <w:i/>
          <w:color w:val="555555"/>
          <w:sz w:val="20"/>
        </w:rPr>
        <w:t>VN: Mẫu lớn → Shapiro nhạy; CLT đảm bảo suy luận vẫn ổn.</w:t>
      </w:r>
    </w:p>
    <w:p>
      <w:r>
        <w:rPr>
          <w:b/>
          <w:color w:val="1B2A41"/>
        </w:rPr>
        <w:t>Q9. What does R² = 0.36 mean? Is it too low?</w:t>
      </w:r>
    </w:p>
    <w:p>
      <w:r>
        <w:rPr>
          <w:b/>
        </w:rPr>
        <w:t xml:space="preserve">Answer: </w:t>
      </w:r>
      <w:r>
        <w:t>It means background factors explain about 36% of the differences in final grades (32% on unseen data). For human behaviour data this is normal, because motivation, teaching quality and many other things are not in the data. It is useful for ranking students, but not for predicting an exact grade.</w:t>
      </w:r>
    </w:p>
    <w:p>
      <w:r>
        <w:rPr>
          <w:i/>
          <w:color w:val="555555"/>
          <w:sz w:val="20"/>
        </w:rPr>
        <w:t>VN: R² thấp là bình thường với dữ liệu hành vi con người.</w:t>
      </w:r>
    </w:p>
    <w:p>
      <w:r>
        <w:rPr>
          <w:b/>
          <w:color w:val="1B2A41"/>
        </w:rPr>
        <w:t>Q10. How do you know the model is not overfitting?</w:t>
      </w:r>
    </w:p>
    <w:p>
      <w:r>
        <w:rPr>
          <w:b/>
        </w:rPr>
        <w:t xml:space="preserve">Answer: </w:t>
      </w:r>
      <w:r>
        <w:t>We used 10-fold cross-validation. The cross-validated R² (0.32) is very close to the training R² (0.36), and the cross-validated AUC is 0.84. A small gap means little overfitting.</w:t>
      </w:r>
    </w:p>
    <w:p>
      <w:r>
        <w:rPr>
          <w:i/>
          <w:color w:val="555555"/>
          <w:sz w:val="20"/>
        </w:rPr>
        <w:t>VN: CV R² gần R² huấn luyện → không overfit.</w:t>
      </w:r>
    </w:p>
    <w:p>
      <w:r>
        <w:rPr>
          <w:b/>
          <w:color w:val="1B2A41"/>
        </w:rPr>
        <w:t>Q11. Why does extra school support have a negative effect? Should schools stop it?</w:t>
      </w:r>
    </w:p>
    <w:p>
      <w:r>
        <w:rPr>
          <w:b/>
        </w:rPr>
        <w:t xml:space="preserve">Answer: </w:t>
      </w:r>
      <w:r>
        <w:t>No. This is reverse causation: schools give extra support to students who are already weaker. Our data is observational, so it shows a link, not a cause. To measure the real effect of support, we would need a controlled study.</w:t>
      </w:r>
    </w:p>
    <w:p>
      <w:r>
        <w:rPr>
          <w:i/>
          <w:color w:val="555555"/>
          <w:sz w:val="20"/>
        </w:rPr>
        <w:t>VN: Nhân quả ngược: học sinh yếu mới được hỗ trợ.</w:t>
      </w:r>
    </w:p>
    <w:p>
      <w:r>
        <w:rPr>
          <w:b/>
          <w:color w:val="1B2A41"/>
        </w:rPr>
        <w:t>Q12. Why is age positive when older students usually do worse?</w:t>
      </w:r>
    </w:p>
    <w:p>
      <w:r>
        <w:rPr>
          <w:b/>
        </w:rPr>
        <w:t xml:space="preserve">Answer: </w:t>
      </w:r>
      <w:r>
        <w:t>Without controlling for anything, age is slightly negative. But older students often have past failures. Once we hold failures constant, older students score a bit higher, which may reflect maturity. This shows why multiple regression is useful.</w:t>
      </w:r>
    </w:p>
    <w:p>
      <w:r>
        <w:rPr>
          <w:i/>
          <w:color w:val="555555"/>
          <w:sz w:val="20"/>
        </w:rPr>
        <w:t>VN: Khi kiểm soát failures, tuổi lớn hơn → trưởng thành hơn.</w:t>
      </w:r>
    </w:p>
    <w:p>
      <w:r>
        <w:rPr>
          <w:b/>
          <w:color w:val="1B2A41"/>
        </w:rPr>
        <w:t>Q13. Why is the MS school so different? Is it a worse school?</w:t>
      </w:r>
    </w:p>
    <w:p>
      <w:r>
        <w:rPr>
          <w:b/>
        </w:rPr>
        <w:t xml:space="preserve">Answer: </w:t>
      </w:r>
      <w:r>
        <w:t>We cannot say that. MS students may come from more rural areas or have different resources, which our data does not measure. The school variable captures these unmeasured differences. It should trigger further investigation, not a judgement about the school.</w:t>
      </w:r>
    </w:p>
    <w:p>
      <w:r>
        <w:rPr>
          <w:i/>
          <w:color w:val="555555"/>
          <w:sz w:val="20"/>
        </w:rPr>
        <w:t>VN: Không kết luận trường kém; có thể do yếu tố không đo được.</w:t>
      </w:r>
    </w:p>
    <w:p>
      <w:r>
        <w:rPr>
          <w:b/>
          <w:color w:val="1B2A41"/>
        </w:rPr>
        <w:t>Q14. What is AUC and why is 0.84 good?</w:t>
      </w:r>
    </w:p>
    <w:p>
      <w:r>
        <w:rPr>
          <w:b/>
        </w:rPr>
        <w:t xml:space="preserve">Answer: </w:t>
      </w:r>
      <w:r>
        <w:t>AUC is the chance that the model gives a higher risk to a student who fails than to a student who passes. 0.5 is a coin toss and 1.0 is perfect. Values above 0.8 are usually considered good discrimination.</w:t>
      </w:r>
    </w:p>
    <w:p>
      <w:r>
        <w:rPr>
          <w:i/>
          <w:color w:val="555555"/>
          <w:sz w:val="20"/>
        </w:rPr>
        <w:t>VN: AUC = khả năng xếp hạng đúng; &gt;0.8 là tốt.</w:t>
      </w:r>
    </w:p>
    <w:p>
      <w:r>
        <w:rPr>
          <w:b/>
          <w:color w:val="1B2A41"/>
        </w:rPr>
        <w:t>Q15. Why did you use the average fail rate (15%) as the threshold?</w:t>
      </w:r>
    </w:p>
    <w:p>
      <w:r>
        <w:rPr>
          <w:b/>
        </w:rPr>
        <w:t xml:space="preserve">Answer: </w:t>
      </w:r>
      <w:r>
        <w:t>For an early-warning tool, missing a student who fails is worse than checking in with one who is fine. A 0.5 threshold would flag very few students. At 15%, we catch 74% of fails while flagging about one third of students. A school can move the threshold depending on its support budget.</w:t>
      </w:r>
    </w:p>
    <w:p>
      <w:r>
        <w:rPr>
          <w:i/>
          <w:color w:val="555555"/>
          <w:sz w:val="20"/>
        </w:rPr>
        <w:t>VN: Ngưỡng 15% ưu tiên độ nhạy (sensitivity) cho cảnh báo sớm.</w:t>
      </w:r>
    </w:p>
    <w:p>
      <w:r>
        <w:rPr>
          <w:b/>
          <w:color w:val="1B2A41"/>
        </w:rPr>
        <w:t>Q16. Did you check the assumptions of the logistic regression?</w:t>
      </w:r>
    </w:p>
    <w:p>
      <w:r>
        <w:rPr>
          <w:b/>
        </w:rPr>
        <w:t xml:space="preserve">Answer: </w:t>
      </w:r>
      <w:r>
        <w:t>Yes. Linearity of the logit with Box–Tidwell terms (p &gt; 0.3), goodness of fit with Hosmer–Lemeshow (p = 0.34), and multicollinearity (same low VIFs). Events per variable was 8.3, slightly below 10, so we relied on cross-validation to check stability.</w:t>
      </w:r>
    </w:p>
    <w:p>
      <w:r>
        <w:rPr>
          <w:i/>
          <w:color w:val="555555"/>
          <w:sz w:val="20"/>
        </w:rPr>
        <w:t>VN: Box–Tidwell, Hosmer–Lemeshow, EPV.</w:t>
      </w:r>
    </w:p>
    <w:p>
      <w:r>
        <w:rPr>
          <w:b/>
          <w:color w:val="1B2A41"/>
        </w:rPr>
        <w:t>Q17. Is the result applicable to Australian schools?</w:t>
      </w:r>
    </w:p>
    <w:p>
      <w:r>
        <w:rPr>
          <w:b/>
        </w:rPr>
        <w:t xml:space="preserve">Answer: </w:t>
      </w:r>
      <w:r>
        <w:t>Not directly. The data is from two Portuguese schools in 2005–06. The general patterns, like past failure being a strong warning sign, match other research, but the exact numbers should be re-estimated with local data before use.</w:t>
      </w:r>
    </w:p>
    <w:p>
      <w:r>
        <w:rPr>
          <w:i/>
          <w:color w:val="555555"/>
          <w:sz w:val="20"/>
        </w:rPr>
        <w:t>VN: Không áp dụng trực tiếp; cần dữ liệu địa phương.</w:t>
      </w:r>
    </w:p>
    <w:p>
      <w:r>
        <w:rPr>
          <w:b/>
          <w:color w:val="1B2A41"/>
        </w:rPr>
        <w:t>Q18. What are the main ethical risks of using this model?</w:t>
      </w:r>
    </w:p>
    <w:p>
      <w:r>
        <w:rPr>
          <w:b/>
        </w:rPr>
        <w:t xml:space="preserve">Answer: </w:t>
      </w:r>
      <w:r>
        <w:t>Labelling students, self-fulfilling expectations, and unfair treatment by gender or school. We recommend using the list only to offer support, keeping humans in the decision, and not using sensitive variables like sex to make decisions about individuals.</w:t>
      </w:r>
    </w:p>
    <w:p>
      <w:r>
        <w:rPr>
          <w:i/>
          <w:color w:val="555555"/>
          <w:sz w:val="20"/>
        </w:rPr>
        <w:t>VN: Rủi ro gán nhãn, thiên vị; dùng để hỗ trợ, không phân loại.</w:t>
      </w:r>
    </w:p>
    <w:p>
      <w:r>
        <w:rPr>
          <w:b/>
          <w:color w:val="1B2A41"/>
        </w:rPr>
        <w:t>Q19. How would you apply Indigenous data sovereignty if this data included Aboriginal and Torres Strait Islander students?</w:t>
      </w:r>
    </w:p>
    <w:p>
      <w:r>
        <w:rPr>
          <w:b/>
        </w:rPr>
        <w:t xml:space="preserve">Answer: </w:t>
      </w:r>
      <w:r>
        <w:t>We would follow the CARE and Maiam nayri Wingara principles: co-design the questions with community representatives, get collective as well as individual consent, agree on community ownership and control of the data, report strengths-based results instead of deficit comparisons, and return results to the community in a useful form.</w:t>
      </w:r>
    </w:p>
    <w:p>
      <w:r>
        <w:rPr>
          <w:i/>
          <w:color w:val="555555"/>
          <w:sz w:val="20"/>
        </w:rPr>
        <w:t>VN: Nêu nguyên tắc CARE + Maiam nayri Wingara và 5 bước.</w:t>
      </w:r>
    </w:p>
    <w:p>
      <w:r>
        <w:rPr>
          <w:b/>
          <w:color w:val="1B2A41"/>
        </w:rPr>
        <w:t>Q20. If you had more time, what would you do next?</w:t>
      </w:r>
    </w:p>
    <w:p>
      <w:r>
        <w:rPr>
          <w:b/>
        </w:rPr>
        <w:t xml:space="preserve">Answer: </w:t>
      </w:r>
      <w:r>
        <w:t>Validate the model on newer cohorts, try an ordinal or beta regression that respects the 0–20 scale, use multilevel models if more schools were available, and test whether targeted support actually improves outcomes with a trial.</w:t>
      </w:r>
    </w:p>
    <w:p>
      <w:r>
        <w:rPr>
          <w:i/>
          <w:color w:val="555555"/>
          <w:sz w:val="20"/>
        </w:rPr>
        <w:t>VN: Hướng phát triển: dữ liệu mới, ordinal/multilevel model, thử nghiệm can thiệp.</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