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Pr>
          <w:rFonts w:ascii="Calibri" w:cs="Calibri" w:eastAsia="Calibri" w:hAnsi="Calibri"/>
          <w:rtl w:val="0"/>
        </w:rPr>
        <w:t xml:space="preserve">Assessment Task 3: Data analysis project for marketing campaigns</w:t>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Subject: 36103 Statistical Thinking for Data Science</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Student name: Quang Trung Nguyen</w:t>
      </w:r>
    </w:p>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Student ID: 26643559</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Date of submission: 1 November 2026</w:t>
      </w:r>
    </w:p>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University of Technology Sydney: TD School</w:t>
      </w:r>
      <w:r>
        <w:br w:type="page"/>
      </w:r>
      <w:r>
        <w:rPr>
          <w:rtl w:val="0"/>
        </w:rPr>
      </w:r>
    </w:p>
    <w:p w:rsidR="00000000" w:rsidDel="00000000" w:rsidP="00000000" w:rsidRDefault="00000000" w:rsidRPr="00000000" w14:paraId="00000006">
      <w:pPr>
        <w:pStyle w:val="Heading1"/>
        <w:rPr>
          <w:rFonts w:ascii="Calibri" w:cs="Calibri" w:eastAsia="Calibri" w:hAnsi="Calibri"/>
        </w:rPr>
      </w:pPr>
      <w:r>
        <w:rPr>
          <w:rFonts w:ascii="Calibri" w:cs="Calibri" w:eastAsia="Calibri" w:hAnsi="Calibri"/>
          <w:rtl w:val="0"/>
        </w:rPr>
        <w:t xml:space="preserve">Executive summary</w:t>
      </w:r>
    </w:p>
    <w:p w:rsidR="00000000" w:rsidDel="00000000" w:rsidP="00000000" w:rsidRDefault="00000000" w:rsidRPr="00000000" w14:paraId="00000007">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called 41,168 customers about a new plan, and 11.3% subscribed. I compared four models on 8,234 customers held out from training. Previous subscribers are the best prospects: 65% subscribed again, and they supply 19% of all subscribers. Customers aged 65 and over (47% subscribed) and under 25 (24%) respond far better than those aged 35 to 54 (9%), and mobile calls work better than landline calls.</w:t>
      </w:r>
    </w:p>
    <w:p w:rsidR="00000000" w:rsidDel="00000000" w:rsidP="00000000" w:rsidRDefault="00000000" w:rsidRPr="00000000" w14:paraId="00000008">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Calling the top 20% of customers ranked by the logistic regression model would reach 65% of subscribers with 80% fewer calls. I recommend this model, a limit of three call attempts, and a cap on calls to customers aged 65 and over.</w:t>
      </w:r>
    </w:p>
    <w:p w:rsidR="00000000" w:rsidDel="00000000" w:rsidP="00000000" w:rsidRDefault="00000000" w:rsidRPr="00000000" w14:paraId="00000009">
      <w:pPr>
        <w:pStyle w:val="Heading1"/>
        <w:spacing w:after="140" w:line="276" w:lineRule="auto"/>
        <w:rPr>
          <w:rFonts w:ascii="Calibri" w:cs="Calibri" w:eastAsia="Calibri" w:hAnsi="Calibri"/>
        </w:rPr>
      </w:pPr>
      <w:r>
        <w:rPr>
          <w:rFonts w:ascii="Calibri" w:cs="Calibri" w:eastAsia="Calibri" w:hAnsi="Calibri"/>
          <w:rtl w:val="0"/>
        </w:rPr>
        <w:t xml:space="preserve">Table of contents</w:t>
      </w:r>
    </w:p>
    <w:p>
      <w:pPr>
        <w:tabs>
          <w:tab w:val="right" w:leader="dot" w:pos="9029"/>
        </w:tabs>
        <w:spacing w:before="0" w:after="60"/>
      </w:pPr>
      <w:r>
        <w:fldChar w:fldCharType="begin"/>
      </w:r>
      <w:r>
        <w:instrText xml:space="preserve"> TOC \o "1-1" \z \u </w:instrText>
      </w:r>
      <w:r>
        <w:fldChar w:fldCharType="separate"/>
      </w:r>
      <w:r>
        <w:t xml:space="preserve">Problem formulation</w:t>
      </w:r>
      <w:r>
        <w:tab/>
      </w:r>
      <w:r>
        <w:t xml:space="preserve">3</w:t>
      </w:r>
    </w:p>
    <w:p>
      <w:pPr>
        <w:tabs>
          <w:tab w:val="right" w:leader="dot" w:pos="9029"/>
        </w:tabs>
        <w:spacing w:before="0" w:after="60"/>
      </w:pPr>
      <w:r>
        <w:t xml:space="preserve">Data and preparation</w:t>
      </w:r>
      <w:r>
        <w:tab/>
      </w:r>
      <w:r>
        <w:t xml:space="preserve">4</w:t>
      </w:r>
    </w:p>
    <w:p>
      <w:pPr>
        <w:tabs>
          <w:tab w:val="right" w:leader="dot" w:pos="9029"/>
        </w:tabs>
        <w:spacing w:before="0" w:after="60"/>
      </w:pPr>
      <w:r>
        <w:t xml:space="preserve">Methodology</w:t>
      </w:r>
      <w:r>
        <w:tab/>
      </w:r>
      <w:r>
        <w:t xml:space="preserve">5</w:t>
      </w:r>
    </w:p>
    <w:p>
      <w:pPr>
        <w:tabs>
          <w:tab w:val="right" w:leader="dot" w:pos="9029"/>
        </w:tabs>
        <w:spacing w:before="0" w:after="60"/>
      </w:pPr>
      <w:r>
        <w:t xml:space="preserve">Results</w:t>
      </w:r>
      <w:r>
        <w:tab/>
      </w:r>
      <w:r>
        <w:t xml:space="preserve">7</w:t>
      </w:r>
    </w:p>
    <w:p>
      <w:pPr>
        <w:tabs>
          <w:tab w:val="right" w:leader="dot" w:pos="9029"/>
        </w:tabs>
        <w:spacing w:before="0" w:after="60"/>
      </w:pPr>
      <w:r>
        <w:t xml:space="preserve">Business insights and strategy</w:t>
      </w:r>
      <w:r>
        <w:tab/>
      </w:r>
      <w:r>
        <w:t xml:space="preserve">12</w:t>
      </w:r>
    </w:p>
    <w:p>
      <w:pPr>
        <w:tabs>
          <w:tab w:val="right" w:leader="dot" w:pos="9029"/>
        </w:tabs>
        <w:spacing w:before="0" w:after="60"/>
      </w:pPr>
      <w:r>
        <w:t xml:space="preserve">Ethics, privacy and Indigenous data sovereignty</w:t>
      </w:r>
      <w:r>
        <w:tab/>
      </w:r>
      <w:r>
        <w:t xml:space="preserve">13</w:t>
      </w:r>
    </w:p>
    <w:p>
      <w:pPr>
        <w:tabs>
          <w:tab w:val="right" w:leader="dot" w:pos="9029"/>
        </w:tabs>
        <w:spacing w:before="0" w:after="60"/>
      </w:pPr>
      <w:r>
        <w:t xml:space="preserve">Limitations and conclusion</w:t>
      </w:r>
      <w:r>
        <w:tab/>
      </w:r>
      <w:r>
        <w:t xml:space="preserve">14</w:t>
      </w:r>
    </w:p>
    <w:p>
      <w:pPr>
        <w:tabs>
          <w:tab w:val="right" w:leader="dot" w:pos="9029"/>
        </w:tabs>
        <w:spacing w:before="0" w:after="60"/>
      </w:pPr>
      <w:r>
        <w:t xml:space="preserve">References</w:t>
      </w:r>
      <w:r>
        <w:tab/>
      </w:r>
      <w:r>
        <w:t xml:space="preserve">15</w:t>
      </w:r>
    </w:p>
    <w:p>
      <w:pPr>
        <w:tabs>
          <w:tab w:val="right" w:leader="dot" w:pos="9029"/>
        </w:tabs>
        <w:spacing w:before="0" w:after="60"/>
      </w:pPr>
      <w:r>
        <w:t xml:space="preserve">Appendix A. Tests of association with subscription</w:t>
      </w:r>
      <w:r>
        <w:tab/>
      </w:r>
      <w:r>
        <w:t xml:space="preserve">16</w:t>
      </w:r>
    </w:p>
    <w:p>
      <w:pPr>
        <w:tabs>
          <w:tab w:val="right" w:leader="dot" w:pos="9029"/>
        </w:tabs>
        <w:spacing w:before="0" w:after="60"/>
      </w:pPr>
      <w:r>
        <w:t xml:space="preserve">Appendix B. Logistic regression model selection</w:t>
      </w:r>
      <w:r>
        <w:tab/>
      </w:r>
      <w:r>
        <w:t xml:space="preserve">16</w:t>
      </w:r>
    </w:p>
    <w:p>
      <w:pPr>
        <w:tabs>
          <w:tab w:val="right" w:leader="dot" w:pos="9029"/>
        </w:tabs>
        <w:spacing w:before="0" w:after="60"/>
      </w:pPr>
      <w:r>
        <w:t xml:space="preserve">Appendix C. Decision tree segments</w:t>
      </w:r>
      <w:r>
        <w:tab/>
      </w:r>
      <w:r>
        <w:t xml:space="preserve">17</w:t>
      </w:r>
    </w:p>
    <w:p>
      <w:pPr>
        <w:tabs>
          <w:tab w:val="right" w:leader="dot" w:pos="9029"/>
        </w:tabs>
        <w:spacing w:before="0" w:after="60"/>
      </w:pPr>
      <w:r>
        <w:t xml:space="preserve">Appendix D. Bayesian segment estimates</w:t>
      </w:r>
      <w:r>
        <w:tab/>
      </w:r>
      <w:r>
        <w:t xml:space="preserve">17</w:t>
      </w:r>
    </w:p>
    <w:p>
      <w:pPr>
        <w:tabs>
          <w:tab w:val="right" w:leader="dot" w:pos="9029"/>
        </w:tabs>
        <w:spacing w:before="0" w:after="60"/>
      </w:pPr>
      <w:r>
        <w:t xml:space="preserve">Appendix E. Full odds ratio table (model M4)</w:t>
      </w:r>
      <w:r>
        <w:tab/>
      </w:r>
      <w:r>
        <w:t xml:space="preserve">18</w:t>
      </w:r>
    </w:p>
    <w:p>
      <w:pPr>
        <w:tabs>
          <w:tab w:val="right" w:leader="dot" w:pos="9029"/>
        </w:tabs>
        <w:spacing w:before="0" w:after="60"/>
      </w:pPr>
      <w:r>
        <w:t xml:space="preserve">Appendix F. Code</w:t>
      </w:r>
      <w:r>
        <w:tab/>
      </w:r>
      <w:r>
        <w:t xml:space="preserve">19</w:t>
      </w:r>
    </w:p>
    <w:p>
      <w:pPr>
        <w:tabs>
          <w:tab w:val="right" w:leader="dot" w:pos="9029"/>
        </w:tabs>
        <w:spacing w:before="0" w:after="60"/>
      </w:pPr>
      <w:r>
        <w:t xml:space="preserve">Appendix G. Bayesian logistic regression compared with maximum likelihood</w:t>
      </w:r>
      <w:r>
        <w:tab/>
      </w:r>
      <w:r>
        <w:t xml:space="preserve">20</w:t>
      </w:r>
    </w:p>
    <w:p>
      <w:pPr>
        <w:tabs>
          <w:tab w:val="right" w:leader="dot" w:pos="9029"/>
        </w:tabs>
        <w:spacing w:before="0" w:after="60"/>
      </w:pPr>
      <w:r>
        <w:t xml:space="preserve">Appendix H. Declaration of AI use</w:t>
      </w:r>
      <w:r>
        <w:tab/>
      </w:r>
      <w:r>
        <w:t xml:space="preserve">21</w:t>
      </w:r>
      <w:r>
        <w:fldChar w:fldCharType="end"/>
      </w:r>
    </w:p>
    <w:p w:rsidR="00000000" w:rsidDel="00000000" w:rsidP="00000000" w:rsidRDefault="00000000" w:rsidRPr="00000000" w14:paraId="0000000A">
      <w:pPr>
        <w:rPr>
          <w:rFonts w:ascii="Calibri" w:cs="Calibri" w:eastAsia="Calibri" w:hAnsi="Calibri"/>
        </w:rPr>
      </w:pPr>
      <w:r>
        <w:br w:type="page"/>
      </w:r>
      <w:r>
        <w:rPr>
          <w:rtl w:val="0"/>
        </w:rPr>
      </w:r>
    </w:p>
    <w:p w:rsidR="00000000" w:rsidDel="00000000" w:rsidP="00000000" w:rsidRDefault="00000000" w:rsidRPr="00000000" w14:paraId="0000000B">
      <w:pPr>
        <w:pStyle w:val="Heading1"/>
        <w:rPr>
          <w:rFonts w:ascii="Calibri" w:cs="Calibri" w:eastAsia="Calibri" w:hAnsi="Calibri"/>
        </w:rPr>
      </w:pPr>
      <w:bookmarkStart w:colFirst="0" w:colLast="0" w:name="_vriuce6phlv0" w:id="2"/>
      <w:bookmarkEnd w:id="2"/>
      <w:r>
        <w:rPr>
          <w:rFonts w:ascii="Calibri" w:cs="Calibri" w:eastAsia="Calibri" w:hAnsi="Calibri"/>
          <w:rtl w:val="0"/>
        </w:rPr>
        <w:t xml:space="preserve">Problem formulation</w:t>
      </w:r>
    </w:p>
    <w:p w:rsidR="00000000" w:rsidDel="00000000" w:rsidP="00000000" w:rsidRDefault="00000000" w:rsidRPr="00000000" w14:paraId="0000000C">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wants to know which customers respond best to its new plan and how to improve the next campaign, since 36,531 of the 41,168 customers called did not subscribe. This report is for the marketing team that decides whom to call; the models turn customer records into a ranked call list that shows in advance who is likely to say yes. The analysis answers three research questions:</w:t>
      </w:r>
    </w:p>
    <w:p w:rsidR="00000000" w:rsidDel="00000000" w:rsidP="00000000" w:rsidRDefault="00000000" w:rsidRPr="00000000" w14:paraId="0000000D">
      <w:pPr>
        <w:spacing w:after="140" w:line="276" w:lineRule="auto"/>
        <w:rPr>
          <w:rFonts w:ascii="Calibri" w:cs="Calibri" w:eastAsia="Calibri" w:hAnsi="Calibri"/>
          <w:color w:val="1a1a1a"/>
        </w:rPr>
      </w:pPr>
      <w:r>
        <w:rPr>
          <w:rFonts w:ascii="Calibri" w:cs="Calibri" w:eastAsia="Calibri" w:hAnsi="Calibri"/>
          <w:color w:val="1a1a1a"/>
          <w:rtl w:val="0"/>
        </w:rPr>
        <w:t xml:space="preserve">RQ1: Which segments are most likely to subscribe after adjusting for contact method, campaign history and economic conditions? </w:t>
      </w:r>
    </w:p>
    <w:p w:rsidR="00000000" w:rsidDel="00000000" w:rsidP="00000000" w:rsidRDefault="00000000" w:rsidRPr="00000000" w14:paraId="0000000E">
      <w:pPr>
        <w:spacing w:after="140" w:line="276" w:lineRule="auto"/>
        <w:rPr>
          <w:rFonts w:ascii="Calibri" w:cs="Calibri" w:eastAsia="Calibri" w:hAnsi="Calibri"/>
          <w:color w:val="1a1a1a"/>
        </w:rPr>
      </w:pPr>
      <w:r>
        <w:rPr>
          <w:rFonts w:ascii="Calibri" w:cs="Calibri" w:eastAsia="Calibri" w:hAnsi="Calibri"/>
          <w:color w:val="1a1a1a"/>
          <w:rtl w:val="0"/>
        </w:rPr>
        <w:t xml:space="preserve">RQ2: How accurately can subscription be predicted before a call, and does a non-parametric model beat a parametric one? </w:t>
      </w:r>
    </w:p>
    <w:p w:rsidR="00000000" w:rsidDel="00000000" w:rsidP="00000000" w:rsidRDefault="00000000" w:rsidRPr="00000000" w14:paraId="0000000F">
      <w:pPr>
        <w:spacing w:after="140" w:line="276" w:lineRule="auto"/>
        <w:rPr>
          <w:rFonts w:ascii="Calibri" w:cs="Calibri" w:eastAsia="Calibri" w:hAnsi="Calibri"/>
          <w:color w:val="1a1a1a"/>
        </w:rPr>
      </w:pPr>
      <w:r>
        <w:rPr>
          <w:rFonts w:ascii="Calibri" w:cs="Calibri" w:eastAsia="Calibri" w:hAnsi="Calibri"/>
          <w:color w:val="1a1a1a"/>
          <w:rtl w:val="0"/>
        </w:rPr>
        <w:t xml:space="preserve">RQ3: Which calling strategies should the company use in the next campaign?</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
        <w:gridCol w:w="5240"/>
        <w:gridCol w:w="3099"/>
        <w:tblGridChange w:id="0">
          <w:tblGrid>
            <w:gridCol w:w="676"/>
            <w:gridCol w:w="5240"/>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0">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RQ</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1">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2">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Test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Customers aged under 25 and 65+ have higher odds of subscribing than those aged 35-44, after adjustment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z-tests; likelihood-ratio test (LRT) for all age groups together</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A successful previous campaign is the strongest customer-level predictor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Adjusted odds ratios; permutation importance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Cellular contact raises the odds, and the channel effect differs by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LRT for contact type × previous outcome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More call attempts in the same campaign lower the odds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for log2(campaign)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A non-parametric model ranks customers better than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Paired t-test on cross-validation (CV) folds; test AUC; test on campaign phase 3</w:t>
            </w:r>
          </w:p>
        </w:tc>
      </w:tr>
    </w:tbl>
    <w:p w:rsidR="00000000" w:rsidDel="00000000" w:rsidP="00000000" w:rsidRDefault="00000000" w:rsidRPr="00000000" w14:paraId="0000002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1. Hypotheses and statistical tests</w:t>
      </w:r>
      <w:r>
        <w:rPr>
          <w:rtl w:val="0"/>
        </w:rPr>
      </w:r>
    </w:p>
    <w:p w:rsidR="00000000" w:rsidDel="00000000" w:rsidP="00000000" w:rsidRDefault="00000000" w:rsidRPr="00000000" w14:paraId="00000023">
      <w:pPr>
        <w:spacing w:after="160" w:line="240" w:lineRule="auto"/>
        <w:rPr>
          <w:rFonts w:ascii="Calibri" w:cs="Calibri" w:eastAsia="Calibri" w:hAnsi="Calibri"/>
          <w:color w:val="1a1a1a"/>
        </w:rPr>
      </w:pPr>
      <w:r>
        <w:rPr>
          <w:rtl w:val="0"/>
        </w:rPr>
      </w:r>
    </w:p>
    <w:p w:rsidR="00000000" w:rsidDel="00000000" w:rsidP="00000000" w:rsidRDefault="00000000" w:rsidRPr="00000000" w14:paraId="00000024">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5">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6">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7">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8">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9">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A">
      <w:pPr>
        <w:rPr>
          <w:rFonts w:ascii="Calibri" w:cs="Calibri" w:eastAsia="Calibri" w:hAnsi="Calibri"/>
        </w:rPr>
      </w:pPr>
      <w:r>
        <w:br w:type="page"/>
      </w:r>
      <w:r>
        <w:rPr>
          <w:rtl w:val="0"/>
        </w:rPr>
      </w:r>
    </w:p>
    <w:p w:rsidR="00000000" w:rsidDel="00000000" w:rsidP="00000000" w:rsidRDefault="00000000" w:rsidRPr="00000000" w14:paraId="0000002B">
      <w:pPr>
        <w:pStyle w:val="Heading1"/>
        <w:rPr>
          <w:rFonts w:ascii="Calibri" w:cs="Calibri" w:eastAsia="Calibri" w:hAnsi="Calibri"/>
        </w:rPr>
      </w:pPr>
      <w:bookmarkStart w:colFirst="0" w:colLast="0" w:name="_baotqhmbljrz" w:id="3"/>
      <w:bookmarkEnd w:id="3"/>
      <w:r>
        <w:rPr>
          <w:rFonts w:ascii="Calibri" w:cs="Calibri" w:eastAsia="Calibri" w:hAnsi="Calibri"/>
          <w:rtl w:val="0"/>
        </w:rPr>
        <w:t xml:space="preserve">Data and preparation</w:t>
      </w:r>
    </w:p>
    <w:p w:rsidR="00000000" w:rsidDel="00000000" w:rsidP="00000000" w:rsidRDefault="00000000" w:rsidRPr="00000000" w14:paraId="0000002C">
      <w:pPr>
        <w:spacing w:after="200" w:lineRule="auto"/>
        <w:jc w:val="both"/>
        <w:rPr>
          <w:rFonts w:ascii="Calibri" w:cs="Calibri" w:eastAsia="Calibri" w:hAnsi="Calibri"/>
        </w:rPr>
      </w:pPr>
      <w:r>
        <w:rPr>
          <w:rFonts w:ascii="Calibri" w:cs="Calibri" w:eastAsia="Calibri" w:hAnsi="Calibri"/>
          <w:rtl w:val="0"/>
        </w:rPr>
        <w:t xml:space="preserve">Table 2 shows the 11 data issues I found and how I handled each. Chi-square and Mann-Whitney U tests show that every predictor except housing and loan is associated with subscription (p &lt; 0.05; Appendix A).</w:t>
      </w:r>
    </w:p>
    <w:p w:rsidR="00000000" w:rsidDel="00000000" w:rsidP="00000000" w:rsidRDefault="00000000" w:rsidRPr="00000000" w14:paraId="0000002D">
      <w:pPr>
        <w:spacing w:after="200" w:line="276" w:lineRule="auto"/>
        <w:jc w:val="both"/>
        <w:rPr>
          <w:rFonts w:ascii="Calibri" w:cs="Calibri" w:eastAsia="Calibri" w:hAnsi="Calibri"/>
          <w:color w:val="1a1a1a"/>
        </w:rPr>
      </w:pPr>
      <w:r>
        <w:rPr>
          <w:rFonts w:ascii="Calibri" w:cs="Calibri" w:eastAsia="Calibri" w:hAnsi="Calibri"/>
          <w:color w:val="1a1a1a"/>
          <w:rtl w:val="0"/>
        </w:rPr>
        <w:t xml:space="preserve">The data has no date column, but the rows are in time order: month runs from May to December, then wraps back to March twice. I call each run of rows with the same month a month block (26 in total), and each wrap starts a new campaign phase, giving three phases of 7, 10 and 9 blocks (Figure 1). Phase 1 averaged 3,954 calls per block at a 4.8% subscription rate; phase 3 averaged 228 calls at 52.1%. Call volume and subscription rate are negatively correlated across blocks (Spearman ρ = −0.67, p &lt; 0.001).</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35"/>
        <w:gridCol w:w="4500"/>
        <w:tblGridChange w:id="0">
          <w:tblGrid>
            <w:gridCol w:w="1080"/>
            <w:gridCol w:w="3435"/>
            <w:gridCol w:w="4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E">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Issue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F">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30">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Treatment and reason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line="240" w:lineRule="auto"/>
              <w:rPr>
                <w:rFonts w:ascii="Calibri" w:cs="Calibri" w:eastAsia="Calibri" w:hAnsi="Calibri"/>
                <w:sz w:val="17"/>
                <w:szCs w:val="17"/>
              </w:rPr>
            </w:pPr>
            <w:r>
              <w:rPr>
                <w:rFonts w:ascii="Calibri" w:cs="Calibri" w:eastAsia="Calibri" w:hAnsi="Calibri"/>
                <w:sz w:val="17"/>
                <w:szCs w:val="17"/>
                <w:rtl w:val="0"/>
              </w:rPr>
              <w:t xml:space="preserve">File format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line="240" w:lineRule="auto"/>
              <w:rPr>
                <w:rFonts w:ascii="Calibri" w:cs="Calibri" w:eastAsia="Calibri" w:hAnsi="Calibri"/>
                <w:sz w:val="17"/>
                <w:szCs w:val="17"/>
              </w:rPr>
            </w:pPr>
            <w:r>
              <w:rPr>
                <w:rFonts w:ascii="Calibri" w:cs="Calibri" w:eastAsia="Calibri" w:hAnsi="Calibri"/>
                <w:sz w:val="17"/>
                <w:szCs w:val="17"/>
                <w:rtl w:val="0"/>
              </w:rPr>
              <w:t xml:space="preserve">Each row wrapped in quotes with doubled inner quotes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line="240" w:lineRule="auto"/>
              <w:rPr>
                <w:rFonts w:ascii="Calibri" w:cs="Calibri" w:eastAsia="Calibri" w:hAnsi="Calibri"/>
                <w:sz w:val="17"/>
                <w:szCs w:val="17"/>
              </w:rPr>
            </w:pPr>
            <w:r>
              <w:rPr>
                <w:rFonts w:ascii="Calibri" w:cs="Calibri" w:eastAsia="Calibri" w:hAnsi="Calibri"/>
                <w:sz w:val="17"/>
                <w:szCs w:val="17"/>
                <w:rtl w:val="0"/>
              </w:rPr>
              <w:t xml:space="preserve">Repaired before parsing, otherwise the file reads as a single column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line="240" w:lineRule="auto"/>
              <w:rPr>
                <w:rFonts w:ascii="Calibri" w:cs="Calibri" w:eastAsia="Calibri" w:hAnsi="Calibri"/>
                <w:sz w:val="17"/>
                <w:szCs w:val="17"/>
              </w:rPr>
            </w:pPr>
            <w:r>
              <w:rPr>
                <w:rFonts w:ascii="Calibri" w:cs="Calibri" w:eastAsia="Calibri" w:hAnsi="Calibri"/>
                <w:sz w:val="17"/>
                <w:szCs w:val="17"/>
                <w:rtl w:val="0"/>
              </w:rPr>
              <w:t xml:space="preserve">Dictionary mismatch</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line="240" w:lineRule="auto"/>
              <w:rPr>
                <w:rFonts w:ascii="Calibri" w:cs="Calibri" w:eastAsia="Calibri" w:hAnsi="Calibri"/>
                <w:sz w:val="17"/>
                <w:szCs w:val="17"/>
              </w:rPr>
            </w:pPr>
            <w:r>
              <w:rPr>
                <w:rFonts w:ascii="Calibri" w:cs="Calibri" w:eastAsia="Calibri" w:hAnsi="Calibri"/>
                <w:sz w:val="17"/>
                <w:szCs w:val="17"/>
                <w:rtl w:val="0"/>
              </w:rPr>
              <w:t xml:space="preserve">balance and day listed but absent; day_of_week present; pdays uses 999, not −1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line="240" w:lineRule="auto"/>
              <w:rPr>
                <w:rFonts w:ascii="Calibri" w:cs="Calibri" w:eastAsia="Calibri" w:hAnsi="Calibri"/>
                <w:sz w:val="17"/>
                <w:szCs w:val="17"/>
              </w:rPr>
            </w:pPr>
            <w:r>
              <w:rPr>
                <w:rFonts w:ascii="Calibri" w:cs="Calibri" w:eastAsia="Calibri" w:hAnsi="Calibri"/>
                <w:sz w:val="17"/>
                <w:szCs w:val="17"/>
                <w:rtl w:val="0"/>
              </w:rPr>
              <w:t xml:space="preserve">Used the actual columns, because only fields that exist can be analysed; differences documented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line="240" w:lineRule="auto"/>
              <w:rPr>
                <w:rFonts w:ascii="Calibri" w:cs="Calibri" w:eastAsia="Calibri" w:hAnsi="Calibri"/>
                <w:sz w:val="17"/>
                <w:szCs w:val="17"/>
              </w:rPr>
            </w:pPr>
            <w:r>
              <w:rPr>
                <w:rFonts w:ascii="Calibri" w:cs="Calibri" w:eastAsia="Calibri" w:hAnsi="Calibri"/>
                <w:sz w:val="17"/>
                <w:szCs w:val="17"/>
                <w:rtl w:val="0"/>
              </w:rPr>
              <w:t xml:space="preserve">Duplicates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8">
            <w:pPr>
              <w:spacing w:line="240" w:lineRule="auto"/>
              <w:rPr>
                <w:rFonts w:ascii="Calibri" w:cs="Calibri" w:eastAsia="Calibri" w:hAnsi="Calibri"/>
                <w:sz w:val="17"/>
                <w:szCs w:val="17"/>
              </w:rPr>
            </w:pPr>
            <w:r>
              <w:rPr>
                <w:rFonts w:ascii="Calibri" w:cs="Calibri" w:eastAsia="Calibri" w:hAnsi="Calibri"/>
                <w:sz w:val="17"/>
                <w:szCs w:val="17"/>
                <w:rtl w:val="0"/>
              </w:rPr>
              <w:t xml:space="preserve">12 identical rows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line="240" w:lineRule="auto"/>
              <w:rPr>
                <w:rFonts w:ascii="Calibri" w:cs="Calibri" w:eastAsia="Calibri" w:hAnsi="Calibri"/>
                <w:sz w:val="17"/>
                <w:szCs w:val="17"/>
              </w:rPr>
            </w:pPr>
            <w:r>
              <w:rPr>
                <w:rFonts w:ascii="Calibri" w:cs="Calibri" w:eastAsia="Calibri" w:hAnsi="Calibri"/>
                <w:sz w:val="17"/>
                <w:szCs w:val="17"/>
                <w:rtl w:val="0"/>
              </w:rPr>
              <w:t xml:space="preserve">Removed, because identical rows add no information and count a customer twice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A">
            <w:pPr>
              <w:spacing w:line="240" w:lineRule="auto"/>
              <w:rPr>
                <w:rFonts w:ascii="Calibri" w:cs="Calibri" w:eastAsia="Calibri" w:hAnsi="Calibri"/>
                <w:sz w:val="17"/>
                <w:szCs w:val="17"/>
              </w:rPr>
            </w:pPr>
            <w:r>
              <w:rPr>
                <w:rFonts w:ascii="Calibri" w:cs="Calibri" w:eastAsia="Calibri" w:hAnsi="Calibri"/>
                <w:sz w:val="17"/>
                <w:szCs w:val="17"/>
                <w:rtl w:val="0"/>
              </w:rPr>
              <w:t xml:space="preserve">Target leakage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B">
            <w:pPr>
              <w:spacing w:line="240" w:lineRule="auto"/>
              <w:rPr>
                <w:rFonts w:ascii="Calibri" w:cs="Calibri" w:eastAsia="Calibri" w:hAnsi="Calibri"/>
                <w:sz w:val="17"/>
                <w:szCs w:val="17"/>
              </w:rPr>
            </w:pPr>
            <w:r>
              <w:rPr>
                <w:rFonts w:ascii="Calibri" w:cs="Calibri" w:eastAsia="Calibri" w:hAnsi="Calibri"/>
                <w:sz w:val="17"/>
                <w:szCs w:val="17"/>
                <w:rtl w:val="0"/>
              </w:rPr>
              <w:t xml:space="preserve">duration (call length) is known only after the call; cross-validated AUC 0.93 with it vs 0.79 without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C">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the model must predict before the call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D">
            <w:pPr>
              <w:spacing w:line="240" w:lineRule="auto"/>
              <w:rPr>
                <w:rFonts w:ascii="Calibri" w:cs="Calibri" w:eastAsia="Calibri" w:hAnsi="Calibri"/>
                <w:sz w:val="17"/>
                <w:szCs w:val="17"/>
              </w:rPr>
            </w:pPr>
            <w:r>
              <w:rPr>
                <w:rFonts w:ascii="Calibri" w:cs="Calibri" w:eastAsia="Calibri" w:hAnsi="Calibri"/>
                <w:sz w:val="17"/>
                <w:szCs w:val="17"/>
                <w:rtl w:val="0"/>
              </w:rPr>
              <w:t xml:space="preserve">pdays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E">
            <w:pPr>
              <w:spacing w:line="240" w:lineRule="auto"/>
              <w:rPr>
                <w:rFonts w:ascii="Calibri" w:cs="Calibri" w:eastAsia="Calibri" w:hAnsi="Calibri"/>
                <w:sz w:val="17"/>
                <w:szCs w:val="17"/>
              </w:rPr>
            </w:pPr>
            <w:r>
              <w:rPr>
                <w:rFonts w:ascii="Calibri" w:cs="Calibri" w:eastAsia="Calibri" w:hAnsi="Calibri"/>
                <w:sz w:val="17"/>
                <w:szCs w:val="17"/>
                <w:rtl w:val="0"/>
              </w:rPr>
              <w:t xml:space="preserve">96.3% coded 999 (not contacted before); 4,108 rows have previous &gt; 0 but pdays = 999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F">
            <w:pPr>
              <w:spacing w:line="240" w:lineRule="auto"/>
              <w:rPr>
                <w:rFonts w:ascii="Calibri" w:cs="Calibri" w:eastAsia="Calibri" w:hAnsi="Calibri"/>
                <w:sz w:val="17"/>
                <w:szCs w:val="17"/>
              </w:rPr>
            </w:pPr>
            <w:r>
              <w:rPr>
                <w:rFonts w:ascii="Calibri" w:cs="Calibri" w:eastAsia="Calibri" w:hAnsi="Calibri"/>
                <w:sz w:val="17"/>
                <w:szCs w:val="17"/>
                <w:rtl w:val="0"/>
              </w:rPr>
              <w:t xml:space="preserve">Dropped, because poutcome carries the same history without the conflicting code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0">
            <w:pPr>
              <w:spacing w:line="240" w:lineRule="auto"/>
              <w:rPr>
                <w:rFonts w:ascii="Calibri" w:cs="Calibri" w:eastAsia="Calibri" w:hAnsi="Calibri"/>
                <w:sz w:val="17"/>
                <w:szCs w:val="17"/>
              </w:rPr>
            </w:pPr>
            <w:r>
              <w:rPr>
                <w:rFonts w:ascii="Calibri" w:cs="Calibri" w:eastAsia="Calibri" w:hAnsi="Calibri"/>
                <w:sz w:val="17"/>
                <w:szCs w:val="17"/>
                <w:rtl w:val="0"/>
              </w:rPr>
              <w:t xml:space="preserve">default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1">
            <w:pPr>
              <w:spacing w:line="240" w:lineRule="auto"/>
              <w:rPr>
                <w:rFonts w:ascii="Calibri" w:cs="Calibri" w:eastAsia="Calibri" w:hAnsi="Calibri"/>
                <w:sz w:val="17"/>
                <w:szCs w:val="17"/>
              </w:rPr>
            </w:pPr>
            <w:r>
              <w:rPr>
                <w:rFonts w:ascii="Calibri" w:cs="Calibri" w:eastAsia="Calibri" w:hAnsi="Calibri"/>
                <w:sz w:val="17"/>
                <w:szCs w:val="17"/>
                <w:rtl w:val="0"/>
              </w:rPr>
              <w:t xml:space="preserve">3 'yes' (all non-subscribers), 8,595 'unknown'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line="240" w:lineRule="auto"/>
              <w:rPr>
                <w:rFonts w:ascii="Calibri" w:cs="Calibri" w:eastAsia="Calibri" w:hAnsi="Calibri"/>
                <w:sz w:val="17"/>
                <w:szCs w:val="17"/>
              </w:rPr>
            </w:pPr>
            <w:r>
              <w:rPr>
                <w:rFonts w:ascii="Calibri" w:cs="Calibri" w:eastAsia="Calibri" w:hAnsi="Calibri"/>
                <w:sz w:val="17"/>
                <w:szCs w:val="17"/>
                <w:rtl w:val="0"/>
              </w:rPr>
              <w:t xml:space="preserve">Flag default_unk = 1 if default is not ‘no’, because 3 ‘yes’ rows are too few to estimate an effect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line="240" w:lineRule="auto"/>
              <w:rPr>
                <w:rFonts w:ascii="Calibri" w:cs="Calibri" w:eastAsia="Calibri" w:hAnsi="Calibri"/>
                <w:sz w:val="17"/>
                <w:szCs w:val="17"/>
              </w:rPr>
            </w:pPr>
            <w:r>
              <w:rPr>
                <w:rFonts w:ascii="Calibri" w:cs="Calibri" w:eastAsia="Calibri" w:hAnsi="Calibri"/>
                <w:sz w:val="17"/>
                <w:szCs w:val="17"/>
                <w:rtl w:val="0"/>
              </w:rPr>
              <w:t xml:space="preserve">housing, loan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line="240" w:lineRule="auto"/>
              <w:rPr>
                <w:rFonts w:ascii="Calibri" w:cs="Calibri" w:eastAsia="Calibri" w:hAnsi="Calibri"/>
                <w:sz w:val="17"/>
                <w:szCs w:val="17"/>
              </w:rPr>
            </w:pPr>
            <w:r>
              <w:rPr>
                <w:rFonts w:ascii="Calibri" w:cs="Calibri" w:eastAsia="Calibri" w:hAnsi="Calibri"/>
                <w:sz w:val="17"/>
                <w:szCs w:val="17"/>
                <w:rtl w:val="0"/>
              </w:rPr>
              <w:t xml:space="preserve">Same 990 'unknown' rows; no association (p = 0.06 and 0.58)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neither is associated with subscription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line="240" w:lineRule="auto"/>
              <w:rPr>
                <w:rFonts w:ascii="Calibri" w:cs="Calibri" w:eastAsia="Calibri" w:hAnsi="Calibri"/>
                <w:sz w:val="17"/>
                <w:szCs w:val="17"/>
              </w:rPr>
            </w:pPr>
            <w:r>
              <w:rPr>
                <w:rFonts w:ascii="Calibri" w:cs="Calibri" w:eastAsia="Calibri" w:hAnsi="Calibri"/>
                <w:sz w:val="17"/>
                <w:szCs w:val="17"/>
                <w:rtl w:val="0"/>
              </w:rPr>
              <w:t xml:space="preserve">Small category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line="240" w:lineRule="auto"/>
              <w:rPr>
                <w:rFonts w:ascii="Calibri" w:cs="Calibri" w:eastAsia="Calibri" w:hAnsi="Calibri"/>
                <w:sz w:val="17"/>
                <w:szCs w:val="17"/>
              </w:rPr>
            </w:pPr>
            <w:r>
              <w:rPr>
                <w:rFonts w:ascii="Calibri" w:cs="Calibri" w:eastAsia="Calibri" w:hAnsi="Calibri"/>
                <w:sz w:val="17"/>
                <w:szCs w:val="17"/>
                <w:rtl w:val="0"/>
              </w:rPr>
              <w:t xml:space="preserve">education = illiterate, n = 18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line="240" w:lineRule="auto"/>
              <w:rPr>
                <w:rFonts w:ascii="Calibri" w:cs="Calibri" w:eastAsia="Calibri" w:hAnsi="Calibri"/>
                <w:sz w:val="17"/>
                <w:szCs w:val="17"/>
              </w:rPr>
            </w:pPr>
            <w:r>
              <w:rPr>
                <w:rFonts w:ascii="Calibri" w:cs="Calibri" w:eastAsia="Calibri" w:hAnsi="Calibri"/>
                <w:sz w:val="17"/>
                <w:szCs w:val="17"/>
                <w:rtl w:val="0"/>
              </w:rPr>
              <w:t xml:space="preserve">Merged with basic.4y, because 18 customers are too few for a stable estimate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line="240" w:lineRule="auto"/>
              <w:rPr>
                <w:rFonts w:ascii="Calibri" w:cs="Calibri" w:eastAsia="Calibri" w:hAnsi="Calibri"/>
                <w:sz w:val="17"/>
                <w:szCs w:val="17"/>
              </w:rPr>
            </w:pPr>
            <w:r>
              <w:rPr>
                <w:rFonts w:ascii="Calibri" w:cs="Calibri" w:eastAsia="Calibri" w:hAnsi="Calibri"/>
                <w:sz w:val="17"/>
                <w:szCs w:val="17"/>
                <w:rtl w:val="0"/>
              </w:rPr>
              <w:t xml:space="preserve">Economic indicators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line="240" w:lineRule="auto"/>
              <w:rPr>
                <w:rFonts w:ascii="Calibri" w:cs="Calibri" w:eastAsia="Calibri" w:hAnsi="Calibri"/>
                <w:sz w:val="17"/>
                <w:szCs w:val="17"/>
              </w:rPr>
            </w:pPr>
            <w:r>
              <w:rPr>
                <w:rFonts w:ascii="Calibri" w:cs="Calibri" w:eastAsia="Calibri" w:hAnsi="Calibri"/>
                <w:sz w:val="17"/>
                <w:szCs w:val="17"/>
                <w:rtl w:val="0"/>
              </w:rPr>
              <w:t xml:space="preserve">Variance inflation factor (VIF) up to 64 (euribor3m, emp.var.rate, nr.employed)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line="240" w:lineRule="auto"/>
              <w:rPr>
                <w:rFonts w:ascii="Calibri" w:cs="Calibri" w:eastAsia="Calibri" w:hAnsi="Calibri"/>
                <w:sz w:val="17"/>
                <w:szCs w:val="17"/>
              </w:rPr>
            </w:pPr>
            <w:r>
              <w:rPr>
                <w:rFonts w:ascii="Calibri" w:cs="Calibri" w:eastAsia="Calibri" w:hAnsi="Calibri"/>
                <w:sz w:val="17"/>
                <w:szCs w:val="17"/>
                <w:rtl w:val="0"/>
              </w:rPr>
              <w:t xml:space="preserve">Kept nr.employed (number of people employed, quarterly), cons.price.idx (consumer price index) and cons.conf.idx (consumer confidence index), with VIF ≤ 1.4, because collinear predictors make coefficients unstable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line="240" w:lineRule="auto"/>
              <w:rPr>
                <w:rFonts w:ascii="Calibri" w:cs="Calibri" w:eastAsia="Calibri" w:hAnsi="Calibri"/>
                <w:sz w:val="17"/>
                <w:szCs w:val="17"/>
              </w:rPr>
            </w:pPr>
            <w:r>
              <w:rPr>
                <w:rFonts w:ascii="Calibri" w:cs="Calibri" w:eastAsia="Calibri" w:hAnsi="Calibri"/>
                <w:sz w:val="17"/>
                <w:szCs w:val="17"/>
                <w:rtl w:val="0"/>
              </w:rPr>
              <w:t xml:space="preserve">Class imbalance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line="240" w:lineRule="auto"/>
              <w:rPr>
                <w:rFonts w:ascii="Calibri" w:cs="Calibri" w:eastAsia="Calibri" w:hAnsi="Calibri"/>
                <w:sz w:val="17"/>
                <w:szCs w:val="17"/>
              </w:rPr>
            </w:pPr>
            <w:r>
              <w:rPr>
                <w:rFonts w:ascii="Calibri" w:cs="Calibri" w:eastAsia="Calibri" w:hAnsi="Calibri"/>
                <w:sz w:val="17"/>
                <w:szCs w:val="17"/>
                <w:rtl w:val="0"/>
              </w:rPr>
              <w:t xml:space="preserve">11.3% subscribed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line="240" w:lineRule="auto"/>
              <w:rPr>
                <w:rFonts w:ascii="Calibri" w:cs="Calibri" w:eastAsia="Calibri" w:hAnsi="Calibri"/>
                <w:sz w:val="17"/>
                <w:szCs w:val="17"/>
              </w:rPr>
            </w:pPr>
            <w:r>
              <w:rPr>
                <w:rFonts w:ascii="Calibri" w:cs="Calibri" w:eastAsia="Calibri" w:hAnsi="Calibri"/>
                <w:sz w:val="17"/>
                <w:szCs w:val="17"/>
                <w:rtl w:val="0"/>
              </w:rPr>
              <w:t xml:space="preserve">Stratified splits, PR-AUC and a tuned threshold, with no resampling, so predicted probabilities stay calibrated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line="240" w:lineRule="auto"/>
              <w:rPr>
                <w:rFonts w:ascii="Calibri" w:cs="Calibri" w:eastAsia="Calibri" w:hAnsi="Calibri"/>
                <w:sz w:val="17"/>
                <w:szCs w:val="17"/>
              </w:rPr>
            </w:pPr>
            <w:r>
              <w:rPr>
                <w:rFonts w:ascii="Calibri" w:cs="Calibri" w:eastAsia="Calibri" w:hAnsi="Calibri"/>
                <w:sz w:val="17"/>
                <w:szCs w:val="17"/>
                <w:rtl w:val="0"/>
              </w:rPr>
              <w:t xml:space="preserve">'unknown' values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line="240" w:lineRule="auto"/>
              <w:rPr>
                <w:rFonts w:ascii="Calibri" w:cs="Calibri" w:eastAsia="Calibri" w:hAnsi="Calibri"/>
                <w:sz w:val="17"/>
                <w:szCs w:val="17"/>
              </w:rPr>
            </w:pPr>
            <w:r>
              <w:rPr>
                <w:rFonts w:ascii="Calibri" w:cs="Calibri" w:eastAsia="Calibri" w:hAnsi="Calibri"/>
                <w:sz w:val="17"/>
                <w:szCs w:val="17"/>
                <w:rtl w:val="0"/>
              </w:rPr>
              <w:t xml:space="preserve">Informative: default unknown subscribes at 5.2% vs 12.9% for default = ‘no’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line="240" w:lineRule="auto"/>
              <w:rPr>
                <w:rFonts w:ascii="Calibri" w:cs="Calibri" w:eastAsia="Calibri" w:hAnsi="Calibri"/>
                <w:sz w:val="17"/>
                <w:szCs w:val="17"/>
              </w:rPr>
            </w:pPr>
            <w:r>
              <w:rPr>
                <w:rFonts w:ascii="Calibri" w:cs="Calibri" w:eastAsia="Calibri" w:hAnsi="Calibri"/>
                <w:sz w:val="17"/>
                <w:szCs w:val="17"/>
                <w:rtl w:val="0"/>
              </w:rPr>
              <w:t xml:space="preserve">Kept as a separate level, because ‘unknown’ itself carries information </w:t>
            </w:r>
          </w:p>
        </w:tc>
      </w:tr>
    </w:tbl>
    <w:p w:rsidR="00000000" w:rsidDel="00000000" w:rsidP="00000000" w:rsidRDefault="00000000" w:rsidRPr="00000000" w14:paraId="0000005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2. Data issues, treatment and reason </w:t>
      </w:r>
      <w:r>
        <w:rPr>
          <w:rtl w:val="0"/>
        </w:rPr>
      </w:r>
    </w:p>
    <w:p w:rsidR="00000000" w:rsidDel="00000000" w:rsidP="00000000" w:rsidRDefault="00000000" w:rsidRPr="00000000" w14:paraId="0000005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57663" cy="2281611"/>
            <wp:effectExtent b="0" l="0" r="0" t="0"/>
            <wp:docPr descr="Figure 1. Calls and subscription rate for the 26 month blocks, coloured by campaign phase" id="6" name="image6.png"/>
            <a:graphic>
              <a:graphicData uri="http://schemas.openxmlformats.org/drawingml/2006/picture">
                <pic:pic>
                  <pic:nvPicPr>
                    <pic:cNvPr descr="Figure 1. Calls and subscription rate for the 26 month blocks, coloured by campaign phase" id="0" name="image6.png"/>
                    <pic:cNvPicPr preferRelativeResize="0"/>
                  </pic:nvPicPr>
                  <pic:blipFill>
                    <a:blip r:embed="rId10"/>
                    <a:srcRect b="0" l="0" r="0" t="0"/>
                    <a:stretch>
                      <a:fillRect/>
                    </a:stretch>
                  </pic:blipFill>
                  <pic:spPr>
                    <a:xfrm>
                      <a:off x="0" y="0"/>
                      <a:ext cx="4157663" cy="2281611"/>
                    </a:xfrm>
                    <a:prstGeom prst="rect"/>
                    <a:ln/>
                  </pic:spPr>
                </pic:pic>
              </a:graphicData>
            </a:graphic>
          </wp:inline>
        </w:drawing>
      </w:r>
      <w:r>
        <w:rPr>
          <w:rtl w:val="0"/>
        </w:rPr>
      </w:r>
    </w:p>
    <w:p w:rsidR="00000000" w:rsidDel="00000000" w:rsidP="00000000" w:rsidRDefault="00000000" w:rsidRPr="00000000" w14:paraId="00000054">
      <w:pPr>
        <w:spacing w:after="240" w:line="240" w:lineRule="auto"/>
        <w:jc w:val="center"/>
        <w:rPr>
          <w:rFonts w:ascii="Calibri" w:cs="Calibri" w:eastAsia="Calibri" w:hAnsi="Calibri"/>
        </w:rPr>
      </w:pPr>
      <w:r>
        <w:rPr>
          <w:rFonts w:ascii="Calibri" w:cs="Calibri" w:eastAsia="Calibri" w:hAnsi="Calibri"/>
          <w:i w:val="1"/>
          <w:iCs w:val="1"/>
          <w:color w:val="555555"/>
          <w:sz w:val="19"/>
          <w:szCs w:val="19"/>
          <w:rtl w:val="0"/>
        </w:rPr>
        <w:t xml:space="preserve">Figure 1. Calls and subscription rate for the 26 month blocks, coloured by phase</w:t>
      </w:r>
      <w:r>
        <w:rPr>
          <w:rtl w:val="0"/>
        </w:rPr>
      </w:r>
    </w:p>
    <w:p w:rsidR="00000000" w:rsidDel="00000000" w:rsidP="00000000" w:rsidRDefault="00000000" w:rsidRPr="00000000" w14:paraId="00000055">
      <w:pPr>
        <w:pStyle w:val="Heading1"/>
        <w:spacing w:after="160" w:line="240" w:lineRule="auto"/>
        <w:rPr/>
      </w:pPr>
      <w:bookmarkStart w:colFirst="0" w:colLast="0" w:name="_64znxeur549w" w:id="4"/>
      <w:bookmarkEnd w:id="4"/>
      <w:r>
        <w:rPr>
          <w:rtl w:val="0"/>
        </w:rPr>
        <w:t xml:space="preserve">Methodology</w:t>
      </w:r>
    </w:p>
    <w:p w:rsidR="00000000" w:rsidDel="00000000" w:rsidP="00000000" w:rsidRDefault="00000000" w:rsidRPr="00000000" w14:paraId="00000056">
      <w:pPr>
        <w:spacing w:after="140" w:line="276" w:lineRule="auto"/>
        <w:rPr>
          <w:rFonts w:ascii="Calibri" w:cs="Calibri" w:eastAsia="Calibri" w:hAnsi="Calibri"/>
          <w:color w:val="1a1a1a"/>
        </w:rPr>
      </w:pPr>
      <w:r>
        <w:rPr>
          <w:rFonts w:ascii="Calibri" w:cs="Calibri" w:eastAsia="Calibri" w:hAnsi="Calibri"/>
          <w:color w:val="1a1a1a"/>
          <w:rtl w:val="0"/>
        </w:rPr>
        <w:t xml:space="preserve">I split the data 80/20 into training (n = 32,934) and test (n = 8,234) sets, stratified by subscription status, and used only the training set for selection and tuning.</w:t>
      </w:r>
    </w:p>
    <w:p w:rsidR="00000000" w:rsidDel="00000000" w:rsidP="00000000" w:rsidRDefault="00000000" w:rsidRPr="00000000" w14:paraId="00000057">
      <w:pPr>
        <w:spacing w:after="140" w:line="276" w:lineRule="auto"/>
        <w:rPr/>
      </w:pPr>
      <w:r>
        <w:rPr>
          <w:rFonts w:ascii="Calibri" w:cs="Calibri" w:eastAsia="Calibri" w:hAnsi="Calibri"/>
          <w:color w:val="1a1a1a"/>
          <w:rtl w:val="0"/>
        </w:rPr>
        <w:t xml:space="preserve">The parametric model is a logistic regression estimated by maximum likelihood (MLE). I built six candidate models (Table 4): M1 to M4 add one block of predictors at a time, and M5 and M6 add an interaction to M4. LRTs, AIC and BIC (Appendix B) selected M4 as the final model. Age enters as six groups (17-24, 25-34, 35-44, 45-54, 55-64 and 65+) because a quadratic term showed a U-shape: young and old customers subscribe more (LRT p &lt; 0.001). The largest VIF in M4 is 3.3.</w:t>
      </w:r>
    </w:p>
    <w:p w:rsidR="00000000" w:rsidDel="00000000" w:rsidP="00000000" w:rsidRDefault="00000000" w:rsidRPr="00000000" w14:paraId="00000058">
      <w:pPr>
        <w:spacing w:after="140" w:line="276" w:lineRule="auto"/>
        <w:rPr/>
      </w:pPr>
      <w:r>
        <w:rPr>
          <w:rFonts w:ascii="Calibri" w:cs="Calibri" w:eastAsia="Calibri" w:hAnsi="Calibri"/>
          <w:color w:val="1a1a1a"/>
          <w:rtl w:val="0"/>
        </w:rPr>
        <w:t xml:space="preserve">The three non-parametric models (KNN, decision tree and gradient boosting) use the same predictors, so accuracy differences come from the model type. Each was tuned by grid search with 5-fold stratified CV on the training set. Models are scored by ROC-AUC, the chance that a random subscriber is ranked above a random non-subscriber (0.5 is random guessing), because the task is ranking customers.</w:t>
      </w:r>
    </w:p>
    <w:p w:rsidR="00000000" w:rsidDel="00000000" w:rsidP="00000000" w:rsidRDefault="00000000" w:rsidRPr="00000000" w14:paraId="00000059">
      <w:pPr>
        <w:spacing w:after="140" w:line="276" w:lineRule="auto"/>
        <w:rPr>
          <w:rFonts w:ascii="Calibri" w:cs="Calibri" w:eastAsia="Calibri" w:hAnsi="Calibri"/>
          <w:color w:val="1a1a1a"/>
        </w:rPr>
      </w:pPr>
      <w:r>
        <w:rPr>
          <w:rFonts w:ascii="Calibri" w:cs="Calibri" w:eastAsia="Calibri" w:hAnsi="Calibri"/>
          <w:color w:val="1a1a1a"/>
          <w:rtl w:val="0"/>
        </w:rPr>
        <w:t xml:space="preserve">Besides MLE, I use Bayesian estimation: the posterior is proportional to the likelihood times the prior. Segment subscription rates (for example, by age group) use a Beta prior and Binomial likelihood. I also refitted M4 with Normal(0, 2.5²) priors and sampled its posterior with MCMC (Gelman et al., 2013), checking convergence with trace, autocorrelation and density plots. A time-based test trains on phases 1 and 2 and predicts phase 3.</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2141"/>
        <w:gridCol w:w="3606"/>
        <w:gridCol w:w="1803"/>
        <w:tblGridChange w:id="0">
          <w:tblGrid>
            <w:gridCol w:w="1465"/>
            <w:gridCol w:w="2141"/>
            <w:gridCol w:w="3606"/>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Type and reason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Configuration and tuning grid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Selected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Parametric. Binary outcome; coefficients give odds ratios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MLE (statsmodels). Six nested candidate models (Table 4). nr.employed chosen over euribor3m (AIC 18,484 vs 18,504). log2(campaign) gives the OR per doubling of calls.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M4 (all four blocks), 47 parameters: intercept + 46 coefficients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No functional form; similar customers behave alike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One-hot and standardised inputs. k: 100, 200, 400, 800, 1,600; uniform or distance weights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 = 800, uniform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Readable segment rules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4, 6, 8, 10. Minimum leaf: 50, 100, 200, 400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6, minimum leaf 100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Learns interactions and curves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Learning rate 0.05, 0.1; depth 2, 3, 5; leaf 100, 300, 1,000; L2 1, 10, 30; early stopping after 30 rounds (max 1,000 trees)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Rate 0.1, depth 3, leaf 300, L2 30, 535 trees. All 54 settings within 0.005 CV 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Beta-Binomial (Bayesian)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Uncertainty for small segments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Prior Beta(2.25, 17.75): mean 11.3%, weight of 20 customers. Sensitivity prior Beta(1, 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Posterior mean and 95% credible interval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Posterior for the 47 coefficients of M4; no closed form, so MCMC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Normal(0, 2.5²) priors on standardised predictors. Random-walk Metropolis-Hastings, one chain of 60,000 iterations, burn-in 5,000, keep every 50th draw. Sensitivity prior Normal(0, 0.5²)</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1,100 draws; acceptance rate 0.24; converged (Figure 7)</w:t>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3. Model choice, configuration and training</w:t>
      </w:r>
      <w:r>
        <w:rPr>
          <w:rtl w:val="0"/>
        </w:rPr>
      </w:r>
    </w:p>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All classifiers: 5-fold stratified CV on the training set, ROC-AUC scoring, F1-optimal threshold from out-of-fold predictions, random seed 42.</w:t>
      </w:r>
      <w:r>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15"/>
        <w:gridCol w:w="1100"/>
        <w:gridCol w:w="1100"/>
        <w:gridCol w:w="1900"/>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Predictors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Result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Customer profile: age group, job, marital, education, default_unk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Baseline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 contact history: contact, poutcome, log2(campaign)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M1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economy: nr.employed, cons.price.idx, cons.conf.idx</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M2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timing: month, day_of_week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M3 (LRT p &lt; 0.001); final model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poutcome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0.94)</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0.20)</w:t>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4. Candidate logistic regression models, fitted on the training set (lower AIC is better)</w:t>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rFonts w:ascii="Calibri" w:cs="Calibri" w:eastAsia="Calibri" w:hAnsi="Calibri"/>
        </w:rPr>
      </w:pPr>
      <w:r>
        <w:br w:type="page"/>
      </w:r>
      <w:r>
        <w:rPr>
          <w:rtl w:val="0"/>
        </w:rPr>
      </w:r>
    </w:p>
    <w:p w:rsidR="00000000" w:rsidDel="00000000" w:rsidP="00000000" w:rsidRDefault="00000000" w:rsidRPr="00000000" w14:paraId="0000007B">
      <w:pPr>
        <w:pStyle w:val="Heading1"/>
        <w:rPr>
          <w:rFonts w:ascii="Calibri" w:cs="Calibri" w:eastAsia="Calibri" w:hAnsi="Calibri"/>
        </w:rPr>
      </w:pPr>
      <w:bookmarkStart w:colFirst="0" w:colLast="0" w:name="_2kp3bpyioye5" w:id="5"/>
      <w:bookmarkEnd w:id="5"/>
      <w:r>
        <w:rPr>
          <w:rFonts w:ascii="Calibri" w:cs="Calibri" w:eastAsia="Calibri" w:hAnsi="Calibri"/>
          <w:rtl w:val="0"/>
        </w:rPr>
        <w:t xml:space="preserve">Results</w:t>
      </w:r>
    </w:p>
    <w:p w:rsidR="00000000" w:rsidDel="00000000" w:rsidP="00000000" w:rsidRDefault="00000000" w:rsidRPr="00000000" w14:paraId="0000007C">
      <w:pPr>
        <w:pStyle w:val="Heading2"/>
        <w:rPr>
          <w:rFonts w:ascii="Calibri" w:cs="Calibri" w:eastAsia="Calibri" w:hAnsi="Calibri"/>
        </w:rPr>
      </w:pPr>
      <w:bookmarkStart w:colFirst="0" w:colLast="0" w:name="_jhqlvnd5t07b" w:id="6"/>
      <w:bookmarkEnd w:id="6"/>
      <w:r>
        <w:rPr>
          <w:rFonts w:ascii="Calibri" w:cs="Calibri" w:eastAsia="Calibri" w:hAnsi="Calibri"/>
          <w:rtl w:val="0"/>
        </w:rPr>
        <w:t xml:space="preserve">Model comparison</w:t>
      </w:r>
    </w:p>
    <w:p w:rsidR="00000000" w:rsidDel="00000000" w:rsidP="00000000" w:rsidRDefault="00000000" w:rsidRPr="00000000" w14:paraId="0000007D">
      <w:pPr>
        <w:spacing w:after="140" w:line="276" w:lineRule="auto"/>
        <w:rPr>
          <w:rFonts w:ascii="Calibri" w:cs="Calibri" w:eastAsia="Calibri" w:hAnsi="Calibri"/>
          <w:color w:val="1a1a1a"/>
        </w:rPr>
      </w:pPr>
      <w:r>
        <w:rPr>
          <w:rFonts w:ascii="Calibri" w:cs="Calibri" w:eastAsia="Calibri" w:hAnsi="Calibri"/>
          <w:color w:val="1a1a1a"/>
          <w:rtl w:val="0"/>
        </w:rPr>
        <w:t xml:space="preserve">All four models rank customers well (Table 5, Figure 2): test ROC-AUC is 0.797 to 0.807, and PR-AUC is about four times the no-skill value of 0.113. Gradient boosting beats logistic regression in CV by 0.008 AUC (paired t-test p = 0.013), but on the test set the gap is only 0.007 (0.807 vs 0.800). The top 20% ranked by either of these two models hold 65% to 66% of subscribers (Figure 3).</w:t>
      </w:r>
    </w:p>
    <w:p w:rsidR="00000000" w:rsidDel="00000000" w:rsidP="00000000" w:rsidRDefault="00000000" w:rsidRPr="00000000" w14:paraId="0000007E">
      <w:pPr>
        <w:spacing w:after="140" w:line="276" w:lineRule="auto"/>
        <w:rPr>
          <w:rFonts w:ascii="Calibri" w:cs="Calibri" w:eastAsia="Calibri" w:hAnsi="Calibri"/>
          <w:color w:val="1a1a1a"/>
        </w:rPr>
      </w:pPr>
      <w:r>
        <w:rPr>
          <w:rFonts w:ascii="Calibri" w:cs="Calibri" w:eastAsia="Calibri" w:hAnsi="Calibri"/>
          <w:color w:val="1a1a1a"/>
          <w:rtl w:val="0"/>
        </w:rPr>
        <w:t xml:space="preserve">In the time-based test, ROC-AUC falls from about 0.80 to between 0.60 and 0.70, because nr.employed in phase 3 is lower than any value seen in training. Models using only customer and contact variables reach 0.70, so customer patterns carry over to a later phase and economic patterns do not.</w:t>
      </w:r>
    </w:p>
    <w:p w:rsidR="00000000" w:rsidDel="00000000" w:rsidP="00000000" w:rsidRDefault="00000000" w:rsidRPr="00000000" w14:paraId="0000007F">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5. Model performance (CV on training set; test set n = 8,234; phase-3 test n = 2,054)</w:t>
      </w:r>
      <w:r>
        <w:rPr>
          <w:rtl w:val="0"/>
        </w:rPr>
      </w:r>
    </w:p>
    <w:tbl>
      <w:tblPr>
        <w:tblStyle w:val="Table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2"/>
        <w:gridCol w:w="1002"/>
        <w:gridCol w:w="783"/>
        <w:gridCol w:w="783"/>
        <w:gridCol w:w="783"/>
        <w:gridCol w:w="689"/>
        <w:gridCol w:w="626"/>
        <w:gridCol w:w="876"/>
        <w:gridCol w:w="845"/>
        <w:tblGridChange w:id="0">
          <w:tblGrid>
            <w:gridCol w:w="1628"/>
            <w:gridCol w:w="1002"/>
            <w:gridCol w:w="1002"/>
            <w:gridCol w:w="783"/>
            <w:gridCol w:w="783"/>
            <w:gridCol w:w="783"/>
            <w:gridCol w:w="689"/>
            <w:gridCol w:w="626"/>
            <w:gridCol w:w="876"/>
            <w:gridCol w:w="8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0">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1">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ROC-AUC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2">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PR-AUC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3">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ROC-AUC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4">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PR-AUC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5">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Precision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6">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Recall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7">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F1</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8">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Top-20% capture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9">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Phase-3 ROC-AUC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0.784 (0.011)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0.439 (0.017)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0.783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0.407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0.780 (0.010)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0.427 (0.021)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0.792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0.455 (0.022)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0.647</w:t>
            </w:r>
            <w:r>
              <w:rPr>
                <w:rtl w:val="0"/>
              </w:rPr>
            </w:r>
          </w:p>
        </w:tc>
      </w:tr>
    </w:tbl>
    <w:p w:rsidR="00000000" w:rsidDel="00000000" w:rsidP="00000000" w:rsidRDefault="00000000" w:rsidRPr="00000000" w14:paraId="000000B2">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Phase-3 models were trained on phases 1 and 2. Customer and contact variables only: logistic regression 0.697, gradient boosting 0.698. PR-AUC summarises precision across all recall levels; its no-skill value equals the 11.3% subscription rate. Precision, recall and F1 use the F1-optimal threshold from CV. Top-20% capture is the share of all subscribers found among the 20% of test customers with the highest scores.</w:t>
      </w:r>
    </w:p>
    <w:p w:rsidR="00000000" w:rsidDel="00000000" w:rsidP="00000000" w:rsidRDefault="00000000" w:rsidRPr="00000000" w14:paraId="000000B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406105"/>
            <wp:effectExtent b="0" l="0" r="0" t="0"/>
            <wp:docPr descr="Figure 2. ROC and precision-recall curves on the test set" id="2" name="image4.png"/>
            <a:graphic>
              <a:graphicData uri="http://schemas.openxmlformats.org/drawingml/2006/picture">
                <pic:pic>
                  <pic:nvPicPr>
                    <pic:cNvPr descr="Figure 2. ROC and precision-recall curves on the test set" id="0" name="image4.png"/>
                    <pic:cNvPicPr preferRelativeResize="0"/>
                  </pic:nvPicPr>
                  <pic:blipFill>
                    <a:blip r:embed="rId11"/>
                    <a:srcRect b="0" l="0" r="0" t="0"/>
                    <a:stretch>
                      <a:fillRect/>
                    </a:stretch>
                  </pic:blipFill>
                  <pic:spPr>
                    <a:xfrm>
                      <a:off x="0" y="0"/>
                      <a:ext cx="5724525" cy="2406105"/>
                    </a:xfrm>
                    <a:prstGeom prst="rect"/>
                    <a:ln/>
                  </pic:spPr>
                </pic:pic>
              </a:graphicData>
            </a:graphic>
          </wp:inline>
        </w:drawing>
      </w:r>
      <w:r>
        <w:rPr>
          <w:rtl w:val="0"/>
        </w:rPr>
      </w:r>
    </w:p>
    <w:p w:rsidR="00000000" w:rsidDel="00000000" w:rsidP="00000000" w:rsidRDefault="00000000" w:rsidRPr="00000000" w14:paraId="000000B4">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2. ROC and precision-recall curves on the test set</w:t>
      </w:r>
      <w:r>
        <w:rPr>
          <w:rtl w:val="0"/>
        </w:rPr>
      </w:r>
    </w:p>
    <w:p w:rsidR="00000000" w:rsidDel="00000000" w:rsidP="00000000" w:rsidRDefault="00000000" w:rsidRPr="00000000" w14:paraId="000000B5">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43375" cy="3092490"/>
            <wp:effectExtent b="0" l="0" r="0" t="0"/>
            <wp:docPr descr="Figure 3. Cumulative gains: share of subscribers reached by calling the top-ranked customers" id="4" name="image3.png"/>
            <a:graphic>
              <a:graphicData uri="http://schemas.openxmlformats.org/drawingml/2006/picture">
                <pic:pic>
                  <pic:nvPicPr>
                    <pic:cNvPr descr="Figure 3. Cumulative gains: share of subscribers reached by calling the top-ranked customers" id="0" name="image3.png"/>
                    <pic:cNvPicPr preferRelativeResize="0"/>
                  </pic:nvPicPr>
                  <pic:blipFill>
                    <a:blip r:embed="rId12"/>
                    <a:srcRect b="0" l="0" r="0" t="0"/>
                    <a:stretch>
                      <a:fillRect/>
                    </a:stretch>
                  </pic:blipFill>
                  <pic:spPr>
                    <a:xfrm>
                      <a:off x="0" y="0"/>
                      <a:ext cx="4143375" cy="3092490"/>
                    </a:xfrm>
                    <a:prstGeom prst="rect"/>
                    <a:ln/>
                  </pic:spPr>
                </pic:pic>
              </a:graphicData>
            </a:graphic>
          </wp:inline>
        </w:drawing>
      </w:r>
      <w:r>
        <w:rPr>
          <w:rtl w:val="0"/>
        </w:rPr>
      </w:r>
    </w:p>
    <w:p w:rsidR="00000000" w:rsidDel="00000000" w:rsidP="00000000" w:rsidRDefault="00000000" w:rsidRPr="00000000" w14:paraId="000000B6">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3. Cumulative gains: share of subscribers reached by calling the top-ranked customers</w:t>
      </w:r>
      <w:r>
        <w:rPr>
          <w:rtl w:val="0"/>
        </w:rPr>
      </w:r>
    </w:p>
    <w:p w:rsidR="00000000" w:rsidDel="00000000" w:rsidP="00000000" w:rsidRDefault="00000000" w:rsidRPr="00000000" w14:paraId="000000B7">
      <w:pPr>
        <w:rPr>
          <w:rFonts w:ascii="Calibri" w:cs="Calibri" w:eastAsia="Calibri" w:hAnsi="Calibri"/>
        </w:rPr>
      </w:pPr>
      <w:r>
        <w:rPr>
          <w:rtl w:val="0"/>
        </w:rPr>
      </w:r>
    </w:p>
    <w:p w:rsidR="00000000" w:rsidDel="00000000" w:rsidP="00000000" w:rsidRDefault="00000000" w:rsidRPr="00000000" w14:paraId="000000B8">
      <w:pPr>
        <w:pStyle w:val="Heading2"/>
        <w:rPr>
          <w:rFonts w:ascii="Calibri" w:cs="Calibri" w:eastAsia="Calibri" w:hAnsi="Calibri"/>
        </w:rPr>
      </w:pPr>
      <w:bookmarkStart w:colFirst="0" w:colLast="0" w:name="_j4cwxpgq95ak" w:id="7"/>
      <w:bookmarkEnd w:id="7"/>
      <w:r>
        <w:rPr>
          <w:rFonts w:ascii="Calibri" w:cs="Calibri" w:eastAsia="Calibri" w:hAnsi="Calibri"/>
          <w:rtl w:val="0"/>
        </w:rPr>
        <w:t xml:space="preserve">Parametric estimates</w:t>
      </w:r>
    </w:p>
    <w:p w:rsidR="00000000" w:rsidDel="00000000" w:rsidP="00000000" w:rsidRDefault="00000000" w:rsidRPr="00000000" w14:paraId="000000B9">
      <w:pPr>
        <w:spacing w:after="140" w:line="276" w:lineRule="auto"/>
        <w:rPr>
          <w:rFonts w:ascii="Calibri" w:cs="Calibri" w:eastAsia="Calibri" w:hAnsi="Calibri"/>
          <w:color w:val="1a1a1a"/>
        </w:rPr>
      </w:pPr>
      <w:r>
        <w:rPr>
          <w:rFonts w:ascii="Calibri" w:cs="Calibri" w:eastAsia="Calibri" w:hAnsi="Calibri"/>
          <w:color w:val="1a1a1a"/>
          <w:rtl w:val="0"/>
        </w:rPr>
        <w:t xml:space="preserve">Figure 4 shows adjusted odds ratios (OR) from M4; an OR above 1 means higher odds than the reference group, with other variables held fixed. A previous success raises the odds 3.68 times (95% CI 3.17 to 4.29) compared with never-contacted customers. A previous failure lowers them (OR 0.63) although its raw rate is higher (14.2% vs 8.8%), because 84% of previous failures were called in phases 2 and 3, when overall rates were high. Telephone (landline) contact cuts the odds by 38% (OR 0.62), and each doubling of call attempts cuts them by 7% (OR 0.93).</w:t>
      </w:r>
    </w:p>
    <w:p w:rsidR="00000000" w:rsidDel="00000000" w:rsidP="00000000" w:rsidRDefault="00000000" w:rsidRPr="00000000" w14:paraId="000000BA">
      <w:pPr>
        <w:spacing w:after="140" w:line="276" w:lineRule="auto"/>
        <w:rPr>
          <w:rFonts w:ascii="Calibri" w:cs="Calibri" w:eastAsia="Calibri" w:hAnsi="Calibri"/>
          <w:color w:val="1a1a1a"/>
        </w:rPr>
      </w:pPr>
      <w:r>
        <w:rPr>
          <w:rFonts w:ascii="Calibri" w:cs="Calibri" w:eastAsia="Calibri" w:hAnsi="Calibri"/>
          <w:color w:val="1a1a1a"/>
          <w:rtl w:val="0"/>
        </w:rPr>
        <w:t xml:space="preserve">Compared with ages 35-44, the odds are 1.48 times higher at 65+ and 1.30 times higher at 17-24. Once age is in the model, the student and retired effects are not significant (p = 0.25 and 0.18), so their high raw rates (31% and 25%) mainly reflect age. M5 and M6 did not improve on M4 (LRT p = 0.94 and 0.20).</w:t>
      </w:r>
    </w:p>
    <w:p w:rsidR="00000000" w:rsidDel="00000000" w:rsidP="00000000" w:rsidRDefault="00000000" w:rsidRPr="00000000" w14:paraId="000000BB">
      <w:pPr>
        <w:rPr>
          <w:rFonts w:ascii="Calibri" w:cs="Calibri" w:eastAsia="Calibri" w:hAnsi="Calibri"/>
        </w:rPr>
      </w:pPr>
      <w:r>
        <w:rPr>
          <w:rtl w:val="0"/>
        </w:rPr>
      </w:r>
    </w:p>
    <w:p w:rsidR="00000000" w:rsidDel="00000000" w:rsidP="00000000" w:rsidRDefault="00000000" w:rsidRPr="00000000" w14:paraId="000000BC">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3285931"/>
            <wp:effectExtent b="0" l="0" r="0" t="0"/>
            <wp:docPr descr="Figure 4. Selected adjusted odds ratios from logistic model M4 (reference levels: age 35-44, admin., cellular, never contacted, May, Friday)" id="3" name="image1.png"/>
            <a:graphic>
              <a:graphicData uri="http://schemas.openxmlformats.org/drawingml/2006/picture">
                <pic:pic>
                  <pic:nvPicPr>
                    <pic:cNvPr descr="Figure 4. Selected adjusted odds ratios from logistic model M4 (reference levels: age 35-44, admin., cellular, never contacted, May, Friday)" id="0" name="image1.png"/>
                    <pic:cNvPicPr preferRelativeResize="0"/>
                  </pic:nvPicPr>
                  <pic:blipFill>
                    <a:blip r:embed="rId13"/>
                    <a:srcRect b="0" l="0" r="0" t="0"/>
                    <a:stretch>
                      <a:fillRect/>
                    </a:stretch>
                  </pic:blipFill>
                  <pic:spPr>
                    <a:xfrm>
                      <a:off x="0" y="0"/>
                      <a:ext cx="5400675" cy="3285931"/>
                    </a:xfrm>
                    <a:prstGeom prst="rect"/>
                    <a:ln/>
                  </pic:spPr>
                </pic:pic>
              </a:graphicData>
            </a:graphic>
          </wp:inline>
        </w:drawing>
      </w:r>
      <w:r>
        <w:rPr>
          <w:rtl w:val="0"/>
        </w:rPr>
      </w:r>
    </w:p>
    <w:p w:rsidR="00000000" w:rsidDel="00000000" w:rsidP="00000000" w:rsidRDefault="00000000" w:rsidRPr="00000000" w14:paraId="000000BD">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4. Selected adjusted odds ratios from logistic model M4 (reference levels: age 35-44, admin., cellular, never contacted, May, Friday)</w:t>
      </w:r>
      <w:r>
        <w:rPr>
          <w:rtl w:val="0"/>
        </w:rPr>
      </w:r>
    </w:p>
    <w:p w:rsidR="00000000" w:rsidDel="00000000" w:rsidP="00000000" w:rsidRDefault="00000000" w:rsidRPr="00000000" w14:paraId="000000BE">
      <w:pPr>
        <w:pStyle w:val="Heading2"/>
        <w:rPr>
          <w:rFonts w:ascii="Calibri" w:cs="Calibri" w:eastAsia="Calibri" w:hAnsi="Calibri"/>
        </w:rPr>
      </w:pPr>
      <w:bookmarkStart w:colFirst="0" w:colLast="0" w:name="_ohtgei3tqnj4" w:id="8"/>
      <w:bookmarkEnd w:id="8"/>
      <w:r>
        <w:rPr>
          <w:rFonts w:ascii="Calibri" w:cs="Calibri" w:eastAsia="Calibri" w:hAnsi="Calibri"/>
          <w:rtl w:val="0"/>
        </w:rPr>
        <w:t xml:space="preserve">Non-parametric findings</w:t>
      </w:r>
    </w:p>
    <w:p w:rsidR="00000000" w:rsidDel="00000000" w:rsidP="00000000" w:rsidRDefault="00000000" w:rsidRPr="00000000" w14:paraId="000000BF">
      <w:pPr>
        <w:spacing w:after="140" w:line="276" w:lineRule="auto"/>
        <w:rPr>
          <w:rFonts w:ascii="Calibri" w:cs="Calibri" w:eastAsia="Calibri" w:hAnsi="Calibri"/>
          <w:color w:val="1a1a1a"/>
        </w:rPr>
      </w:pPr>
      <w:r>
        <w:rPr>
          <w:rFonts w:ascii="Calibri" w:cs="Calibri" w:eastAsia="Calibri" w:hAnsi="Calibri"/>
          <w:color w:val="1a1a1a"/>
          <w:rtl w:val="0"/>
        </w:rPr>
        <w:t xml:space="preserve">Permutation importance ranks nr.employed far above every customer variable (Figure 5). Partial dependence on age shows the same U-shape as the logistic model. The best tree segment is previous subscribers called when nr.employed was below 5,088, with subscription rates of 64% to 77% (Appendix C).</w:t>
      </w:r>
    </w:p>
    <w:p w:rsidR="00000000" w:rsidDel="00000000" w:rsidP="00000000" w:rsidRDefault="00000000" w:rsidRPr="00000000" w14:paraId="000000C0">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289810"/>
            <wp:effectExtent b="0" l="0" r="0" t="0"/>
            <wp:docPr descr="Figure 5. Gradient boosting: permutation importance on the test set (left) and partial dependence on age (right)" id="7" name="image7.png"/>
            <a:graphic>
              <a:graphicData uri="http://schemas.openxmlformats.org/drawingml/2006/picture">
                <pic:pic>
                  <pic:nvPicPr>
                    <pic:cNvPr descr="Figure 5. Gradient boosting: permutation importance on the test set (left) and partial dependence on age (right)" id="0" name="image7.png"/>
                    <pic:cNvPicPr preferRelativeResize="0"/>
                  </pic:nvPicPr>
                  <pic:blipFill>
                    <a:blip r:embed="rId14"/>
                    <a:srcRect b="0" l="0" r="0" t="0"/>
                    <a:stretch>
                      <a:fillRect/>
                    </a:stretch>
                  </pic:blipFill>
                  <pic:spPr>
                    <a:xfrm>
                      <a:off x="0" y="0"/>
                      <a:ext cx="5724525" cy="2289810"/>
                    </a:xfrm>
                    <a:prstGeom prst="rect"/>
                    <a:ln/>
                  </pic:spPr>
                </pic:pic>
              </a:graphicData>
            </a:graphic>
          </wp:inline>
        </w:drawing>
      </w:r>
      <w:r>
        <w:rPr>
          <w:rtl w:val="0"/>
        </w:rPr>
      </w:r>
    </w:p>
    <w:p w:rsidR="00000000" w:rsidDel="00000000" w:rsidP="00000000" w:rsidRDefault="00000000" w:rsidRPr="00000000" w14:paraId="000000C1">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5. Gradient boosting: permutation importance on the test set (drop in AUC when one variable is shuffled; left) and partial dependence on age (average predicted probability at each age; right)</w:t>
      </w:r>
    </w:p>
    <w:p w:rsidR="00000000" w:rsidDel="00000000" w:rsidP="00000000" w:rsidRDefault="00000000" w:rsidRPr="00000000" w14:paraId="000000C2">
      <w:pPr>
        <w:pStyle w:val="Heading2"/>
        <w:rPr>
          <w:rFonts w:ascii="Calibri" w:cs="Calibri" w:eastAsia="Calibri" w:hAnsi="Calibri"/>
        </w:rPr>
      </w:pPr>
      <w:bookmarkStart w:colFirst="0" w:colLast="0" w:name="_q8uo8t6fr5tz" w:id="9"/>
      <w:bookmarkEnd w:id="9"/>
      <w:r>
        <w:rPr>
          <w:rFonts w:ascii="Calibri" w:cs="Calibri" w:eastAsia="Calibri" w:hAnsi="Calibri"/>
          <w:rtl w:val="0"/>
        </w:rPr>
        <w:t xml:space="preserve">Bayesian estimation</w:t>
      </w:r>
    </w:p>
    <w:p w:rsidR="00000000" w:rsidDel="00000000" w:rsidP="00000000" w:rsidRDefault="00000000" w:rsidRPr="00000000" w14:paraId="000000C3">
      <w:pPr>
        <w:spacing w:after="140" w:line="276" w:lineRule="auto"/>
        <w:rPr>
          <w:rFonts w:ascii="Calibri" w:cs="Calibri" w:eastAsia="Calibri" w:hAnsi="Calibri"/>
          <w:color w:val="1a1a1a"/>
        </w:rPr>
      </w:pPr>
      <w:r>
        <w:rPr>
          <w:rFonts w:ascii="Calibri" w:cs="Calibri" w:eastAsia="Calibri" w:hAnsi="Calibri"/>
          <w:color w:val="1a1a1a"/>
          <w:rtl w:val="0"/>
        </w:rPr>
        <w:t xml:space="preserve">Customers aged 65+ have a 95% credible interval of 42.6% to 50.0% for their rate (Figure 6). The prior matters most for small segments: for the 18 illiterate customers it pulls the observed 22.2% toward the overall 11.3%, giving 16.5% (6.6% to 29.6%).</w:t>
      </w:r>
    </w:p>
    <w:p w:rsidR="00000000" w:rsidDel="00000000" w:rsidP="00000000" w:rsidRDefault="00000000" w:rsidRPr="00000000" w14:paraId="000000C4">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17621"/>
            <wp:effectExtent b="0" l="0" r="0" t="0"/>
            <wp:docPr descr="Figure 6. Posterior subscription rate by age group and job (Beta-Binomial, 95% credible intervals)" id="1" name="image5.png"/>
            <a:graphic>
              <a:graphicData uri="http://schemas.openxmlformats.org/drawingml/2006/picture">
                <pic:pic>
                  <pic:nvPicPr>
                    <pic:cNvPr descr="Figure 6. Posterior subscription rate by age group and job (Beta-Binomial, 95% credible intervals)" id="0" name="image5.png"/>
                    <pic:cNvPicPr preferRelativeResize="0"/>
                  </pic:nvPicPr>
                  <pic:blipFill>
                    <a:blip r:embed="rId15"/>
                    <a:srcRect b="0" l="0" r="0" t="0"/>
                    <a:stretch>
                      <a:fillRect/>
                    </a:stretch>
                  </pic:blipFill>
                  <pic:spPr>
                    <a:xfrm>
                      <a:off x="0" y="0"/>
                      <a:ext cx="5724525" cy="2317621"/>
                    </a:xfrm>
                    <a:prstGeom prst="rect"/>
                    <a:ln/>
                  </pic:spPr>
                </pic:pic>
              </a:graphicData>
            </a:graphic>
          </wp:inline>
        </w:drawing>
      </w:r>
      <w:r>
        <w:rPr>
          <w:rtl w:val="0"/>
        </w:rPr>
      </w:r>
    </w:p>
    <w:p w:rsidR="00000000" w:rsidDel="00000000" w:rsidP="00000000" w:rsidRDefault="00000000" w:rsidRPr="00000000" w14:paraId="000000C5">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6. Posterior subscription rate by age group and job (Beta-Binomial, 95% credible intervals)</w:t>
      </w:r>
      <w:r>
        <w:rPr>
          <w:rtl w:val="0"/>
        </w:rPr>
      </w:r>
    </w:p>
    <w:p w:rsidR="00000000" w:rsidDel="00000000" w:rsidP="00000000" w:rsidRDefault="00000000" w:rsidRPr="00000000" w14:paraId="000000C6">
      <w:pPr>
        <w:spacing w:after="140" w:line="276" w:lineRule="auto"/>
        <w:rPr>
          <w:rFonts w:ascii="Calibri" w:cs="Calibri" w:eastAsia="Calibri" w:hAnsi="Calibri"/>
          <w:color w:val="1a1a1a"/>
        </w:rPr>
      </w:pPr>
      <w:r>
        <w:rPr>
          <w:rFonts w:ascii="Calibri" w:cs="Calibri" w:eastAsia="Calibri" w:hAnsi="Calibri"/>
          <w:color w:val="1a1a1a"/>
          <w:rtl w:val="0"/>
        </w:rPr>
        <w:t xml:space="preserve">The Bayesian logistic regression converged: the trace plots are stable after the burn-in, and thinning removes most of the autocorrelation (Figure 7). Its odds ratios match the MLE within 0.11 standard errors, and a tighter prior moves no coefficient by more than 1.1 standard errors (Appendix G), so the data outweigh the prior. Unlike a confidence interval, a credible interval gives probabilities directly: the odds ratio for a previous success exceeds 3 with probability 0.997.</w:t>
      </w:r>
    </w:p>
    <w:p w:rsidR="00000000" w:rsidDel="00000000" w:rsidP="00000000" w:rsidRDefault="00000000" w:rsidRPr="00000000" w14:paraId="000000C7">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4005209"/>
            <wp:effectExtent b="0" l="0" r="0" t="0"/>
            <wp:docPr descr="Figure 7. MCMC diagnostics for three odds ratios: trace of four chains (burn-in shaded), autocorrelation of every draw and of every 50th draw, and posterior density (dashed line and band: maximum likelihood estimate and 95% CI)" id="5" name="image2.png"/>
            <a:graphic>
              <a:graphicData uri="http://schemas.openxmlformats.org/drawingml/2006/picture">
                <pic:pic>
                  <pic:nvPicPr>
                    <pic:cNvPr descr="Figure 7. MCMC diagnostics for three odds ratios: trace of four chains (burn-in shaded), autocorrelation of every draw and of every 50th draw, and posterior density (dashed line and band: maximum likelihood estimate and 95% CI)" id="0" name="image2.png"/>
                    <pic:cNvPicPr preferRelativeResize="0"/>
                  </pic:nvPicPr>
                  <pic:blipFill>
                    <a:blip r:embed="rId16"/>
                    <a:srcRect b="0" l="0" r="0" t="0"/>
                    <a:stretch>
                      <a:fillRect/>
                    </a:stretch>
                  </pic:blipFill>
                  <pic:spPr>
                    <a:xfrm>
                      <a:off x="0" y="0"/>
                      <a:ext cx="5400675" cy="4005209"/>
                    </a:xfrm>
                    <a:prstGeom prst="rect"/>
                    <a:ln/>
                  </pic:spPr>
                </pic:pic>
              </a:graphicData>
            </a:graphic>
          </wp:inline>
        </w:drawing>
      </w:r>
      <w:r>
        <w:rPr>
          <w:rtl w:val="0"/>
        </w:rPr>
      </w:r>
    </w:p>
    <w:p w:rsidR="00000000" w:rsidDel="00000000" w:rsidP="00000000" w:rsidRDefault="00000000" w:rsidRPr="00000000" w14:paraId="000000C8">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7. MCMC diagnostics for three odds ratios: trace of the chain (burn-in shaded), autocorrelation of every draw and of every 50th draw, and posterior density (dashed line: maximum likelihood estimate)</w:t>
      </w:r>
    </w:p>
    <w:p w:rsidR="00000000" w:rsidDel="00000000" w:rsidP="00000000" w:rsidRDefault="00000000" w:rsidRPr="00000000" w14:paraId="000000C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6. Hypothesis outcomes</w:t>
      </w:r>
      <w:r>
        <w:rPr>
          <w:rtl w:val="0"/>
        </w:rPr>
      </w:r>
    </w:p>
    <w:tbl>
      <w:tblPr>
        <w:tblStyle w:val="Table5"/>
        <w:tblW w:w="90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5071"/>
        <w:gridCol w:w="2141"/>
        <w:tblGridChange w:id="0">
          <w:tblGrid>
            <w:gridCol w:w="1803"/>
            <w:gridCol w:w="5071"/>
            <w:gridCol w:w="214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A">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B">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C">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Decision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17-24: OR 1.30 [1.03, 1.64]; 65+: OR 1.48 [1.11, 1.97]; age block LRT p =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previous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3.68 [3.17, 4.29], the largest customer-level effect; </w:t>
            </w:r>
            <w:r>
              <w:rPr>
                <w:rFonts w:ascii="Consolas" w:cs="Consolas" w:eastAsia="Consolas" w:hAnsi="Consolas"/>
                <w:color w:val="1a1a1a"/>
                <w:sz w:val="16"/>
                <w:szCs w:val="16"/>
                <w:rtl w:val="0"/>
              </w:rPr>
              <w:t xml:space="preserve">nr.employed</w:t>
            </w:r>
            <w:r>
              <w:rPr>
                <w:rFonts w:ascii="Calibri" w:cs="Calibri" w:eastAsia="Calibri" w:hAnsi="Calibri"/>
                <w:color w:val="1a1a1a"/>
                <w:sz w:val="18"/>
                <w:szCs w:val="18"/>
                <w:rtl w:val="0"/>
              </w:rPr>
              <w:t xml:space="preserve"> dominates overall importance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 at customer level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channel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Telephone OR 0.62 [0.54, 0.70]; interaction LRT p = 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Main effect supported; interaction not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call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0.93 [0.89, 0.97]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model type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CV gain +0.008 (p = 0.013); test gain only +0.007; phase-3 AUC 0.647 vs 0.674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Not supported in practice</w:t>
            </w:r>
            <w:r>
              <w:rPr>
                <w:rtl w:val="0"/>
              </w:rPr>
            </w:r>
          </w:p>
        </w:tc>
      </w:tr>
    </w:tbl>
    <w:p w:rsidR="00000000" w:rsidDel="00000000" w:rsidP="00000000" w:rsidRDefault="00000000" w:rsidRPr="00000000" w14:paraId="000000DC">
      <w:pPr>
        <w:spacing w:after="160" w:line="240" w:lineRule="auto"/>
        <w:rPr>
          <w:rFonts w:ascii="Calibri" w:cs="Calibri" w:eastAsia="Calibri" w:hAnsi="Calibri"/>
        </w:rPr>
      </w:pPr>
      <w:r>
        <w:rPr>
          <w:rtl w:val="0"/>
        </w:rPr>
      </w:r>
    </w:p>
    <w:p w:rsidR="00000000" w:rsidDel="00000000" w:rsidP="00000000" w:rsidRDefault="00000000" w:rsidRPr="00000000" w14:paraId="000000DD">
      <w:pPr>
        <w:spacing w:after="140" w:line="276" w:lineRule="auto"/>
        <w:rPr>
          <w:rFonts w:ascii="Calibri" w:cs="Calibri" w:eastAsia="Calibri" w:hAnsi="Calibri"/>
          <w:color w:val="1a1a1a"/>
        </w:rPr>
      </w:pPr>
      <w:r>
        <w:br w:type="page"/>
      </w:r>
      <w:r>
        <w:rPr>
          <w:rtl w:val="0"/>
        </w:rPr>
      </w:r>
    </w:p>
    <w:p w:rsidR="00000000" w:rsidDel="00000000" w:rsidP="00000000" w:rsidRDefault="00000000" w:rsidRPr="00000000" w14:paraId="000000DE">
      <w:pPr>
        <w:pStyle w:val="Heading1"/>
        <w:spacing w:after="140" w:line="276" w:lineRule="auto"/>
        <w:rPr>
          <w:rFonts w:ascii="Calibri" w:cs="Calibri" w:eastAsia="Calibri" w:hAnsi="Calibri"/>
        </w:rPr>
      </w:pPr>
      <w:bookmarkStart w:colFirst="0" w:colLast="0" w:name="_vvzix4ftz7os" w:id="10"/>
      <w:bookmarkEnd w:id="10"/>
      <w:r>
        <w:rPr>
          <w:rFonts w:ascii="Calibri" w:cs="Calibri" w:eastAsia="Calibri" w:hAnsi="Calibri"/>
          <w:rtl w:val="0"/>
        </w:rPr>
        <w:t xml:space="preserve">Business insights and strategy</w:t>
      </w:r>
    </w:p>
    <w:p w:rsidR="00000000" w:rsidDel="00000000" w:rsidP="00000000" w:rsidRDefault="00000000" w:rsidRPr="00000000" w14:paraId="000000DF">
      <w:pPr>
        <w:spacing w:after="140" w:line="276" w:lineRule="auto"/>
        <w:rPr>
          <w:rFonts w:ascii="Calibri" w:cs="Calibri" w:eastAsia="Calibri" w:hAnsi="Calibri"/>
          <w:color w:val="1a1a1a"/>
        </w:rPr>
      </w:pPr>
      <w:r>
        <w:rPr>
          <w:rFonts w:ascii="Calibri" w:cs="Calibri" w:eastAsia="Calibri" w:hAnsi="Calibri"/>
          <w:color w:val="1a1a1a"/>
          <w:rtl w:val="0"/>
        </w:rPr>
        <w:t xml:space="preserve">Call previous subscribers first: they are 3.3% of customers but 19.2% of subscribers (Table 7). Design offers by age group, since job adds little once age is known. Call mobiles first and stop after three attempts: customers needing more than three calls are 18.5% of customers but 12.0% of subscribers.</w:t>
      </w:r>
    </w:p>
    <w:p w:rsidR="00000000" w:rsidDel="00000000" w:rsidP="00000000" w:rsidRDefault="00000000" w:rsidRPr="00000000" w14:paraId="000000E0">
      <w:pPr>
        <w:spacing w:after="140" w:line="276" w:lineRule="auto"/>
        <w:rPr>
          <w:rFonts w:ascii="Calibri" w:cs="Calibri" w:eastAsia="Calibri" w:hAnsi="Calibri"/>
          <w:color w:val="1a1a1a"/>
        </w:rPr>
      </w:pPr>
      <w:r>
        <w:rPr>
          <w:rFonts w:ascii="Calibri" w:cs="Calibri" w:eastAsia="Calibri" w:hAnsi="Calibri"/>
          <w:color w:val="1a1a1a"/>
          <w:rtl w:val="0"/>
        </w:rPr>
        <w:t xml:space="preserve">I recommend the logistic model for deployment, refitted before each campaign. Its test AUC is within 0.007 of gradient boosting, it held up better in phase 3 (0.674 vs 0.647), and its coefficients can be audited.</w:t>
      </w:r>
    </w:p>
    <w:p w:rsidR="00000000" w:rsidDel="00000000" w:rsidP="00000000" w:rsidRDefault="00000000" w:rsidRPr="00000000" w14:paraId="000000E1">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7. Insights, evidence and recommended actions</w:t>
      </w:r>
      <w:r>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3043"/>
        <w:gridCol w:w="2254"/>
        <w:gridCol w:w="1803"/>
        <w:tblGridChange w:id="0">
          <w:tblGrid>
            <w:gridCol w:w="1916"/>
            <w:gridCol w:w="3043"/>
            <w:gridCol w:w="2254"/>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Insight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Action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Measure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 Previous subscribers convert best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 rate; 3.3% of customers, 19.2% of subscribers; OR 3.68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this list first in every 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of the re-contact list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 Age drives response more than 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 47%, OR 1.48; 17-24: 24%, OR 1.30; job effects not significant after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Design offers and scripts by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and complaints by age group</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 Mobile beats landline; extra attempts lose value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Telephone OR 0.62; 13.0% at first call vs 5.5% at six or more; OR 0.93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mobiles first; stop after three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Calls per subscription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 Mass calling converts poorly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 1: 3,954 calls per month at 4.8%; ρ = −0.67 between volume and 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the model's top 20% to 30% instead of everyone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Share of subscribers reached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 Economic effects do not carry forward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Phase-3 AUC 0.60-0.70 vs 0.80 on random test; </w:t>
            </w:r>
            <w:r>
              <w:rPr>
                <w:rFonts w:ascii="Consolas" w:cs="Consolas" w:eastAsia="Consolas" w:hAnsi="Consolas"/>
                <w:color w:val="1a1a1a"/>
                <w:sz w:val="15"/>
                <w:szCs w:val="15"/>
                <w:rtl w:val="0"/>
              </w:rPr>
              <w:t xml:space="preserve">nr.employed</w:t>
            </w:r>
            <w:r>
              <w:rPr>
                <w:rFonts w:ascii="Calibri" w:cs="Calibri" w:eastAsia="Calibri" w:hAnsi="Calibri"/>
                <w:color w:val="1a1a1a"/>
                <w:sz w:val="17"/>
                <w:szCs w:val="17"/>
                <w:rtl w:val="0"/>
              </w:rPr>
              <w:t xml:space="preserve"> outside training range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Refit before each campaign; check AUC monthly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AUC on the latest month</w:t>
            </w:r>
            <w:r>
              <w:rPr>
                <w:rtl w:val="0"/>
              </w:rPr>
            </w:r>
          </w:p>
        </w:tc>
      </w:tr>
    </w:tbl>
    <w:p w:rsidR="00000000" w:rsidDel="00000000" w:rsidP="00000000" w:rsidRDefault="00000000" w:rsidRPr="00000000" w14:paraId="000000FA">
      <w:pPr>
        <w:rPr>
          <w:rFonts w:ascii="Calibri" w:cs="Calibri" w:eastAsia="Calibri" w:hAnsi="Calibri"/>
        </w:rPr>
      </w:pPr>
      <w:r>
        <w:br w:type="page"/>
      </w:r>
      <w:r>
        <w:rPr>
          <w:rtl w:val="0"/>
        </w:rPr>
      </w:r>
    </w:p>
    <w:p w:rsidR="00000000" w:rsidDel="00000000" w:rsidP="00000000" w:rsidRDefault="00000000" w:rsidRPr="00000000" w14:paraId="000000FB">
      <w:pPr>
        <w:pStyle w:val="Heading1"/>
        <w:rPr>
          <w:rFonts w:ascii="Calibri" w:cs="Calibri" w:eastAsia="Calibri" w:hAnsi="Calibri"/>
        </w:rPr>
      </w:pPr>
      <w:bookmarkStart w:colFirst="0" w:colLast="0" w:name="_37p22o535299" w:id="11"/>
      <w:bookmarkEnd w:id="11"/>
      <w:r>
        <w:rPr>
          <w:rFonts w:ascii="Calibri" w:cs="Calibri" w:eastAsia="Calibri" w:hAnsi="Calibri"/>
          <w:rtl w:val="0"/>
        </w:rPr>
        <w:t xml:space="preserve">Ethics, privacy and Indigenous data sovereignty</w:t>
      </w:r>
    </w:p>
    <w:p w:rsidR="00000000" w:rsidDel="00000000" w:rsidP="00000000" w:rsidRDefault="00000000" w:rsidRPr="00000000" w14:paraId="000000FC">
      <w:pPr>
        <w:pStyle w:val="Heading2"/>
        <w:rPr/>
      </w:pPr>
      <w:bookmarkStart w:colFirst="0" w:colLast="0" w:name="_b3gscnr3m3bc" w:id="12"/>
      <w:bookmarkEnd w:id="12"/>
      <w:r>
        <w:rPr>
          <w:rtl w:val="0"/>
        </w:rPr>
        <w:t xml:space="preserve">Consent and privacy</w:t>
      </w:r>
    </w:p>
    <w:p w:rsidR="00000000" w:rsidDel="00000000" w:rsidP="00000000" w:rsidRDefault="00000000" w:rsidRPr="00000000" w14:paraId="000000FD">
      <w:pPr>
        <w:spacing w:after="140" w:line="276" w:lineRule="auto"/>
        <w:rPr>
          <w:rFonts w:ascii="Calibri" w:cs="Calibri" w:eastAsia="Calibri" w:hAnsi="Calibri"/>
          <w:color w:val="1a1a1a"/>
        </w:rPr>
      </w:pPr>
      <w:r>
        <w:rPr>
          <w:rFonts w:ascii="Calibri" w:cs="Calibri" w:eastAsia="Calibri" w:hAnsi="Calibri"/>
          <w:color w:val="1a1a1a"/>
          <w:rtl w:val="0"/>
        </w:rPr>
        <w:t xml:space="preserve">The data links personal and credit details to call outcomes, so Australian Privacy Principle 7 (APP 7, direct marketing) applies: direct marketing needs customer consent or a reasonable expectation, and each campaign needs a simple opt-out (OAIC, 2019). The dataset has no consent or opt-out record, so the company cannot show that customers agreed. From 10 December 2026, privacy policies must also disclose computer programs that substantially and directly support decisions that significantly affect individuals (Privacy and Other Legislation Amendment Act 2024). A model that decides who receives offers may meet this test.</w:t>
      </w:r>
    </w:p>
    <w:p w:rsidR="00000000" w:rsidDel="00000000" w:rsidP="00000000" w:rsidRDefault="00000000" w:rsidRPr="00000000" w14:paraId="000000FE">
      <w:pPr>
        <w:pStyle w:val="Heading2"/>
        <w:rPr/>
      </w:pPr>
      <w:bookmarkStart w:colFirst="0" w:colLast="0" w:name="_h9v0iikayzj5" w:id="13"/>
      <w:bookmarkEnd w:id="13"/>
      <w:r>
        <w:rPr>
          <w:rtl w:val="0"/>
        </w:rPr>
        <w:t xml:space="preserve">Fairness, value and risk</w:t>
      </w:r>
    </w:p>
    <w:p w:rsidR="00000000" w:rsidDel="00000000" w:rsidP="00000000" w:rsidRDefault="00000000" w:rsidRPr="00000000" w14:paraId="000000FF">
      <w:pPr>
        <w:spacing w:after="140" w:line="276" w:lineRule="auto"/>
        <w:rPr>
          <w:rFonts w:ascii="Calibri" w:cs="Calibri" w:eastAsia="Calibri" w:hAnsi="Calibri"/>
          <w:color w:val="1a1a1a"/>
        </w:rPr>
      </w:pPr>
      <w:r>
        <w:rPr>
          <w:rFonts w:ascii="Calibri" w:cs="Calibri" w:eastAsia="Calibri" w:hAnsi="Calibri"/>
          <w:color w:val="1a1a1a"/>
          <w:rtl w:val="0"/>
        </w:rPr>
        <w:t xml:space="preserve">Logistic regression and gradient boosting both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(permutation importance 0.002), so I recommend removing it.</w:t>
      </w:r>
    </w:p>
    <w:p w:rsidR="00000000" w:rsidDel="00000000" w:rsidP="00000000" w:rsidRDefault="00000000" w:rsidRPr="00000000" w14:paraId="00000100">
      <w:pPr>
        <w:pStyle w:val="Heading2"/>
        <w:rPr/>
      </w:pPr>
      <w:bookmarkStart w:colFirst="0" w:colLast="0" w:name="_y5difq1wt9o7" w:id="14"/>
      <w:bookmarkEnd w:id="14"/>
      <w:r>
        <w:rPr>
          <w:rtl w:val="0"/>
        </w:rPr>
        <w:t xml:space="preserve">Indigenous data sovereignty</w:t>
      </w:r>
    </w:p>
    <w:p w:rsidR="00000000" w:rsidDel="00000000" w:rsidP="00000000" w:rsidRDefault="00000000" w:rsidRPr="00000000" w14:paraId="00000101">
      <w:pPr>
        <w:spacing w:after="140" w:line="276" w:lineRule="auto"/>
        <w:rPr>
          <w:rFonts w:ascii="Calibri" w:cs="Calibri" w:eastAsia="Calibri" w:hAnsi="Calibri"/>
          <w:color w:val="1a1a1a"/>
        </w:rPr>
      </w:pPr>
      <w:r>
        <w:rPr>
          <w:rFonts w:ascii="Calibri" w:cs="Calibri" w:eastAsia="Calibri" w:hAnsi="Calibri"/>
          <w:color w:val="1a1a1a"/>
          <w:rtl w:val="0"/>
        </w:rPr>
        <w:t xml:space="preserve">The data has no field identifying Aboriginal and Torres Strait Islander customers, so nobody can check how the model treats them. About 43% of 1,545 remote First Nations communities and homelands have no mobile service (RMIT University, 2023). A model that favours mobile (cellular) contact would rank them low without anyone noticing.</w:t>
      </w:r>
    </w:p>
    <w:p w:rsidR="00000000" w:rsidDel="00000000" w:rsidP="00000000" w:rsidRDefault="00000000" w:rsidRPr="00000000" w14:paraId="00000102">
      <w:pPr>
        <w:spacing w:after="140" w:line="276" w:lineRule="auto"/>
        <w:rPr>
          <w:rFonts w:ascii="Calibri" w:cs="Calibri" w:eastAsia="Calibri" w:hAnsi="Calibri"/>
          <w:color w:val="1a1a1a"/>
        </w:rPr>
      </w:pPr>
      <w:r>
        <w:rPr>
          <w:rFonts w:ascii="Calibri" w:cs="Calibri" w:eastAsia="Calibri" w:hAnsi="Calibri"/>
          <w:color w:val="1a1a1a"/>
          <w:rtl w:val="0"/>
        </w:rPr>
        <w:t xml:space="preserve">Adding an Indigenous identifier to the data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8). I would also avoid building proxies for Indigeneity from location or contact type, because group-level inferences can harm a community even when individuals are anonymous.</w:t>
      </w:r>
    </w:p>
    <w:p w:rsidR="00000000" w:rsidDel="00000000" w:rsidP="00000000" w:rsidRDefault="00000000" w:rsidRPr="00000000" w14:paraId="00000103">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8. Ethical risks and recommended controls for business stakeholders and end users</w:t>
      </w:r>
      <w:r>
        <w:rPr>
          <w:rtl w:val="0"/>
        </w:rPr>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2141"/>
        <w:gridCol w:w="3493"/>
        <w:gridCol w:w="1521"/>
        <w:tblGridChange w:id="0">
          <w:tblGrid>
            <w:gridCol w:w="1859"/>
            <w:gridCol w:w="2141"/>
            <w:gridCol w:w="3493"/>
            <w:gridCol w:w="152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Risk</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Control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Owner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consent or opt-out record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Dataset has no consent field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Record consent and opt-outs; remove opted-out customers before scoring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Privacy officer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Automated decision not disclosed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ranks who receives offers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Describe the model in the privacy policy before 10 December 2026; keep model documentation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Legal and analytics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Over-targeting older customers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98.6% of customers aged 65+ selected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Cap the share of calls per age group; cooling-off period; track complaints and cancellations by 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Marketing manager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Unneeded financial data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line="240" w:lineRule="auto"/>
              <w:rPr>
                <w:rFonts w:ascii="Calibri" w:cs="Calibri" w:eastAsia="Calibri" w:hAnsi="Calibri"/>
                <w:color w:val="1a1a1a"/>
              </w:rPr>
            </w:pPr>
            <w:r>
              <w:rPr>
                <w:rFonts w:ascii="Consolas" w:cs="Consolas" w:eastAsia="Consolas" w:hAnsi="Consolas"/>
                <w:color w:val="1a1a1a"/>
                <w:sz w:val="15"/>
                <w:szCs w:val="15"/>
                <w:rtl w:val="0"/>
              </w:rPr>
              <w:t xml:space="preserve">default_unk</w:t>
            </w:r>
            <w:r>
              <w:rPr>
                <w:rFonts w:ascii="Calibri" w:cs="Calibri" w:eastAsia="Calibri" w:hAnsi="Calibri"/>
                <w:color w:val="1a1a1a"/>
                <w:sz w:val="17"/>
                <w:szCs w:val="17"/>
                <w:rtl w:val="0"/>
              </w:rPr>
              <w:t xml:space="preserve"> importance 0.002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Remove from the deployed model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Analytics team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First Nations customers invisible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identifier; 43% of remote communities have no mobile service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Do not infer Indigeneity; co-design any data collection with community-controlled organisations under Maiam nayri Wingara and CARE; report results back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Executive sponsor</w:t>
            </w:r>
            <w:r>
              <w:rPr>
                <w:rtl w:val="0"/>
              </w:rPr>
            </w:r>
          </w:p>
        </w:tc>
      </w:tr>
    </w:tbl>
    <w:p w:rsidR="00000000" w:rsidDel="00000000" w:rsidP="00000000" w:rsidRDefault="00000000" w:rsidRPr="00000000" w14:paraId="0000011C">
      <w:pPr>
        <w:spacing w:after="160" w:line="240" w:lineRule="auto"/>
        <w:rPr>
          <w:rFonts w:ascii="Calibri" w:cs="Calibri" w:eastAsia="Calibri" w:hAnsi="Calibri"/>
          <w:b w:val="1"/>
          <w:bCs w:val="1"/>
          <w:color w:val="1f3a5f"/>
          <w:sz w:val="25"/>
          <w:szCs w:val="25"/>
        </w:rPr>
      </w:pPr>
      <w:r>
        <w:rPr>
          <w:rtl w:val="0"/>
        </w:rPr>
      </w:r>
    </w:p>
    <w:p w:rsidR="00000000" w:rsidDel="00000000" w:rsidP="00000000" w:rsidRDefault="00000000" w:rsidRPr="00000000" w14:paraId="0000011D">
      <w:pPr>
        <w:rPr/>
      </w:pPr>
      <w:r>
        <w:rPr>
          <w:rtl w:val="0"/>
        </w:rPr>
      </w:r>
    </w:p>
    <w:p w:rsidR="00000000" w:rsidDel="00000000" w:rsidP="00000000" w:rsidRDefault="00000000" w:rsidRPr="00000000" w14:paraId="0000011E">
      <w:pPr>
        <w:pStyle w:val="Heading1"/>
        <w:rPr>
          <w:rFonts w:ascii="Calibri" w:cs="Calibri" w:eastAsia="Calibri" w:hAnsi="Calibri"/>
        </w:rPr>
      </w:pPr>
      <w:r>
        <w:rPr>
          <w:rFonts w:ascii="Calibri" w:cs="Calibri" w:eastAsia="Calibri" w:hAnsi="Calibri"/>
          <w:rtl w:val="0"/>
        </w:rPr>
        <w:t xml:space="preserve">Limitations and conclusion</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rsidR="00000000" w:rsidDel="00000000" w:rsidP="00000000" w:rsidRDefault="00000000" w:rsidRPr="00000000" w14:paraId="00000120">
      <w:pPr>
        <w:spacing w:after="140" w:line="276" w:lineRule="auto"/>
        <w:rPr>
          <w:rFonts w:ascii="Calibri" w:cs="Calibri" w:eastAsia="Calibri" w:hAnsi="Calibri"/>
          <w:color w:val="1a1a1a"/>
        </w:rPr>
      </w:pPr>
      <w:r>
        <w:rPr>
          <w:rFonts w:ascii="Calibri" w:cs="Calibri" w:eastAsia="Calibri" w:hAnsi="Calibri"/>
          <w:color w:val="1a1a1a"/>
          <w:rtl w:val="0"/>
        </w:rPr>
        <w:t xml:space="preserve">The most responsive segments are previous subscribers, customers under 25 or over 65, and customers reached by mobile (RQ1; Table 6). The logistic model ranks customers before a call with test AUC 0.80, but AUC falls to 0.67 on a later phase (RQ2). For RQ3, the company should call previous subscribers first, prefer mobiles, stop after three attempts and call only the model’s top 20% to 30%. The next step is a one-month trial comparing a model-ranked list with an equal random list.</w:t>
      </w:r>
    </w:p>
    <w:p w:rsidR="00000000" w:rsidDel="00000000" w:rsidP="00000000" w:rsidRDefault="00000000" w:rsidRPr="00000000" w14:paraId="00000121">
      <w:pPr>
        <w:rPr>
          <w:rFonts w:ascii="Calibri" w:cs="Calibri" w:eastAsia="Calibri" w:hAnsi="Calibri"/>
        </w:rPr>
      </w:pPr>
      <w:r>
        <w:br w:type="page"/>
      </w:r>
      <w:r>
        <w:rPr>
          <w:rtl w:val="0"/>
        </w:rPr>
      </w:r>
    </w:p>
    <w:p w:rsidR="00000000" w:rsidDel="00000000" w:rsidP="00000000" w:rsidRDefault="00000000" w:rsidRPr="00000000" w14:paraId="00000122">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59nlokpfhrrv" w:id="16"/>
      <w:bookmarkEnd w:id="16"/>
      <w:r>
        <w:rPr>
          <w:rFonts w:ascii="Calibri" w:cs="Calibri" w:eastAsia="Calibri" w:hAnsi="Calibri"/>
          <w:b w:val="1"/>
          <w:bCs w:val="1"/>
          <w:color w:val="1f3a5f"/>
          <w:sz w:val="30"/>
          <w:szCs w:val="30"/>
          <w:rtl w:val="0"/>
        </w:rPr>
        <w:t xml:space="preserve">References</w:t>
      </w:r>
    </w:p>
    <w:p w:rsidR="00000000" w:rsidDel="00000000" w:rsidP="00000000" w:rsidRDefault="00000000" w:rsidRPr="00000000" w14:paraId="00000123">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Carroll, S. R., Garba, I., Figueroa-Rodríguez, O. L., Holbrook, J., Lovett, R., Materechera, S., Parsons, M., Raseroka, K., Rodriguez-Lonebear, D., Rowe, R., Sara, R., Walker, J. D., Anderson, J., &amp; Hudson, M. (2020). The CARE principles for Indigenous data governance. </w:t>
      </w:r>
      <w:r>
        <w:rPr>
          <w:rFonts w:ascii="Calibri" w:cs="Calibri" w:eastAsia="Calibri" w:hAnsi="Calibri"/>
          <w:i w:val="1"/>
          <w:iCs w:val="1"/>
          <w:color w:val="1a1a1a"/>
          <w:sz w:val="21"/>
          <w:szCs w:val="21"/>
          <w:rtl w:val="0"/>
        </w:rPr>
        <w:t xml:space="preserve">Data Science Journal, 19</w:t>
      </w:r>
      <w:r>
        <w:rPr>
          <w:rFonts w:ascii="Calibri" w:cs="Calibri" w:eastAsia="Calibri" w:hAnsi="Calibri"/>
          <w:color w:val="1a1a1a"/>
          <w:sz w:val="21"/>
          <w:szCs w:val="21"/>
          <w:rtl w:val="0"/>
        </w:rPr>
        <w:t xml:space="preserve">(1), 43. https://doi.org/10.5334/dsj-2020-043</w:t>
      </w:r>
      <w:r>
        <w:rPr>
          <w:rtl w:val="0"/>
        </w:rPr>
      </w:r>
    </w:p>
    <w:p w:rsidR="00000000" w:rsidDel="00000000" w:rsidP="00000000" w:rsidRDefault="00000000" w:rsidRPr="00000000" w14:paraId="00000124">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Gelman, A., Carlin, J. B., Stern, H. S., Dunson, D. B., Vehtari, A., &amp; Rubin, D. B. (2013). </w:t>
      </w:r>
      <w:r>
        <w:rPr>
          <w:rFonts w:ascii="Calibri" w:cs="Calibri" w:eastAsia="Calibri" w:hAnsi="Calibri"/>
          <w:i w:val="1"/>
          <w:iCs w:val="1"/>
          <w:color w:val="1a1a1a"/>
          <w:sz w:val="21"/>
          <w:szCs w:val="21"/>
          <w:rtl w:val="0"/>
        </w:rPr>
        <w:t xml:space="preserve">Bayesian data analysis</w:t>
      </w:r>
      <w:r>
        <w:rPr>
          <w:rFonts w:ascii="Calibri" w:cs="Calibri" w:eastAsia="Calibri" w:hAnsi="Calibri"/>
          <w:color w:val="1a1a1a"/>
          <w:sz w:val="21"/>
          <w:szCs w:val="21"/>
          <w:rtl w:val="0"/>
        </w:rPr>
        <w:t xml:space="preserve"> (3rd ed.). Chapman and Hall/CRC.</w:t>
      </w:r>
      <w:r>
        <w:rPr>
          <w:rtl w:val="0"/>
        </w:rPr>
      </w:r>
    </w:p>
    <w:p w:rsidR="00000000" w:rsidDel="00000000" w:rsidP="00000000" w:rsidRDefault="00000000" w:rsidRPr="00000000" w14:paraId="00000125">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James, G., Witten, D., Hastie, T., &amp; Tibshirani, R. (2021). </w:t>
      </w:r>
      <w:r>
        <w:rPr>
          <w:rFonts w:ascii="Calibri" w:cs="Calibri" w:eastAsia="Calibri" w:hAnsi="Calibri"/>
          <w:i w:val="1"/>
          <w:iCs w:val="1"/>
          <w:color w:val="1a1a1a"/>
          <w:sz w:val="21"/>
          <w:szCs w:val="21"/>
          <w:rtl w:val="0"/>
        </w:rPr>
        <w:t xml:space="preserve">An introduction to statistical learning: With applications in R</w:t>
      </w:r>
      <w:r>
        <w:rPr>
          <w:rFonts w:ascii="Calibri" w:cs="Calibri" w:eastAsia="Calibri" w:hAnsi="Calibri"/>
          <w:color w:val="1a1a1a"/>
          <w:sz w:val="21"/>
          <w:szCs w:val="21"/>
          <w:rtl w:val="0"/>
        </w:rPr>
        <w:t xml:space="preserve"> (2nd ed.). Springer. https://doi.org/10.1007/978-1-0716-1418-1</w:t>
      </w:r>
      <w:r>
        <w:rPr>
          <w:rtl w:val="0"/>
        </w:rPr>
      </w:r>
    </w:p>
    <w:p w:rsidR="00000000" w:rsidDel="00000000" w:rsidP="00000000" w:rsidRDefault="00000000" w:rsidRPr="00000000" w14:paraId="00000126">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Maiam nayri Wingara Indigenous Data Sovereignty Collective, &amp; Australian Indigenous Governance Institute. (2018). </w:t>
      </w:r>
      <w:r>
        <w:rPr>
          <w:rFonts w:ascii="Calibri" w:cs="Calibri" w:eastAsia="Calibri" w:hAnsi="Calibri"/>
          <w:i w:val="1"/>
          <w:iCs w:val="1"/>
          <w:color w:val="1a1a1a"/>
          <w:sz w:val="21"/>
          <w:szCs w:val="21"/>
          <w:rtl w:val="0"/>
        </w:rPr>
        <w:t xml:space="preserve">Indigenous data sovereignty communique: Indigenous Data Sovereignty Summit, 20 June 2018, Canberra</w:t>
      </w:r>
      <w:r>
        <w:rPr>
          <w:rFonts w:ascii="Calibri" w:cs="Calibri" w:eastAsia="Calibri" w:hAnsi="Calibri"/>
          <w:color w:val="1a1a1a"/>
          <w:sz w:val="21"/>
          <w:szCs w:val="21"/>
          <w:rtl w:val="0"/>
        </w:rPr>
        <w:t xml:space="preserve">. https://www.aigi.org.au/wp-content/uploads/2022/01/Communique-Indigenous-Data-Sovereignty-Summit-1.pdf</w:t>
      </w:r>
      <w:r>
        <w:rPr>
          <w:rtl w:val="0"/>
        </w:rPr>
      </w:r>
    </w:p>
    <w:p w:rsidR="00000000" w:rsidDel="00000000" w:rsidP="00000000" w:rsidRDefault="00000000" w:rsidRPr="00000000" w14:paraId="00000127">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Moro, S., Cortez, P., &amp; Rita, P. (2014). A data-driven approach to predict the success of bank telemarketing. </w:t>
      </w:r>
      <w:r>
        <w:rPr>
          <w:rFonts w:ascii="Calibri" w:cs="Calibri" w:eastAsia="Calibri" w:hAnsi="Calibri"/>
          <w:i w:val="1"/>
          <w:iCs w:val="1"/>
          <w:color w:val="1a1a1a"/>
          <w:sz w:val="21"/>
          <w:szCs w:val="21"/>
          <w:rtl w:val="0"/>
        </w:rPr>
        <w:t xml:space="preserve">Decision Support Systems, 62</w:t>
      </w:r>
      <w:r>
        <w:rPr>
          <w:rFonts w:ascii="Calibri" w:cs="Calibri" w:eastAsia="Calibri" w:hAnsi="Calibri"/>
          <w:color w:val="1a1a1a"/>
          <w:sz w:val="21"/>
          <w:szCs w:val="21"/>
          <w:rtl w:val="0"/>
        </w:rPr>
        <w:t xml:space="preserve">, 22-31. https://doi.org/10.1016/j.dss.2014.03.001</w:t>
      </w:r>
      <w:r>
        <w:rPr>
          <w:rtl w:val="0"/>
        </w:rPr>
      </w:r>
    </w:p>
    <w:p w:rsidR="00000000" w:rsidDel="00000000" w:rsidP="00000000" w:rsidRDefault="00000000" w:rsidRPr="00000000" w14:paraId="00000128">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Office of the Australian Information Commissioner. (2019). </w:t>
      </w:r>
      <w:r>
        <w:rPr>
          <w:rFonts w:ascii="Calibri" w:cs="Calibri" w:eastAsia="Calibri" w:hAnsi="Calibri"/>
          <w:i w:val="1"/>
          <w:iCs w:val="1"/>
          <w:color w:val="1a1a1a"/>
          <w:sz w:val="21"/>
          <w:szCs w:val="21"/>
          <w:rtl w:val="0"/>
        </w:rPr>
        <w:t xml:space="preserve">Chapter 7: APP 7 Direct marketing</w:t>
      </w:r>
      <w:r>
        <w:rPr>
          <w:rFonts w:ascii="Calibri" w:cs="Calibri" w:eastAsia="Calibri" w:hAnsi="Calibri"/>
          <w:color w:val="1a1a1a"/>
          <w:sz w:val="21"/>
          <w:szCs w:val="21"/>
          <w:rtl w:val="0"/>
        </w:rPr>
        <w:t xml:space="preserve"> (Australian Privacy Principles guidelines, Version 1.1). https://www.oaic.gov.au/privacy/australian-privacy-principles/australian-privacy-principles-guidelines/chapter-7-app-7-direct-marketing</w:t>
      </w:r>
      <w:r>
        <w:rPr>
          <w:rtl w:val="0"/>
        </w:rPr>
      </w:r>
    </w:p>
    <w:p w:rsidR="00000000" w:rsidDel="00000000" w:rsidP="00000000" w:rsidRDefault="00000000" w:rsidRPr="00000000" w14:paraId="00000129">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cs="Calibri" w:eastAsia="Calibri" w:hAnsi="Calibri"/>
          <w:i w:val="1"/>
          <w:iCs w:val="1"/>
          <w:color w:val="1a1a1a"/>
          <w:sz w:val="21"/>
          <w:szCs w:val="21"/>
          <w:rtl w:val="0"/>
        </w:rPr>
        <w:t xml:space="preserve">Journal of Machine Learning Research, 12</w:t>
      </w:r>
      <w:r>
        <w:rPr>
          <w:rFonts w:ascii="Calibri" w:cs="Calibri" w:eastAsia="Calibri" w:hAnsi="Calibri"/>
          <w:color w:val="1a1a1a"/>
          <w:sz w:val="21"/>
          <w:szCs w:val="21"/>
          <w:rtl w:val="0"/>
        </w:rPr>
        <w:t xml:space="preserve">, 2825-2830.</w:t>
      </w:r>
      <w:r>
        <w:rPr>
          <w:rtl w:val="0"/>
        </w:rPr>
      </w:r>
    </w:p>
    <w:p w:rsidR="00000000" w:rsidDel="00000000" w:rsidP="00000000" w:rsidRDefault="00000000" w:rsidRPr="00000000" w14:paraId="0000012A">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Act 1988</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B">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and Other Legislation Amendment Act 2024</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C">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RMIT University. (2023, September 27). </w:t>
      </w:r>
      <w:r>
        <w:rPr>
          <w:rFonts w:ascii="Calibri" w:cs="Calibri" w:eastAsia="Calibri" w:hAnsi="Calibri"/>
          <w:i w:val="1"/>
          <w:iCs w:val="1"/>
          <w:color w:val="1a1a1a"/>
          <w:sz w:val="21"/>
          <w:szCs w:val="21"/>
          <w:rtl w:val="0"/>
        </w:rPr>
        <w:t xml:space="preserve">Remote First Nations communities are among the most digitally excluded people in Australia: Report</w:t>
      </w:r>
      <w:r>
        <w:rPr>
          <w:rFonts w:ascii="Calibri" w:cs="Calibri" w:eastAsia="Calibri" w:hAnsi="Calibri"/>
          <w:color w:val="1a1a1a"/>
          <w:sz w:val="21"/>
          <w:szCs w:val="21"/>
          <w:rtl w:val="0"/>
        </w:rPr>
        <w:t xml:space="preserve"> [Media release]. https://www.rmit.edu.au/news/all-news/2023/sep/mapping-digital-gap</w:t>
      </w:r>
      <w:r>
        <w:rPr>
          <w:rtl w:val="0"/>
        </w:rPr>
      </w:r>
    </w:p>
    <w:p w:rsidR="00000000" w:rsidDel="00000000" w:rsidP="00000000" w:rsidRDefault="00000000" w:rsidRPr="00000000" w14:paraId="0000012D">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Seabold, S., &amp; Perktold, J. (2010). Statsmodels: Econometric and statistical modeling with Python. In </w:t>
      </w:r>
      <w:r>
        <w:rPr>
          <w:rFonts w:ascii="Calibri" w:cs="Calibri" w:eastAsia="Calibri" w:hAnsi="Calibri"/>
          <w:i w:val="1"/>
          <w:iCs w:val="1"/>
          <w:color w:val="1a1a1a"/>
          <w:sz w:val="21"/>
          <w:szCs w:val="21"/>
          <w:rtl w:val="0"/>
        </w:rPr>
        <w:t xml:space="preserve">Proceedings of the 9th Python in Science Conference</w:t>
      </w:r>
      <w:r>
        <w:rPr>
          <w:rFonts w:ascii="Calibri" w:cs="Calibri" w:eastAsia="Calibri" w:hAnsi="Calibri"/>
          <w:color w:val="1a1a1a"/>
          <w:sz w:val="21"/>
          <w:szCs w:val="21"/>
          <w:rtl w:val="0"/>
        </w:rPr>
        <w:t xml:space="preserve"> (pp. 92-96). https://doi.org/10.25080/Majora-92bf1922-011</w:t>
      </w:r>
      <w:r>
        <w:rPr>
          <w:rtl w:val="0"/>
        </w:rPr>
      </w:r>
    </w:p>
    <w:p w:rsidR="00000000" w:rsidDel="00000000" w:rsidP="00000000" w:rsidRDefault="00000000" w:rsidRPr="00000000" w14:paraId="0000012E">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1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xyi8cxic4fem" w:id="17"/>
      <w:bookmarkEnd w:id="17"/>
      <w:r>
        <w:rPr>
          <w:rFonts w:ascii="Calibri" w:cs="Calibri" w:eastAsia="Calibri" w:hAnsi="Calibri"/>
          <w:b w:val="1"/>
          <w:bCs w:val="1"/>
          <w:color w:val="1f3a5f"/>
          <w:sz w:val="30"/>
          <w:szCs w:val="30"/>
          <w:rtl w:val="0"/>
        </w:rPr>
        <w:t xml:space="preserve">Appendix A. Tests of association with subscription</w:t>
      </w:r>
    </w:p>
    <w:p w:rsidR="00000000" w:rsidDel="00000000" w:rsidP="00000000" w:rsidRDefault="00000000" w:rsidRPr="00000000" w14:paraId="000001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A1. Chi-square tests (Cramér's V) and Mann-Whitney U tests (rank-biserial r), full cleaned data (n = 41,168)</w:t>
      </w:r>
      <w:r>
        <w:rPr>
          <w:rtl w:val="0"/>
        </w:rPr>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3"/>
        <w:gridCol w:w="1923"/>
        <w:gridCol w:w="1803"/>
        <w:gridCol w:w="721"/>
        <w:gridCol w:w="1322"/>
        <w:gridCol w:w="1322"/>
        <w:tblGridChange w:id="0">
          <w:tblGrid>
            <w:gridCol w:w="1923"/>
            <w:gridCol w:w="1923"/>
            <w:gridCol w:w="1803"/>
            <w:gridCol w:w="721"/>
            <w:gridCol w:w="1322"/>
            <w:gridCol w:w="13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Variable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Test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Statistic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Effect size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0.32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406.2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marital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day_of_week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housing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82,840,420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75,347,760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43,474,104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42,537,496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65,941,150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91,039,638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0.075</w:t>
            </w:r>
            <w:r>
              <w:rPr>
                <w:rtl w:val="0"/>
              </w:rPr>
            </w:r>
          </w:p>
        </w:tc>
      </w:tr>
    </w:tbl>
    <w:p w:rsidR="00000000" w:rsidDel="00000000" w:rsidP="00000000" w:rsidRDefault="00000000" w:rsidRPr="00000000" w14:paraId="00000197">
      <w:pPr>
        <w:spacing w:after="160" w:line="240" w:lineRule="auto"/>
        <w:rPr>
          <w:rFonts w:ascii="Calibri" w:cs="Calibri" w:eastAsia="Calibri" w:hAnsi="Calibri"/>
          <w:color w:val="1a1a1a"/>
        </w:rPr>
      </w:pPr>
      <w:r>
        <w:rPr>
          <w:rtl w:val="0"/>
        </w:rPr>
      </w:r>
    </w:p>
    <w:p w:rsidR="00000000" w:rsidDel="00000000" w:rsidP="00000000" w:rsidRDefault="00000000" w:rsidRPr="00000000" w14:paraId="0000019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uscyrvvu09jn" w:id="18"/>
      <w:bookmarkEnd w:id="18"/>
      <w:r>
        <w:rPr>
          <w:rFonts w:ascii="Calibri" w:cs="Calibri" w:eastAsia="Calibri" w:hAnsi="Calibri"/>
          <w:b w:val="1"/>
          <w:bCs w:val="1"/>
          <w:color w:val="1f3a5f"/>
          <w:sz w:val="30"/>
          <w:szCs w:val="30"/>
          <w:rtl w:val="0"/>
        </w:rPr>
        <w:t xml:space="preserve">Appendix B. Logistic regression model selection</w:t>
      </w:r>
    </w:p>
    <w:p w:rsidR="00000000" w:rsidDel="00000000" w:rsidP="00000000" w:rsidRDefault="00000000" w:rsidRPr="00000000" w14:paraId="0000019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B1. Nested logistic models fitted by maximum likelihood on the training set (n = 32,934)</w:t>
      </w:r>
      <w:r>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1071"/>
        <w:gridCol w:w="1296"/>
        <w:gridCol w:w="1183"/>
        <w:gridCol w:w="1183"/>
        <w:gridCol w:w="1127"/>
        <w:tblGridChange w:id="0">
          <w:tblGrid>
            <w:gridCol w:w="3155"/>
            <w:gridCol w:w="1071"/>
            <w:gridCol w:w="1296"/>
            <w:gridCol w:w="1183"/>
            <w:gridCol w:w="1183"/>
            <w:gridCol w:w="11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Log-likelihood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McFadden R²</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-10,953.6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22,188.1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20,402.9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-9,374.2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19,102.1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18,879.3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using 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18,504.4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18,899.3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18,924.1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18,851.2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18,478.5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bl>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M1 to M6 are defined in Table 4. “M4 using euribor3m” replaces nr.employed with euribor3m. The last three rows change only how age enters M4: left out, as a straight line, or as a curve (age + age²). Lower AIC and BIC mean a better balance between fit and number of parameters; McFadden R² is a pseudo R² for logistic models.</w:t>
      </w:r>
    </w:p>
    <w:p w:rsidR="00000000" w:rsidDel="00000000" w:rsidP="00000000" w:rsidRDefault="00000000" w:rsidRPr="00000000" w14:paraId="000001DC">
      <w:pPr>
        <w:spacing w:after="160" w:line="240" w:lineRule="auto"/>
        <w:rPr>
          <w:rFonts w:ascii="Calibri" w:cs="Calibri" w:eastAsia="Calibri" w:hAnsi="Calibri"/>
          <w:color w:val="1a1a1a"/>
        </w:rPr>
      </w:pPr>
      <w:r>
        <w:rPr>
          <w:rtl w:val="0"/>
        </w:rPr>
      </w:r>
    </w:p>
    <w:p w:rsidR="00000000" w:rsidDel="00000000" w:rsidP="00000000" w:rsidRDefault="00000000" w:rsidRPr="00000000" w14:paraId="000001DD">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B2. Likelihood-ratio tests</w:t>
      </w:r>
      <w:r>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127"/>
        <w:gridCol w:w="676"/>
        <w:gridCol w:w="1352"/>
        <w:tblGridChange w:id="0">
          <w:tblGrid>
            <w:gridCol w:w="5860"/>
            <w:gridCol w:w="1127"/>
            <w:gridCol w:w="676"/>
            <w:gridCol w:w="135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Comparison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LR χ²</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 → 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1826.8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 → 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1332.1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 → 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bl>
    <w:p w:rsidR="00000000" w:rsidDel="00000000" w:rsidP="00000000" w:rsidRDefault="00000000" w:rsidRPr="00000000" w14:paraId="000001FE">
      <w:pPr>
        <w:spacing w:after="160" w:line="240" w:lineRule="auto"/>
        <w:rPr>
          <w:rFonts w:ascii="Calibri" w:cs="Calibri" w:eastAsia="Calibri" w:hAnsi="Calibri"/>
          <w:color w:val="1a1a1a"/>
        </w:rPr>
      </w:pPr>
      <w:r>
        <w:rPr>
          <w:rtl w:val="0"/>
        </w:rPr>
      </w:r>
    </w:p>
    <w:p w:rsidR="00000000" w:rsidDel="00000000" w:rsidP="00000000" w:rsidRDefault="00000000" w:rsidRPr="00000000" w14:paraId="000001F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dmq41nxob0u2" w:id="19"/>
      <w:bookmarkEnd w:id="19"/>
      <w:r>
        <w:rPr>
          <w:rFonts w:ascii="Calibri" w:cs="Calibri" w:eastAsia="Calibri" w:hAnsi="Calibri"/>
          <w:b w:val="1"/>
          <w:bCs w:val="1"/>
          <w:color w:val="1f3a5f"/>
          <w:sz w:val="30"/>
          <w:szCs w:val="30"/>
          <w:rtl w:val="0"/>
        </w:rPr>
        <w:t xml:space="preserve">Appendix C. Decision tree segments</w:t>
      </w:r>
    </w:p>
    <w:p w:rsidR="00000000" w:rsidDel="00000000" w:rsidP="00000000" w:rsidRDefault="00000000" w:rsidRPr="00000000" w14:paraId="0000020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C1. Leaves of a depth-3 decision tree (minimum 300 customers per leaf), training set</w:t>
      </w:r>
      <w:r>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071"/>
        <w:gridCol w:w="1183"/>
        <w:gridCol w:w="1240"/>
        <w:gridCol w:w="1240"/>
        <w:tblGridChange w:id="0">
          <w:tblGrid>
            <w:gridCol w:w="4282"/>
            <w:gridCol w:w="1071"/>
            <w:gridCol w:w="1183"/>
            <w:gridCol w:w="1240"/>
            <w:gridCol w:w="12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 rule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Subscription rate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subscribers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&gt;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&lt;=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&lt;=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17,096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&gt;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w:t>
            </w:r>
            <w:r>
              <w:rPr>
                <w:rtl w:val="0"/>
              </w:rPr>
            </w:r>
          </w:p>
        </w:tc>
      </w:tr>
    </w:tbl>
    <w:p w:rsidR="00000000" w:rsidDel="00000000" w:rsidP="00000000" w:rsidRDefault="00000000" w:rsidRPr="00000000" w14:paraId="0000022E">
      <w:pPr>
        <w:spacing w:after="160" w:line="240" w:lineRule="auto"/>
        <w:rPr>
          <w:rFonts w:ascii="Calibri" w:cs="Calibri" w:eastAsia="Calibri" w:hAnsi="Calibri"/>
          <w:color w:val="1a1a1a"/>
        </w:rPr>
      </w:pPr>
      <w:r>
        <w:rPr>
          <w:rtl w:val="0"/>
        </w:rPr>
      </w:r>
    </w:p>
    <w:p w:rsidR="00000000" w:rsidDel="00000000" w:rsidP="00000000" w:rsidRDefault="00000000" w:rsidRPr="00000000" w14:paraId="000002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n9u6x3rt2t8s" w:id="20"/>
      <w:bookmarkEnd w:id="20"/>
      <w:r>
        <w:rPr>
          <w:rFonts w:ascii="Calibri" w:cs="Calibri" w:eastAsia="Calibri" w:hAnsi="Calibri"/>
          <w:b w:val="1"/>
          <w:bCs w:val="1"/>
          <w:color w:val="1f3a5f"/>
          <w:sz w:val="30"/>
          <w:szCs w:val="30"/>
          <w:rtl w:val="0"/>
        </w:rPr>
        <w:t xml:space="preserve">Appendix D. Bayesian segment estimates</w:t>
      </w:r>
    </w:p>
    <w:p w:rsidR="00000000" w:rsidDel="00000000" w:rsidP="00000000" w:rsidRDefault="00000000" w:rsidRPr="00000000" w14:paraId="000002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D1. Posterior subscription rates (prior Beta(2.25, 17.75)); last column uses the uniform prior Beta(1, 1)</w:t>
      </w:r>
      <w:r>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795"/>
        <w:gridCol w:w="902"/>
        <w:gridCol w:w="1061"/>
        <w:gridCol w:w="1538"/>
        <w:gridCol w:w="1061"/>
        <w:gridCol w:w="1538"/>
        <w:tblGridChange w:id="0">
          <w:tblGrid>
            <w:gridCol w:w="2121"/>
            <w:gridCol w:w="795"/>
            <w:gridCol w:w="902"/>
            <w:gridCol w:w="1061"/>
            <w:gridCol w:w="1538"/>
            <w:gridCol w:w="1061"/>
            <w:gridCol w:w="1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Observed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Posterior mean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credible interval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P(rate &gt; 11.3%)</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Uniform prior 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21.3% to 26.3%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0.215 to 0.266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 to 12.7%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0.116 to 0.127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35-44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0.082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8.1% to 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0.081 to 0.093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12.4% to 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0.125 to 0.147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42.6% to 50.0%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0.436 to 0.512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 to 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0.064 to 0.074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23.1% to 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0.232 to 0.273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28.0% to 34.0%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0.284 to 0.346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illiterate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 to 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0.091 to 0.456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university.degree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12,162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13.1% to 14.3%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0.131 to 0.143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13.2% to 15.3%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0.132 to 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nonexistent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35,547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8.5%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0.085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61.8% to 66.8%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0.625 to 0.675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26,131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14.3% to 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0.143 to 0.152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 to 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0.049 to 0.056</w:t>
            </w:r>
            <w:r>
              <w:rPr>
                <w:rtl w:val="0"/>
              </w:rPr>
            </w:r>
          </w:p>
        </w:tc>
      </w:tr>
    </w:tbl>
    <w:p w:rsidR="00000000" w:rsidDel="00000000" w:rsidP="00000000" w:rsidRDefault="00000000" w:rsidRPr="00000000" w14:paraId="000002A8">
      <w:pPr>
        <w:spacing w:after="160" w:line="240" w:lineRule="auto"/>
        <w:rPr>
          <w:rFonts w:ascii="Calibri" w:cs="Calibri" w:eastAsia="Calibri" w:hAnsi="Calibri"/>
          <w:color w:val="1a1a1a"/>
        </w:rPr>
      </w:pPr>
      <w:r>
        <w:rPr>
          <w:rtl w:val="0"/>
        </w:rPr>
      </w:r>
    </w:p>
    <w:p w:rsidR="00000000" w:rsidDel="00000000" w:rsidP="00000000" w:rsidRDefault="00000000" w:rsidRPr="00000000" w14:paraId="000002A9">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yv4w9i8wh7x1" w:id="21"/>
      <w:bookmarkEnd w:id="21"/>
      <w:r>
        <w:rPr>
          <w:rFonts w:ascii="Calibri" w:cs="Calibri" w:eastAsia="Calibri" w:hAnsi="Calibri"/>
          <w:b w:val="1"/>
          <w:bCs w:val="1"/>
          <w:color w:val="1f3a5f"/>
          <w:sz w:val="30"/>
          <w:szCs w:val="30"/>
          <w:rtl w:val="0"/>
        </w:rPr>
        <w:t xml:space="preserve">Appendix E. Full odds ratio table (model M4)</w:t>
      </w:r>
    </w:p>
    <w:p w:rsidR="00000000" w:rsidDel="00000000" w:rsidP="00000000" w:rsidRDefault="00000000" w:rsidRPr="00000000" w14:paraId="000002AA">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E1. Odds ratios with 95% confidence intervals (reference levels: age 35-44, admin., divorced, university.degree, cellular, nonexistent, May, Friday)</w:t>
      </w:r>
      <w:r>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1127"/>
        <w:gridCol w:w="2254"/>
        <w:gridCol w:w="1409"/>
        <w:tblGridChange w:id="0">
          <w:tblGrid>
            <w:gridCol w:w="4226"/>
            <w:gridCol w:w="1127"/>
            <w:gridCol w:w="2254"/>
            <w:gridCol w:w="140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B">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C">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D">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E">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0.135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entrepreneur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0.798 to 1.269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housemaid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0.701 to 1.225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management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0.830 to 1.151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self-employed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0.747 to 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services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technician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0.870 to 1.139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0.676 to 1.121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0.284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1.746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married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 to 1.237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single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0.953 to 1.286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0.635 to 2.967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basic.4y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basic.6y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0.856 to 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basic.9y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0.995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high.school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0.834 to 1.050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professional.course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0.813 to 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0.387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0.867 to 1.291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apr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1.730 to 2.305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aug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1.650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1.397 to 1.948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dec</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1.585 to 3.324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2.319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1.990 to 2.701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2.478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2.142 to 2.869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nov</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1.389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1.182 to 1.632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oct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1.274 to 1.990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sep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thu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1.148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 to 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wed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0.993 to 1.271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0.065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0.904 to 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1.009 to 1.030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bl>
    <w:p w:rsidR="00000000" w:rsidDel="00000000" w:rsidP="00000000" w:rsidRDefault="00000000" w:rsidRPr="00000000" w14:paraId="00000367">
      <w:pPr>
        <w:spacing w:after="160" w:line="240" w:lineRule="auto"/>
        <w:rPr>
          <w:rFonts w:ascii="Calibri" w:cs="Calibri" w:eastAsia="Calibri" w:hAnsi="Calibri"/>
          <w:color w:val="1a1a1a"/>
        </w:rPr>
      </w:pPr>
      <w:r>
        <w:rPr>
          <w:rtl w:val="0"/>
        </w:rPr>
      </w:r>
    </w:p>
    <w:p w:rsidR="00000000" w:rsidDel="00000000" w:rsidP="00000000" w:rsidRDefault="00000000" w:rsidRPr="00000000" w14:paraId="0000036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62wqfges0qy9" w:id="22"/>
      <w:bookmarkEnd w:id="22"/>
      <w:r>
        <w:rPr>
          <w:rFonts w:ascii="Calibri" w:cs="Calibri" w:eastAsia="Calibri" w:hAnsi="Calibri"/>
          <w:b w:val="1"/>
          <w:bCs w:val="1"/>
          <w:color w:val="1f3a5f"/>
          <w:sz w:val="30"/>
          <w:szCs w:val="30"/>
          <w:rtl w:val="0"/>
        </w:rPr>
        <w:t xml:space="preserve">Appendix F. Code</w:t>
      </w:r>
    </w:p>
    <w:p w:rsidR="00000000" w:rsidDel="00000000" w:rsidP="00000000" w:rsidRDefault="00000000" w:rsidRPr="00000000" w14:paraId="00000369">
      <w:pPr>
        <w:spacing w:after="140" w:line="276" w:lineRule="auto"/>
        <w:rPr>
          <w:rFonts w:ascii="Calibri" w:cs="Calibri" w:eastAsia="Calibri" w:hAnsi="Calibri"/>
          <w:color w:val="1a1a1a"/>
        </w:rPr>
      </w:pPr>
      <w:r>
        <w:rPr>
          <w:rFonts w:ascii="Calibri" w:cs="Calibri" w:eastAsia="Calibri" w:hAnsi="Calibri"/>
          <w:color w:val="1a1a1a"/>
          <w:rtl w:val="0"/>
        </w:rPr>
        <w:t xml:space="preserve">All analysis code is in the notebook QuangTrungNguyen_Assessment3_Code_01112026.ipynb, submitted with this report. It runs from top to bottom with TeleCom_Data-1.csv in the same folder (random seed 42) and shows every table and figure inside the notebook without writing any files. Sections: 1 setup and loading; 2 data checks and cleaning; 3 tests of association; 4 train/test split; 5 logistic regression (MLE, model selection, assumptions, odds ratios); 6 non-parametric models and tuning; 7 model comparison (CV, test set, phase-3 test); 8 permutation importance, partial dependence and tree segments; 9 Bayesian estimation (segment rates; logistic regression by MCMC with diagnostics and prior sensitivity); 10 business insight calculations; 11 fairness check; 12 hypothesis summary.</w:t>
      </w:r>
    </w:p>
    <w:p w:rsidR="00000000" w:rsidDel="00000000" w:rsidP="00000000" w:rsidRDefault="00000000" w:rsidRPr="00000000" w14:paraId="0000036A">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36B">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jijxx3h1yo38" w:id="23"/>
      <w:bookmarkEnd w:id="23"/>
      <w:r>
        <w:rPr>
          <w:rFonts w:ascii="Calibri" w:cs="Calibri" w:eastAsia="Calibri" w:hAnsi="Calibri"/>
          <w:b w:val="1"/>
          <w:bCs w:val="1"/>
          <w:color w:val="1f3a5f"/>
          <w:sz w:val="30"/>
          <w:szCs w:val="30"/>
          <w:rtl w:val="0"/>
        </w:rPr>
        <w:t xml:space="preserve">Appendix G. Bayesian logistic regression compared with maximum likelihood</w:t>
      </w:r>
    </w:p>
    <w:p w:rsidR="00000000" w:rsidDel="00000000" w:rsidP="00000000" w:rsidRDefault="00000000" w:rsidRPr="00000000" w14:paraId="0000036C">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G1. Odds ratios from maximum likelihood (95% CI) and from the Bayesian model (posterior median and 95% credible interval)</w:t>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1907"/>
        <w:gridCol w:w="1100"/>
        <w:gridCol w:w="1908"/>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MLE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Bayes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3.712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3.161 to 4.299</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0.555 to 0.710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0.534 to 0.691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1.297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1.025 to 1.625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1.022 to 1.262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0.967 to 1.234</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1.180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0.998 to 1.377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1.493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1.128 to 2.002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0.919 to 1.477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0.924 to 1.455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0.765 to 1.020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0.691 to 0.893</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0.892 to 0.970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4.350</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3.455 to 5.417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0.826</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0.731 to 0.940</w:t>
            </w:r>
          </w:p>
        </w:tc>
      </w:tr>
    </w:tbl>
    <w:p w:rsidR="00000000" w:rsidDel="00000000" w:rsidP="00000000" w:rsidRDefault="00000000" w:rsidRPr="00000000" w14:paraId="000003E4">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Normal(0, 2.5²) priors; one chain, 1,100 retained draws. All 46 terms are listed in Section 9.2.2 of the notebook. With the tighter Normal(0, 0.5²) prior the largest shift in a posterior mean is 1.1 standard errors (median 0.24); for the terms in Table 7 it is 0.6 or less.</w:t>
      </w:r>
    </w:p>
    <w:p w:rsidR="00000000" w:rsidDel="00000000" w:rsidP="00000000" w:rsidRDefault="00000000" w:rsidRPr="00000000" w14:paraId="000003E5">
      <w:pPr>
        <w:rPr>
          <w:rFonts w:ascii="Calibri" w:cs="Calibri" w:eastAsia="Calibri" w:hAnsi="Calibri"/>
        </w:rPr>
      </w:pPr>
      <w:r>
        <w:rPr>
          <w:rtl w:val="0"/>
        </w:rPr>
      </w:r>
    </w:p>
    <w:p w:rsidR="00000000" w:rsidDel="00000000" w:rsidP="00000000" w:rsidRDefault="00000000" w:rsidRPr="00000000" w14:paraId="00000368">
      <w:pPr>
        <w:pStyle w:val="Heading1"/>
        <w:keepLines w:val="0"/>
        <w:pageBreakBefore/>
        <w:spacing w:after="140" w:before="280" w:line="240" w:lineRule="auto"/>
        <w:rPr>
          <w:rFonts w:ascii="Calibri" w:cs="Calibri" w:eastAsia="Calibri" w:hAnsi="Calibri"/>
          <w:b w:val="1"/>
          <w:bCs w:val="1"/>
          <w:color w:val="1f3a5f"/>
          <w:sz w:val="30"/>
          <w:szCs w:val="30"/>
        </w:rPr>
      </w:pPr>
      <w:r>
        <w:rPr>
          <w:rFonts w:ascii="Calibri" w:cs="Calibri" w:eastAsia="Calibri" w:hAnsi="Calibri"/>
          <w:b w:val="1"/>
          <w:bCs w:val="1"/>
          <w:color w:val="1f3a5f"/>
          <w:sz w:val="30"/>
          <w:szCs w:val="30"/>
          <w:rtl w:val="0"/>
        </w:rPr>
        <w:t xml:space="preserve">Appendix H. Declaration of AI use</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I used two AI tools while preparing this assessment. The final analysis decisions, model choices, interpretations and recommendations are my own, and I checked every AI output before using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Claude (Anthropic) was used at the start to suggest possible directions for the analysis. After I chose a direction, I asked it to grade my drafts against the rubric and give feedback, and I refined my ideas over several rounds of this. It was also used to check spelling and grammar, to shorten sentences so the report fits the word limit, and to restructure and tidy the notebook (code layout, comments and chart formatting) so it is easier to read. I decided which suggestions to accept, and I reviewed and edited all text and code before including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NotebookLM (Google) was used to search for relevant literature and to check that the facts and citations I used match the original sources.</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All numbers, tables and figures in this report come from the code in the submitted notebook.</w:t>
      </w:r>
    </w:p>
    <w:sectPr>
      <w:footerReference w:type="default" r:id="rIdFtr1"/>
      <w:pgSz w:h="16834" w:w="11909" w:orient="portrait"/>
      <w:pgMar w:bottom="1440" w:top="1440" w:left="1440" w:right="1440" w:header="720" w:footer="720"/>
      <w:pgNumType w:start="1"/>
      <w:titlePg/>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