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jc w:val="center"/>
      </w:pPr>
      <w:r>
        <w:rPr>
          <w:rFonts w:ascii="Calibri" w:cs="Calibri" w:eastAsia="Calibri" w:hAnsi="Calibri"/>
          <w:b/>
          <w:bCs/>
          <w:color w:val="1A1A1A"/>
          <w:sz w:val="28"/>
          <w:szCs w:val="28"/>
        </w:rPr>
        <w:t xml:space="preserve">36103 Statistical Thinking for Data Science</w:t>
      </w:r>
    </w:p>
    <w:p>
      <w:pPr>
        <w:spacing w:after="600" w:before="0"/>
        <w:jc w:val="center"/>
      </w:pPr>
      <w:r>
        <w:rPr>
          <w:rFonts w:ascii="Calibri" w:cs="Calibri" w:eastAsia="Calibri" w:hAnsi="Calibri"/>
          <w:color w:val="1A1A1A"/>
          <w:sz w:val="26"/>
          <w:szCs w:val="26"/>
        </w:rPr>
        <w:t xml:space="preserve">Assessment Task 3: Data analysis project for marketing campaigns</w:t>
      </w:r>
    </w:p>
    <w:p>
      <w:pPr>
        <w:spacing w:after="900" w:before="0"/>
        <w:jc w:val="center"/>
      </w:pPr>
      <w:r>
        <w:rPr>
          <w:rFonts w:ascii="Calibri" w:cs="Calibri" w:eastAsia="Calibri" w:hAnsi="Calibri"/>
          <w:b/>
          <w:bCs/>
          <w:color w:val="1A1A1A"/>
          <w:sz w:val="36"/>
          <w:szCs w:val="36"/>
        </w:rPr>
        <w:t xml:space="preserve">Calling the right customers: predicting subscription to a new telecommunication plan</w:t>
      </w:r>
    </w:p>
    <w:p>
      <w:pPr>
        <w:spacing w:after="120" w:before="0"/>
        <w:jc w:val="center"/>
      </w:pPr>
      <w:r>
        <w:rPr>
          <w:rFonts w:ascii="Calibri" w:cs="Calibri" w:eastAsia="Calibri" w:hAnsi="Calibri"/>
          <w:color w:val="1A1A1A"/>
          <w:sz w:val="24"/>
          <w:szCs w:val="24"/>
        </w:rPr>
        <w:t xml:space="preserve">Student name: Quang Trung Nguyen</w:t>
      </w:r>
    </w:p>
    <w:p>
      <w:pPr>
        <w:spacing w:after="120" w:before="0"/>
        <w:jc w:val="center"/>
      </w:pPr>
      <w:r>
        <w:rPr>
          <w:rFonts w:ascii="Calibri" w:cs="Calibri" w:eastAsia="Calibri" w:hAnsi="Calibri"/>
          <w:color w:val="1A1A1A"/>
          <w:sz w:val="24"/>
          <w:szCs w:val="24"/>
        </w:rPr>
        <w:t xml:space="preserve">Student ID: 26643559</w:t>
      </w:r>
    </w:p>
    <w:p>
      <w:pPr>
        <w:spacing w:after="120" w:before="0"/>
        <w:jc w:val="center"/>
      </w:pPr>
      <w:r>
        <w:rPr>
          <w:rFonts w:ascii="Calibri" w:cs="Calibri" w:eastAsia="Calibri" w:hAnsi="Calibri"/>
          <w:color w:val="1A1A1A"/>
          <w:sz w:val="24"/>
          <w:szCs w:val="24"/>
        </w:rPr>
        <w:t xml:space="preserve">Date of submission: 1 November 2026</w:t>
      </w:r>
    </w:p>
    <w:p>
      <w:pPr>
        <w:spacing w:after="900" w:before="0"/>
        <w:jc w:val="center"/>
      </w:pPr>
      <w:r>
        <w:rPr>
          <w:rFonts w:ascii="Calibri" w:cs="Calibri" w:eastAsia="Calibri" w:hAnsi="Calibri"/>
          <w:color w:val="1A1A1A"/>
          <w:sz w:val="24"/>
          <w:szCs w:val="24"/>
        </w:rPr>
        <w:t xml:space="preserve">University of Technology Sydney: TD School</w:t>
      </w:r>
    </w:p>
    <w:p>
      <w:pPr>
        <w:spacing w:after="120" w:before="0"/>
        <w:jc w:val="center"/>
      </w:pPr>
      <w:r>
        <w:rPr>
          <w:rFonts w:ascii="Calibri" w:cs="Calibri" w:eastAsia="Calibri" w:hAnsi="Calibri"/>
          <w:color w:val="555555"/>
          <w:sz w:val="20"/>
          <w:szCs w:val="20"/>
        </w:rPr>
        <w:t xml:space="preserve">Word count: 1,493 (main text, excluding title page, tables, figures, captions, references and appendices)</w:t>
      </w:r>
    </w:p>
    <w:p>
      <w:pPr>
        <w:spacing w:after="120" w:before="0"/>
        <w:jc w:val="center"/>
      </w:pPr>
      <w:r>
        <w:rPr>
          <w:rFonts w:ascii="Calibri" w:cs="Calibri" w:eastAsia="Calibri" w:hAnsi="Calibri"/>
          <w:color w:val="555555"/>
          <w:sz w:val="20"/>
          <w:szCs w:val="20"/>
        </w:rPr>
        <w:t xml:space="preserve">Code: QuangTrungNguyen_Assessment3_Code_01112026.ipynb (submitted with this report)</w:t>
      </w:r>
    </w:p>
    <w:p>
      <w:r>
        <w:br w:type="page"/>
      </w:r>
    </w:p>
    <w:p>
      <w:pPr>
        <w:pStyle w:val="Heading1"/>
      </w:pPr>
      <w:r>
        <w:t xml:space="preserve">Executive summary</w:t>
      </w:r>
    </w:p>
    <w:p>
      <w:pPr>
        <w:spacing w:after="140" w:line="276"/>
        <w:jc w:val="left"/>
      </w:pPr>
      <w:r>
        <w:rPr>
          <w:rFonts w:ascii="Calibri" w:cs="Calibri" w:eastAsia="Calibri" w:hAnsi="Calibri"/>
          <w:color w:val="1A1A1A"/>
          <w:sz w:val="22"/>
          <w:szCs w:val="22"/>
        </w:rPr>
        <w:t xml:space="preserve">The company called 41,168 customers about a new plan, and 11.3% subscribed. Four models were tested on 8,234 unseen customers. Previous subscribers are the best prospects: 65% subscribed again, and they supply 19% of all subscribers. Customers aged 65 and over (47%) and under 25 (24%) respond far better than those aged 35 to 54 (9%), and mobile calls work better than landline calls.</w:t>
      </w:r>
    </w:p>
    <w:p>
      <w:pPr>
        <w:spacing w:after="140" w:line="276"/>
        <w:jc w:val="left"/>
      </w:pPr>
      <w:r>
        <w:rPr>
          <w:rFonts w:ascii="Calibri" w:cs="Calibri" w:eastAsia="Calibri" w:hAnsi="Calibri"/>
          <w:color w:val="1A1A1A"/>
          <w:sz w:val="22"/>
          <w:szCs w:val="22"/>
        </w:rPr>
        <w:t xml:space="preserve">Calling the top 20% of customers ranked by the logistic regression model would reach 65% of subscribers with 80% fewer calls. I recommend this model, a limit of three call attempts, and safeguards for older customers.</w:t>
      </w:r>
    </w:p>
    <w:p>
      <w:r>
        <w:br w:type="page"/>
      </w:r>
    </w:p>
    <w:p>
      <w:pPr>
        <w:pStyle w:val="Heading1"/>
      </w:pPr>
      <w:r>
        <w:t xml:space="preserve">1. Problem formulation</w:t>
      </w:r>
    </w:p>
    <w:p>
      <w:pPr>
        <w:spacing w:after="140" w:line="276"/>
        <w:jc w:val="left"/>
      </w:pPr>
      <w:r>
        <w:rPr>
          <w:rFonts w:ascii="Calibri" w:cs="Calibri" w:eastAsia="Calibri" w:hAnsi="Calibri"/>
          <w:color w:val="1A1A1A"/>
          <w:sz w:val="22"/>
          <w:szCs w:val="22"/>
        </w:rPr>
        <w:t xml:space="preserve">The campaign made 36,531 calls that ended without a sale. The marketing manager and campaign planners need a ranked call list and simple rules, the analytics team maintains the model, and customers are the people it affects. The analysis shows which customers are worth calling and how far call timing explains the result.</w:t>
      </w:r>
    </w:p>
    <w:p>
      <w:pPr>
        <w:spacing w:after="140" w:line="276"/>
        <w:jc w:val="left"/>
      </w:pPr>
      <w:r>
        <w:rPr>
          <w:rFonts w:ascii="Calibri" w:cs="Calibri" w:eastAsia="Calibri" w:hAnsi="Calibri"/>
          <w:color w:val="1A1A1A"/>
          <w:sz w:val="22"/>
          <w:szCs w:val="22"/>
        </w:rPr>
        <w:t xml:space="preserve">RQ1 asks which segments are most likely to subscribe after adjusting for contact method, campaign history and economic conditions. RQ2 asks how accurately subscription can be predicted before a call, and whether a non-parametric model beats a parametric one. RQ3 asks which strategies follow; Table 1 lists the hypotheses.</w:t>
      </w:r>
    </w:p>
    <w:p>
      <w:pPr>
        <w:keepNext/>
        <w:spacing w:after="80" w:before="160"/>
      </w:pPr>
      <w:r>
        <w:rPr>
          <w:rFonts w:ascii="Calibri" w:cs="Calibri" w:eastAsia="Calibri" w:hAnsi="Calibri"/>
          <w:i/>
          <w:iCs/>
          <w:color w:val="555555"/>
          <w:sz w:val="19"/>
          <w:szCs w:val="19"/>
        </w:rPr>
        <w:t xml:space="preserve">Table 1. Hypotheses and statistical tests</w:t>
      </w:r>
    </w:p>
    <w:tbl>
      <w:tblPr>
        <w:tblW w:type="dxa" w:w="901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6"/>
        <w:gridCol w:w="5240"/>
        <w:gridCol w:w="3099"/>
      </w:tblGrid>
      <w:tr>
        <w:trPr>
          <w:cantSplit/>
          <w:tblHeader/>
        </w:trPr>
        <w:tc>
          <w:tcPr>
            <w:tcW w:type="dxa" w:w="676"/>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8"/>
                <w:szCs w:val="18"/>
              </w:rPr>
              <w:t xml:space="preserve">RQ</w:t>
            </w:r>
          </w:p>
        </w:tc>
        <w:tc>
          <w:tcPr>
            <w:tcW w:type="dxa" w:w="5240"/>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8"/>
                <w:szCs w:val="18"/>
              </w:rPr>
              <w:t xml:space="preserve">Hypothesis</w:t>
            </w:r>
          </w:p>
        </w:tc>
        <w:tc>
          <w:tcPr>
            <w:tcW w:type="dxa" w:w="3099"/>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8"/>
                <w:szCs w:val="18"/>
              </w:rPr>
              <w:t xml:space="preserve">Test</w:t>
            </w:r>
          </w:p>
        </w:tc>
      </w:tr>
      <w:tr>
        <w:trPr>
          <w:cantSplit/>
        </w:trPr>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RQ1</w:t>
            </w:r>
          </w:p>
        </w:tc>
        <w:tc>
          <w:tcPr>
            <w:tcW w:type="dxa" w:w="5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H1: Customers aged under 25 and 65+ have higher odds of subscribing than those aged 35-44, after adjustment</w:t>
            </w:r>
          </w:p>
        </w:tc>
        <w:tc>
          <w:tcPr>
            <w:tcW w:type="dxa" w:w="30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Wald z-tests; likelihood-ratio test (LRT) for the age block</w:t>
            </w:r>
          </w:p>
        </w:tc>
      </w:tr>
      <w:tr>
        <w:trPr>
          <w:cantSplit/>
        </w:trPr>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RQ1</w:t>
            </w:r>
          </w:p>
        </w:tc>
        <w:tc>
          <w:tcPr>
            <w:tcW w:type="dxa" w:w="5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H2: A successful previous campaign is the strongest customer-level predictor</w:t>
            </w:r>
          </w:p>
        </w:tc>
        <w:tc>
          <w:tcPr>
            <w:tcW w:type="dxa" w:w="30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Adjusted odds ratios; permutation importance</w:t>
            </w:r>
          </w:p>
        </w:tc>
      </w:tr>
      <w:tr>
        <w:trPr>
          <w:cantSplit/>
        </w:trPr>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RQ1</w:t>
            </w:r>
          </w:p>
        </w:tc>
        <w:tc>
          <w:tcPr>
            <w:tcW w:type="dxa" w:w="5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H3: Cellular contact raises the odds, and the channel effect differs by previous outcome</w:t>
            </w:r>
          </w:p>
        </w:tc>
        <w:tc>
          <w:tcPr>
            <w:tcW w:type="dxa" w:w="30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Wald z-test; LRT for contact × poutcome</w:t>
            </w:r>
          </w:p>
        </w:tc>
      </w:tr>
      <w:tr>
        <w:trPr>
          <w:cantSplit/>
        </w:trPr>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RQ3</w:t>
            </w:r>
          </w:p>
        </w:tc>
        <w:tc>
          <w:tcPr>
            <w:tcW w:type="dxa" w:w="5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H4: More call attempts in the same campaign lower the odds</w:t>
            </w:r>
          </w:p>
        </w:tc>
        <w:tc>
          <w:tcPr>
            <w:tcW w:type="dxa" w:w="30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Wald z-test for log2(campaign)</w:t>
            </w:r>
          </w:p>
        </w:tc>
      </w:tr>
      <w:tr>
        <w:trPr>
          <w:cantSplit/>
        </w:trPr>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RQ2</w:t>
            </w:r>
          </w:p>
        </w:tc>
        <w:tc>
          <w:tcPr>
            <w:tcW w:type="dxa" w:w="5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H5: A non-parametric model ranks customers better than logistic regression</w:t>
            </w:r>
          </w:p>
        </w:tc>
        <w:tc>
          <w:tcPr>
            <w:tcW w:type="dxa" w:w="309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Paired t-test on CV folds; bootstrap CI on test AUC; phase-3 test</w:t>
            </w:r>
          </w:p>
        </w:tc>
      </w:tr>
    </w:tbl>
    <w:p>
      <w:pPr>
        <w:spacing w:after="160"/>
      </w:pPr>
    </w:p>
    <w:p>
      <w:pPr>
        <w:pStyle w:val="Heading1"/>
      </w:pPr>
      <w:r>
        <w:t xml:space="preserve">2. Data and preparation</w:t>
      </w:r>
    </w:p>
    <w:p>
      <w:pPr>
        <w:spacing w:after="140" w:line="276"/>
        <w:jc w:val="left"/>
      </w:pPr>
      <w:r>
        <w:rPr>
          <w:rFonts w:ascii="Calibri" w:cs="Calibri" w:eastAsia="Calibri" w:hAnsi="Calibri"/>
          <w:color w:val="1A1A1A"/>
          <w:sz w:val="22"/>
          <w:szCs w:val="22"/>
        </w:rPr>
        <w:t xml:space="preserve">Table 2 lists data issues and treatments; three changes respond to the AT1 feedback. I kept all ages, because the 10 customers over 90 subscribed at 50%. Formal tests show that every predictor except </w:t>
      </w:r>
      <w:r>
        <w:rPr>
          <w:rFonts w:ascii="Consolas" w:cs="Consolas" w:eastAsia="Consolas" w:hAnsi="Consolas"/>
          <w:color w:val="1A1A1A"/>
          <w:sz w:val="20"/>
          <w:szCs w:val="20"/>
        </w:rPr>
        <w:t xml:space="preserve">housing</w:t>
      </w:r>
      <w:r>
        <w:rPr>
          <w:rFonts w:ascii="Calibri" w:cs="Calibri" w:eastAsia="Calibri" w:hAnsi="Calibri"/>
          <w:color w:val="1A1A1A"/>
          <w:sz w:val="22"/>
          <w:szCs w:val="22"/>
        </w:rPr>
        <w:t xml:space="preserve"> and </w:t>
      </w:r>
      <w:r>
        <w:rPr>
          <w:rFonts w:ascii="Consolas" w:cs="Consolas" w:eastAsia="Consolas" w:hAnsi="Consolas"/>
          <w:color w:val="1A1A1A"/>
          <w:sz w:val="20"/>
          <w:szCs w:val="20"/>
        </w:rPr>
        <w:t xml:space="preserve">loan</w:t>
      </w:r>
      <w:r>
        <w:rPr>
          <w:rFonts w:ascii="Calibri" w:cs="Calibri" w:eastAsia="Calibri" w:hAnsi="Calibri"/>
          <w:color w:val="1A1A1A"/>
          <w:sz w:val="22"/>
          <w:szCs w:val="22"/>
        </w:rPr>
        <w:t xml:space="preserve"> is associated with subscription (p &lt; 0.05; Appendix A).</w:t>
      </w:r>
    </w:p>
    <w:p>
      <w:pPr>
        <w:spacing w:after="140" w:line="276"/>
        <w:jc w:val="left"/>
      </w:pPr>
      <w:r>
        <w:rPr>
          <w:rFonts w:ascii="Calibri" w:cs="Calibri" w:eastAsia="Calibri" w:hAnsi="Calibri"/>
          <w:color w:val="1A1A1A"/>
          <w:sz w:val="22"/>
          <w:szCs w:val="22"/>
        </w:rPr>
        <w:t xml:space="preserve">The rows are in time order: the </w:t>
      </w:r>
      <w:r>
        <w:rPr>
          <w:rFonts w:ascii="Consolas" w:cs="Consolas" w:eastAsia="Consolas" w:hAnsi="Consolas"/>
          <w:color w:val="1A1A1A"/>
          <w:sz w:val="20"/>
          <w:szCs w:val="20"/>
        </w:rPr>
        <w:t xml:space="preserve">month</w:t>
      </w:r>
      <w:r>
        <w:rPr>
          <w:rFonts w:ascii="Calibri" w:cs="Calibri" w:eastAsia="Calibri" w:hAnsi="Calibri"/>
          <w:color w:val="1A1A1A"/>
          <w:sz w:val="22"/>
          <w:szCs w:val="22"/>
        </w:rPr>
        <w:t xml:space="preserve"> column wraps from December back to March twice, giving 26 month blocks in three campaign phases (Figure 1). Phase 1 averaged 3,954 calls a month at 4.8% success; phase 3 averaged 228 at 52.1%. Volume and success rate are negatively correlated across blocks (Spearman ρ = −0.67, p &lt; 0.001), so AT1's strong months were late, low-volume months.</w:t>
      </w:r>
    </w:p>
    <w:p>
      <w:pPr>
        <w:keepNext/>
        <w:spacing w:after="80" w:before="160"/>
      </w:pPr>
      <w:r>
        <w:rPr>
          <w:rFonts w:ascii="Calibri" w:cs="Calibri" w:eastAsia="Calibri" w:hAnsi="Calibri"/>
          <w:i/>
          <w:iCs/>
          <w:color w:val="555555"/>
          <w:sz w:val="19"/>
          <w:szCs w:val="19"/>
        </w:rPr>
        <w:t xml:space="preserve">Table 2. Data issues and treatment (41,180 raw records, 41,168 after cleaning)</w:t>
      </w:r>
    </w:p>
    <w:tbl>
      <w:tblPr>
        <w:tblW w:type="dxa" w:w="901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0"/>
        <w:gridCol w:w="4057"/>
        <w:gridCol w:w="3268"/>
      </w:tblGrid>
      <w:tr>
        <w:trPr>
          <w:cantSplit/>
          <w:tblHeader/>
        </w:trPr>
        <w:tc>
          <w:tcPr>
            <w:tcW w:type="dxa" w:w="1690"/>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Issue</w:t>
            </w:r>
          </w:p>
        </w:tc>
        <w:tc>
          <w:tcPr>
            <w:tcW w:type="dxa" w:w="4057"/>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Evidence</w:t>
            </w:r>
          </w:p>
        </w:tc>
        <w:tc>
          <w:tcPr>
            <w:tcW w:type="dxa" w:w="3268"/>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Treatment</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File format</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Each row wrapped in quotes with doubled inner quotes</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Repaired before parsing (as in AT1)</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Dictionary mismatch</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onsolas" w:cs="Consolas" w:eastAsia="Consolas" w:hAnsi="Consolas"/>
                <w:color w:val="1A1A1A"/>
                <w:sz w:val="15"/>
                <w:szCs w:val="15"/>
              </w:rPr>
              <w:t xml:space="preserve">balance</w:t>
            </w:r>
            <w:r>
              <w:rPr>
                <w:rFonts w:ascii="Calibri" w:cs="Calibri" w:eastAsia="Calibri" w:hAnsi="Calibri"/>
                <w:b w:val="false"/>
                <w:bCs w:val="false"/>
                <w:color w:val="1A1A1A"/>
                <w:sz w:val="17"/>
                <w:szCs w:val="17"/>
              </w:rPr>
              <w:t xml:space="preserve"> and </w:t>
            </w:r>
            <w:r>
              <w:rPr>
                <w:rFonts w:ascii="Consolas" w:cs="Consolas" w:eastAsia="Consolas" w:hAnsi="Consolas"/>
                <w:color w:val="1A1A1A"/>
                <w:sz w:val="15"/>
                <w:szCs w:val="15"/>
              </w:rPr>
              <w:t xml:space="preserve">day</w:t>
            </w:r>
            <w:r>
              <w:rPr>
                <w:rFonts w:ascii="Calibri" w:cs="Calibri" w:eastAsia="Calibri" w:hAnsi="Calibri"/>
                <w:b w:val="false"/>
                <w:bCs w:val="false"/>
                <w:color w:val="1A1A1A"/>
                <w:sz w:val="17"/>
                <w:szCs w:val="17"/>
              </w:rPr>
              <w:t xml:space="preserve"> listed but absent; </w:t>
            </w:r>
            <w:r>
              <w:rPr>
                <w:rFonts w:ascii="Consolas" w:cs="Consolas" w:eastAsia="Consolas" w:hAnsi="Consolas"/>
                <w:color w:val="1A1A1A"/>
                <w:sz w:val="15"/>
                <w:szCs w:val="15"/>
              </w:rPr>
              <w:t xml:space="preserve">day_of_week</w:t>
            </w:r>
            <w:r>
              <w:rPr>
                <w:rFonts w:ascii="Calibri" w:cs="Calibri" w:eastAsia="Calibri" w:hAnsi="Calibri"/>
                <w:b w:val="false"/>
                <w:bCs w:val="false"/>
                <w:color w:val="1A1A1A"/>
                <w:sz w:val="17"/>
                <w:szCs w:val="17"/>
              </w:rPr>
              <w:t xml:space="preserve"> present; </w:t>
            </w:r>
            <w:r>
              <w:rPr>
                <w:rFonts w:ascii="Consolas" w:cs="Consolas" w:eastAsia="Consolas" w:hAnsi="Consolas"/>
                <w:color w:val="1A1A1A"/>
                <w:sz w:val="15"/>
                <w:szCs w:val="15"/>
              </w:rPr>
              <w:t xml:space="preserve">pdays</w:t>
            </w:r>
            <w:r>
              <w:rPr>
                <w:rFonts w:ascii="Calibri" w:cs="Calibri" w:eastAsia="Calibri" w:hAnsi="Calibri"/>
                <w:b w:val="false"/>
                <w:bCs w:val="false"/>
                <w:color w:val="1A1A1A"/>
                <w:sz w:val="17"/>
                <w:szCs w:val="17"/>
              </w:rPr>
              <w:t xml:space="preserve"> uses 999, not −1</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Used the actual columns; documented</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Duplicates</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12 identical rows</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Removed</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17-98</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 records over 90, 50% subscribed</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Kept (AT1 removed them)</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Target leakage</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onsolas" w:cs="Consolas" w:eastAsia="Consolas" w:hAnsi="Consolas"/>
                <w:color w:val="1A1A1A"/>
                <w:sz w:val="15"/>
                <w:szCs w:val="15"/>
              </w:rPr>
              <w:t xml:space="preserve">duration</w:t>
            </w:r>
            <w:r>
              <w:rPr>
                <w:rFonts w:ascii="Calibri" w:cs="Calibri" w:eastAsia="Calibri" w:hAnsi="Calibri"/>
                <w:b w:val="false"/>
                <w:bCs w:val="false"/>
                <w:color w:val="1A1A1A"/>
                <w:sz w:val="17"/>
                <w:szCs w:val="17"/>
              </w:rPr>
              <w:t xml:space="preserve"> is known only after the call; CV AUC 0.93 with it vs 0.79 without</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Excluded</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onsolas" w:cs="Consolas" w:eastAsia="Consolas" w:hAnsi="Consolas"/>
                <w:color w:val="1A1A1A"/>
                <w:sz w:val="15"/>
                <w:szCs w:val="15"/>
              </w:rPr>
              <w:t xml:space="preserve">pdays</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96.3% coded 999; 4,108 rows have </w:t>
            </w:r>
            <w:r>
              <w:rPr>
                <w:rFonts w:ascii="Consolas" w:cs="Consolas" w:eastAsia="Consolas" w:hAnsi="Consolas"/>
                <w:color w:val="1A1A1A"/>
                <w:sz w:val="15"/>
                <w:szCs w:val="15"/>
              </w:rPr>
              <w:t xml:space="preserve">previous</w:t>
            </w:r>
            <w:r>
              <w:rPr>
                <w:rFonts w:ascii="Calibri" w:cs="Calibri" w:eastAsia="Calibri" w:hAnsi="Calibri"/>
                <w:b w:val="false"/>
                <w:bCs w:val="false"/>
                <w:color w:val="1A1A1A"/>
                <w:sz w:val="17"/>
                <w:szCs w:val="17"/>
              </w:rPr>
              <w:t xml:space="preserve"> &gt; 0 but </w:t>
            </w:r>
            <w:r>
              <w:rPr>
                <w:rFonts w:ascii="Consolas" w:cs="Consolas" w:eastAsia="Consolas" w:hAnsi="Consolas"/>
                <w:color w:val="1A1A1A"/>
                <w:sz w:val="15"/>
                <w:szCs w:val="15"/>
              </w:rPr>
              <w:t xml:space="preserve">pdays</w:t>
            </w:r>
            <w:r>
              <w:rPr>
                <w:rFonts w:ascii="Calibri" w:cs="Calibri" w:eastAsia="Calibri" w:hAnsi="Calibri"/>
                <w:b w:val="false"/>
                <w:bCs w:val="false"/>
                <w:color w:val="1A1A1A"/>
                <w:sz w:val="17"/>
                <w:szCs w:val="17"/>
              </w:rPr>
              <w:t xml:space="preserve"> = 999</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Dropped; </w:t>
            </w:r>
            <w:r>
              <w:rPr>
                <w:rFonts w:ascii="Consolas" w:cs="Consolas" w:eastAsia="Consolas" w:hAnsi="Consolas"/>
                <w:color w:val="1A1A1A"/>
                <w:sz w:val="15"/>
                <w:szCs w:val="15"/>
              </w:rPr>
              <w:t xml:space="preserve">poutcome</w:t>
            </w:r>
            <w:r>
              <w:rPr>
                <w:rFonts w:ascii="Calibri" w:cs="Calibri" w:eastAsia="Calibri" w:hAnsi="Calibri"/>
                <w:b w:val="false"/>
                <w:bCs w:val="false"/>
                <w:color w:val="1A1A1A"/>
                <w:sz w:val="17"/>
                <w:szCs w:val="17"/>
              </w:rPr>
              <w:t xml:space="preserve"> used instead</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onsolas" w:cs="Consolas" w:eastAsia="Consolas" w:hAnsi="Consolas"/>
                <w:color w:val="1A1A1A"/>
                <w:sz w:val="15"/>
                <w:szCs w:val="15"/>
              </w:rPr>
              <w:t xml:space="preserve">default</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 'yes' (all non-subscribers), 8,595 'unknown'</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Binary flag </w:t>
            </w:r>
            <w:r>
              <w:rPr>
                <w:rFonts w:ascii="Consolas" w:cs="Consolas" w:eastAsia="Consolas" w:hAnsi="Consolas"/>
                <w:color w:val="1A1A1A"/>
                <w:sz w:val="15"/>
                <w:szCs w:val="15"/>
              </w:rPr>
              <w:t xml:space="preserve">default_unk</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onsolas" w:cs="Consolas" w:eastAsia="Consolas" w:hAnsi="Consolas"/>
                <w:color w:val="1A1A1A"/>
                <w:sz w:val="15"/>
                <w:szCs w:val="15"/>
              </w:rPr>
              <w:t xml:space="preserve">housing</w:t>
            </w:r>
            <w:r>
              <w:rPr>
                <w:rFonts w:ascii="Calibri" w:cs="Calibri" w:eastAsia="Calibri" w:hAnsi="Calibri"/>
                <w:b w:val="false"/>
                <w:bCs w:val="false"/>
                <w:color w:val="1A1A1A"/>
                <w:sz w:val="17"/>
                <w:szCs w:val="17"/>
              </w:rPr>
              <w:t xml:space="preserve">, </w:t>
            </w:r>
            <w:r>
              <w:rPr>
                <w:rFonts w:ascii="Consolas" w:cs="Consolas" w:eastAsia="Consolas" w:hAnsi="Consolas"/>
                <w:color w:val="1A1A1A"/>
                <w:sz w:val="15"/>
                <w:szCs w:val="15"/>
              </w:rPr>
              <w:t xml:space="preserve">loan</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Same 990 'unknown' rows; no association (p = 0.06 and 0.58)</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Excluded</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Small category</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onsolas" w:cs="Consolas" w:eastAsia="Consolas" w:hAnsi="Consolas"/>
                <w:color w:val="1A1A1A"/>
                <w:sz w:val="15"/>
                <w:szCs w:val="15"/>
              </w:rPr>
              <w:t xml:space="preserve">education</w:t>
            </w:r>
            <w:r>
              <w:rPr>
                <w:rFonts w:ascii="Calibri" w:cs="Calibri" w:eastAsia="Calibri" w:hAnsi="Calibri"/>
                <w:b w:val="false"/>
                <w:bCs w:val="false"/>
                <w:color w:val="1A1A1A"/>
                <w:sz w:val="17"/>
                <w:szCs w:val="17"/>
              </w:rPr>
              <w:t xml:space="preserve"> = illiterate, n = 18</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Merged with basic.4y for modelling</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Economic indicators</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VIF up to 64 (</w:t>
            </w:r>
            <w:r>
              <w:rPr>
                <w:rFonts w:ascii="Consolas" w:cs="Consolas" w:eastAsia="Consolas" w:hAnsi="Consolas"/>
                <w:color w:val="1A1A1A"/>
                <w:sz w:val="15"/>
                <w:szCs w:val="15"/>
              </w:rPr>
              <w:t xml:space="preserve">euribor3m</w:t>
            </w:r>
            <w:r>
              <w:rPr>
                <w:rFonts w:ascii="Calibri" w:cs="Calibri" w:eastAsia="Calibri" w:hAnsi="Calibri"/>
                <w:b w:val="false"/>
                <w:bCs w:val="false"/>
                <w:color w:val="1A1A1A"/>
                <w:sz w:val="17"/>
                <w:szCs w:val="17"/>
              </w:rPr>
              <w:t xml:space="preserve">, </w:t>
            </w:r>
            <w:r>
              <w:rPr>
                <w:rFonts w:ascii="Consolas" w:cs="Consolas" w:eastAsia="Consolas" w:hAnsi="Consolas"/>
                <w:color w:val="1A1A1A"/>
                <w:sz w:val="15"/>
                <w:szCs w:val="15"/>
              </w:rPr>
              <w:t xml:space="preserve">emp.var.rate</w:t>
            </w:r>
            <w:r>
              <w:rPr>
                <w:rFonts w:ascii="Calibri" w:cs="Calibri" w:eastAsia="Calibri" w:hAnsi="Calibri"/>
                <w:b w:val="false"/>
                <w:bCs w:val="false"/>
                <w:color w:val="1A1A1A"/>
                <w:sz w:val="17"/>
                <w:szCs w:val="17"/>
              </w:rPr>
              <w:t xml:space="preserve">, </w:t>
            </w:r>
            <w:r>
              <w:rPr>
                <w:rFonts w:ascii="Consolas" w:cs="Consolas" w:eastAsia="Consolas" w:hAnsi="Consolas"/>
                <w:color w:val="1A1A1A"/>
                <w:sz w:val="15"/>
                <w:szCs w:val="15"/>
              </w:rPr>
              <w:t xml:space="preserve">nr.employed</w:t>
            </w:r>
            <w:r>
              <w:rPr>
                <w:rFonts w:ascii="Calibri" w:cs="Calibri" w:eastAsia="Calibri" w:hAnsi="Calibri"/>
                <w:b w:val="false"/>
                <w:bCs w:val="false"/>
                <w:color w:val="1A1A1A"/>
                <w:sz w:val="17"/>
                <w:szCs w:val="17"/>
              </w:rPr>
              <w:t xml:space="preserve">)</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Kept </w:t>
            </w:r>
            <w:r>
              <w:rPr>
                <w:rFonts w:ascii="Consolas" w:cs="Consolas" w:eastAsia="Consolas" w:hAnsi="Consolas"/>
                <w:color w:val="1A1A1A"/>
                <w:sz w:val="15"/>
                <w:szCs w:val="15"/>
              </w:rPr>
              <w:t xml:space="preserve">nr.employed</w:t>
            </w:r>
            <w:r>
              <w:rPr>
                <w:rFonts w:ascii="Calibri" w:cs="Calibri" w:eastAsia="Calibri" w:hAnsi="Calibri"/>
                <w:b w:val="false"/>
                <w:bCs w:val="false"/>
                <w:color w:val="1A1A1A"/>
                <w:sz w:val="17"/>
                <w:szCs w:val="17"/>
              </w:rPr>
              <w:t xml:space="preserve">, </w:t>
            </w:r>
            <w:r>
              <w:rPr>
                <w:rFonts w:ascii="Consolas" w:cs="Consolas" w:eastAsia="Consolas" w:hAnsi="Consolas"/>
                <w:color w:val="1A1A1A"/>
                <w:sz w:val="15"/>
                <w:szCs w:val="15"/>
              </w:rPr>
              <w:t xml:space="preserve">cons.price.idx</w:t>
            </w:r>
            <w:r>
              <w:rPr>
                <w:rFonts w:ascii="Calibri" w:cs="Calibri" w:eastAsia="Calibri" w:hAnsi="Calibri"/>
                <w:b w:val="false"/>
                <w:bCs w:val="false"/>
                <w:color w:val="1A1A1A"/>
                <w:sz w:val="17"/>
                <w:szCs w:val="17"/>
              </w:rPr>
              <w:t xml:space="preserve">, </w:t>
            </w:r>
            <w:r>
              <w:rPr>
                <w:rFonts w:ascii="Consolas" w:cs="Consolas" w:eastAsia="Consolas" w:hAnsi="Consolas"/>
                <w:color w:val="1A1A1A"/>
                <w:sz w:val="15"/>
                <w:szCs w:val="15"/>
              </w:rPr>
              <w:t xml:space="preserve">cons.conf.idx</w:t>
            </w:r>
            <w:r>
              <w:rPr>
                <w:rFonts w:ascii="Calibri" w:cs="Calibri" w:eastAsia="Calibri" w:hAnsi="Calibri"/>
                <w:b w:val="false"/>
                <w:bCs w:val="false"/>
                <w:color w:val="1A1A1A"/>
                <w:sz w:val="17"/>
                <w:szCs w:val="17"/>
              </w:rPr>
              <w:t xml:space="preserve"> (VIF ≤ 1.4)</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Class imbalance</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11.3% subscribed</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Stratified splits, PR-AUC, tuned threshold; no resampling</w:t>
            </w:r>
          </w:p>
        </w:tc>
      </w:tr>
      <w:tr>
        <w:trPr>
          <w:cantSplit/>
        </w:trPr>
        <w:tc>
          <w:tcPr>
            <w:tcW w:type="dxa" w:w="169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'unknown' values</w:t>
            </w:r>
          </w:p>
        </w:tc>
        <w:tc>
          <w:tcPr>
            <w:tcW w:type="dxa" w:w="40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Informative: </w:t>
            </w:r>
            <w:r>
              <w:rPr>
                <w:rFonts w:ascii="Consolas" w:cs="Consolas" w:eastAsia="Consolas" w:hAnsi="Consolas"/>
                <w:color w:val="1A1A1A"/>
                <w:sz w:val="15"/>
                <w:szCs w:val="15"/>
              </w:rPr>
              <w:t xml:space="preserve">default</w:t>
            </w:r>
            <w:r>
              <w:rPr>
                <w:rFonts w:ascii="Calibri" w:cs="Calibri" w:eastAsia="Calibri" w:hAnsi="Calibri"/>
                <w:b w:val="false"/>
                <w:bCs w:val="false"/>
                <w:color w:val="1A1A1A"/>
                <w:sz w:val="17"/>
                <w:szCs w:val="17"/>
              </w:rPr>
              <w:t xml:space="preserve"> unknown subscribes at 5.2% vs 12.9%</w:t>
            </w:r>
          </w:p>
        </w:tc>
        <w:tc>
          <w:tcPr>
            <w:tcW w:type="dxa" w:w="32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Kept as a separate level</w:t>
            </w:r>
          </w:p>
        </w:tc>
      </w:tr>
    </w:tbl>
    <w:p>
      <w:pPr>
        <w:spacing w:after="160"/>
      </w:pPr>
    </w:p>
    <w:p>
      <w:pPr>
        <w:keepNext/>
        <w:spacing w:after="60" w:before="120"/>
        <w:jc w:val="center"/>
      </w:pPr>
      <w:r>
        <w:drawing>
          <wp:inline distT="0" distB="0" distL="0" distR="0">
            <wp:extent cx="5724525" cy="3143250"/>
            <wp:effectExtent t="0" r="0" b="0" l="0"/>
            <wp:docPr id="1" name="fig1_phase_volume.png" descr="Figure 1. Calls and subscription rate for the 26 month blocks, coloured by campaign phase" title="Figure 1. Calls and subscription rate for the 26 month blocks, coloured by campaign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24525" cy="3143250"/>
                    </a:xfrm>
                    <a:prstGeom prst="rect">
                      <a:avLst/>
                    </a:prstGeom>
                  </pic:spPr>
                </pic:pic>
              </a:graphicData>
            </a:graphic>
          </wp:inline>
        </w:drawing>
      </w:r>
    </w:p>
    <w:p>
      <w:pPr>
        <w:spacing w:after="240"/>
      </w:pPr>
      <w:r>
        <w:rPr>
          <w:rFonts w:ascii="Calibri" w:cs="Calibri" w:eastAsia="Calibri" w:hAnsi="Calibri"/>
          <w:i/>
          <w:iCs/>
          <w:color w:val="555555"/>
          <w:sz w:val="19"/>
          <w:szCs w:val="19"/>
        </w:rPr>
        <w:t xml:space="preserve">Figure 1. Calls and subscription rate for the 26 month blocks, coloured by campaign phase</w:t>
      </w:r>
    </w:p>
    <w:p>
      <w:pPr>
        <w:pStyle w:val="Heading1"/>
      </w:pPr>
      <w:r>
        <w:t xml:space="preserve">3. Methodology</w:t>
      </w:r>
    </w:p>
    <w:p>
      <w:pPr>
        <w:spacing w:after="140" w:line="276"/>
        <w:jc w:val="left"/>
      </w:pPr>
      <w:r>
        <w:rPr>
          <w:rFonts w:ascii="Calibri" w:cs="Calibri" w:eastAsia="Calibri" w:hAnsi="Calibri"/>
          <w:color w:val="1A1A1A"/>
          <w:sz w:val="22"/>
          <w:szCs w:val="22"/>
        </w:rPr>
        <w:t xml:space="preserve">I split the data 80/20 into training (n = 32,934) and test (n = 8,234) sets, stratified by the target, and used only the training set for selection and tuning.</w:t>
      </w:r>
    </w:p>
    <w:p>
      <w:pPr>
        <w:spacing w:after="140" w:line="276"/>
        <w:jc w:val="left"/>
      </w:pPr>
      <w:r>
        <w:rPr>
          <w:rFonts w:ascii="Calibri" w:cs="Calibri" w:eastAsia="Calibri" w:hAnsi="Calibri"/>
          <w:color w:val="1A1A1A"/>
          <w:sz w:val="22"/>
          <w:szCs w:val="22"/>
        </w:rPr>
        <w:t xml:space="preserve">The parametric model is a logistic regression whose coefficients maximise the log-likelihood (maximum likelihood, Lecture 5). Its negative log-likelihood is convex, so the estimate is the global optimum. I added predictors in four blocks and compared nested models with LRTs, AIC and BIC (Appendix B). Age enters as six groups because a quadratic term confirmed a U-shape (LRT p &lt; 0.001). The largest variance inflation factor is 3.3.</w:t>
      </w:r>
    </w:p>
    <w:p>
      <w:pPr>
        <w:spacing w:after="140" w:line="276"/>
        <w:jc w:val="left"/>
      </w:pPr>
      <w:r>
        <w:rPr>
          <w:rFonts w:ascii="Calibri" w:cs="Calibri" w:eastAsia="Calibri" w:hAnsi="Calibri"/>
          <w:color w:val="1A1A1A"/>
          <w:sz w:val="22"/>
          <w:szCs w:val="22"/>
        </w:rPr>
        <w:t xml:space="preserve">The non-parametric models use the same predictors, so accuracy differences come from model form. Each was tuned by grid search with 5-fold stratified cross-validation (CV) on ROC-AUC, because the business task is ranking.</w:t>
      </w:r>
    </w:p>
    <w:p>
      <w:pPr>
        <w:spacing w:after="140" w:line="276"/>
        <w:jc w:val="left"/>
      </w:pPr>
      <w:r>
        <w:rPr>
          <w:rFonts w:ascii="Calibri" w:cs="Calibri" w:eastAsia="Calibri" w:hAnsi="Calibri"/>
          <w:color w:val="1A1A1A"/>
          <w:sz w:val="22"/>
          <w:szCs w:val="22"/>
        </w:rPr>
        <w:t xml:space="preserve">The second Module 3 method is Bayesian estimation: the posterior is proportional to the likelihood times the prior. Segment rates use a Beta prior and Binomial likelihood. I also refitted M4 with Normal(0, 2.5²) priors and sampled its posterior with Metropolis-Hastings MCMC, checking trace plots, autocorrelation, R-hat and effective sample size (ESS; Gelman et al., 2013). Table 3 gives each model's settings. A 1,000-resample bootstrap tests the AUC difference, and a temporal test trains on phases 1 and 2 and predicts phase 3.</w:t>
      </w:r>
    </w:p>
    <w:p>
      <w:pPr>
        <w:keepNext/>
        <w:spacing w:after="80" w:before="160"/>
      </w:pPr>
      <w:r>
        <w:rPr>
          <w:rFonts w:ascii="Calibri" w:cs="Calibri" w:eastAsia="Calibri" w:hAnsi="Calibri"/>
          <w:i/>
          <w:iCs/>
          <w:color w:val="555555"/>
          <w:sz w:val="19"/>
          <w:szCs w:val="19"/>
        </w:rPr>
        <w:t xml:space="preserve">Table 3. Model choice, configuration and training</w:t>
      </w:r>
    </w:p>
    <w:tbl>
      <w:tblPr>
        <w:tblW w:type="dxa" w:w="901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65"/>
        <w:gridCol w:w="2141"/>
        <w:gridCol w:w="3606"/>
        <w:gridCol w:w="1803"/>
      </w:tblGrid>
      <w:tr>
        <w:trPr>
          <w:cantSplit/>
          <w:tblHeader/>
        </w:trPr>
        <w:tc>
          <w:tcPr>
            <w:tcW w:type="dxa" w:w="1465"/>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Model</w:t>
            </w:r>
          </w:p>
        </w:tc>
        <w:tc>
          <w:tcPr>
            <w:tcW w:type="dxa" w:w="214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Type and reason</w:t>
            </w:r>
          </w:p>
        </w:tc>
        <w:tc>
          <w:tcPr>
            <w:tcW w:type="dxa" w:w="3606"/>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Configuration and tuning grid</w:t>
            </w:r>
          </w:p>
        </w:tc>
        <w:tc>
          <w:tcPr>
            <w:tcW w:type="dxa" w:w="180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Selected</w:t>
            </w:r>
          </w:p>
        </w:tc>
      </w:tr>
      <w:tr>
        <w:trPr>
          <w:cantSplit/>
        </w:trPr>
        <w:tc>
          <w:tcPr>
            <w:tcW w:type="dxa" w:w="14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Logistic regression</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Parametric. Binary outcome; coefficients give odds ratios</w:t>
            </w:r>
          </w:p>
        </w:tc>
        <w:tc>
          <w:tcPr>
            <w:tcW w:type="dxa" w:w="36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MLE (statsmodels). Blocks: profile, contact history, economy, timing. </w:t>
            </w:r>
            <w:r>
              <w:rPr>
                <w:rFonts w:ascii="Consolas" w:cs="Consolas" w:eastAsia="Consolas" w:hAnsi="Consolas"/>
                <w:color w:val="1A1A1A"/>
                <w:sz w:val="15"/>
                <w:szCs w:val="15"/>
              </w:rPr>
              <w:t xml:space="preserve">nr.employed</w:t>
            </w:r>
            <w:r>
              <w:rPr>
                <w:rFonts w:ascii="Calibri" w:cs="Calibri" w:eastAsia="Calibri" w:hAnsi="Calibri"/>
                <w:b w:val="false"/>
                <w:bCs w:val="false"/>
                <w:color w:val="1A1A1A"/>
                <w:sz w:val="17"/>
                <w:szCs w:val="17"/>
              </w:rPr>
              <w:t xml:space="preserve"> chosen over </w:t>
            </w:r>
            <w:r>
              <w:rPr>
                <w:rFonts w:ascii="Consolas" w:cs="Consolas" w:eastAsia="Consolas" w:hAnsi="Consolas"/>
                <w:color w:val="1A1A1A"/>
                <w:sz w:val="15"/>
                <w:szCs w:val="15"/>
              </w:rPr>
              <w:t xml:space="preserve">euribor3m</w:t>
            </w:r>
            <w:r>
              <w:rPr>
                <w:rFonts w:ascii="Calibri" w:cs="Calibri" w:eastAsia="Calibri" w:hAnsi="Calibri"/>
                <w:b w:val="false"/>
                <w:bCs w:val="false"/>
                <w:color w:val="1A1A1A"/>
                <w:sz w:val="17"/>
                <w:szCs w:val="17"/>
              </w:rPr>
              <w:t xml:space="preserve"> (AIC 18,484 vs 18,504)</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Model M4, 47 parameters</w:t>
            </w:r>
          </w:p>
        </w:tc>
      </w:tr>
      <w:tr>
        <w:trPr>
          <w:cantSplit/>
        </w:trPr>
        <w:tc>
          <w:tcPr>
            <w:tcW w:type="dxa" w:w="14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KNN</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Non-parametric. No functional form; similar customers behave alike</w:t>
            </w:r>
          </w:p>
        </w:tc>
        <w:tc>
          <w:tcPr>
            <w:tcW w:type="dxa" w:w="36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One-hot and standardised inputs. k: 100, 200, 400, 800, 1,600; uniform or distance weights</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k = 800, uniform</w:t>
            </w:r>
          </w:p>
        </w:tc>
      </w:tr>
      <w:tr>
        <w:trPr>
          <w:cantSplit/>
        </w:trPr>
        <w:tc>
          <w:tcPr>
            <w:tcW w:type="dxa" w:w="14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Decision tree</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Non-parametric. Readable segment rules</w:t>
            </w:r>
          </w:p>
        </w:tc>
        <w:tc>
          <w:tcPr>
            <w:tcW w:type="dxa" w:w="36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Depth: 4, 6, 8, 10. Minimum leaf: 50, 100, 200, 400</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Depth 6, leaf 100</w:t>
            </w:r>
          </w:p>
        </w:tc>
      </w:tr>
      <w:tr>
        <w:trPr>
          <w:cantSplit/>
        </w:trPr>
        <w:tc>
          <w:tcPr>
            <w:tcW w:type="dxa" w:w="14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Gradient boosting</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Non-parametric. Learns interactions and curves</w:t>
            </w:r>
          </w:p>
        </w:tc>
        <w:tc>
          <w:tcPr>
            <w:tcW w:type="dxa" w:w="36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Learning rate 0.05, 0.1; depth 2, 3, 5; leaf 100, 300, 1,000; L2 1, 10, 30; early stopping after 30 rounds (max 1,000 trees)</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Rate 0.1, depth 3, leaf 300, L2 30, 535 trees. All 54 settings within 0.005 CV AUC</w:t>
            </w:r>
          </w:p>
        </w:tc>
      </w:tr>
      <w:tr>
        <w:trPr>
          <w:cantSplit/>
        </w:trPr>
        <w:tc>
          <w:tcPr>
            <w:tcW w:type="dxa" w:w="14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Beta-Binomial (Bayesian)</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Module 3 estimation. Uncertainty for small segments</w:t>
            </w:r>
          </w:p>
        </w:tc>
        <w:tc>
          <w:tcPr>
            <w:tcW w:type="dxa" w:w="36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Prior Beta(2.25, 17.75): mean 11.3%, weight of 20 customers. Sensitivity prior Beta(1, 1)</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Posterior mean and 95% credible interval</w:t>
            </w:r>
          </w:p>
        </w:tc>
      </w:tr>
      <w:tr>
        <w:trPr>
          <w:cantSplit/>
        </w:trPr>
        <w:tc>
          <w:tcPr>
            <w:tcW w:type="dxa" w:w="14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Bayesian logistic regression</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Module 3 estimation. Posterior for the 47 coefficients of M4; no closed form, so MCMC</w:t>
            </w:r>
          </w:p>
        </w:tc>
        <w:tc>
          <w:tcPr>
            <w:tcW w:type="dxa" w:w="360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Normal(0, 2.5²) priors on standardised predictors. Random-walk Metropolis-Hastings, 4 chains × 60,000 iterations, burn-in 5,000, thin 50. Sensitivity prior Normal(0, 0.5²)</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Largest R-hat 1.003; smallest ESS 1,199 of 4,400 draws</w:t>
            </w:r>
          </w:p>
        </w:tc>
      </w:tr>
    </w:tbl>
    <w:p>
      <w:pPr>
        <w:spacing w:after="200" w:before="60"/>
      </w:pPr>
      <w:r>
        <w:rPr>
          <w:rFonts w:ascii="Calibri" w:cs="Calibri" w:eastAsia="Calibri" w:hAnsi="Calibri"/>
          <w:i/>
          <w:iCs/>
          <w:color w:val="555555"/>
          <w:sz w:val="17"/>
          <w:szCs w:val="17"/>
        </w:rPr>
        <w:t xml:space="preserve">Note. All classifiers: 5-fold stratified CV on the training set, ROC-AUC scoring, F1-optimal threshold from out-of-fold predictions, random seed 42.</w:t>
      </w:r>
    </w:p>
    <w:p>
      <w:pPr>
        <w:pStyle w:val="Heading1"/>
      </w:pPr>
      <w:r>
        <w:t xml:space="preserve">4. Results</w:t>
      </w:r>
    </w:p>
    <w:p>
      <w:pPr>
        <w:pStyle w:val="Heading2"/>
      </w:pPr>
      <w:r>
        <w:t xml:space="preserve">4.1 Model comparison</w:t>
      </w:r>
    </w:p>
    <w:p>
      <w:pPr>
        <w:spacing w:after="140" w:line="276"/>
        <w:jc w:val="left"/>
      </w:pPr>
      <w:r>
        <w:rPr>
          <w:rFonts w:ascii="Calibri" w:cs="Calibri" w:eastAsia="Calibri" w:hAnsi="Calibri"/>
          <w:color w:val="1A1A1A"/>
          <w:sz w:val="22"/>
          <w:szCs w:val="22"/>
        </w:rPr>
        <w:t xml:space="preserve">All four models rank customers well (Table 4, Figure 2): test ROC-AUC is 0.797 to 0.807, and PR-AUC is about four times the no-skill value of 0.113. Gradient boosting leads logistic regression in CV by 0.008 AUC (paired t-test p = 0.013), but the 95% bootstrap CI for the test difference includes zero (−0.0003 to 0.015). The top 20% ranked by either model hold 65% to 66% of subscribers (Figure 3).</w:t>
      </w:r>
    </w:p>
    <w:p>
      <w:pPr>
        <w:spacing w:after="140" w:line="276"/>
        <w:jc w:val="left"/>
      </w:pPr>
      <w:r>
        <w:rPr>
          <w:rFonts w:ascii="Calibri" w:cs="Calibri" w:eastAsia="Calibri" w:hAnsi="Calibri"/>
          <w:color w:val="1A1A1A"/>
          <w:sz w:val="22"/>
          <w:szCs w:val="22"/>
        </w:rPr>
        <w:t xml:space="preserve">On phase 3, where </w:t>
      </w:r>
      <w:r>
        <w:rPr>
          <w:rFonts w:ascii="Consolas" w:cs="Consolas" w:eastAsia="Consolas" w:hAnsi="Consolas"/>
          <w:color w:val="1A1A1A"/>
          <w:sz w:val="20"/>
          <w:szCs w:val="20"/>
        </w:rPr>
        <w:t xml:space="preserve">nr.employed</w:t>
      </w:r>
      <w:r>
        <w:rPr>
          <w:rFonts w:ascii="Calibri" w:cs="Calibri" w:eastAsia="Calibri" w:hAnsi="Calibri"/>
          <w:color w:val="1A1A1A"/>
          <w:sz w:val="22"/>
          <w:szCs w:val="22"/>
        </w:rPr>
        <w:t xml:space="preserve"> falls below every training value, AUC drops to 0.60 to 0.70. Models using only customer and contact variables reach 0.70, so customer patterns transfer and economic patterns do not.</w:t>
      </w:r>
    </w:p>
    <w:p>
      <w:pPr>
        <w:keepNext/>
        <w:spacing w:after="80" w:before="160"/>
      </w:pPr>
      <w:r>
        <w:rPr>
          <w:rFonts w:ascii="Calibri" w:cs="Calibri" w:eastAsia="Calibri" w:hAnsi="Calibri"/>
          <w:i/>
          <w:iCs/>
          <w:color w:val="555555"/>
          <w:sz w:val="19"/>
          <w:szCs w:val="19"/>
        </w:rPr>
        <w:t xml:space="preserve">Table 4. Model performance (CV on training set; test set n = 8,234; phase-3 test n = 2,054)</w:t>
      </w:r>
    </w:p>
    <w:tbl>
      <w:tblPr>
        <w:tblW w:type="dxa" w:w="9017"/>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8"/>
        <w:gridCol w:w="1002"/>
        <w:gridCol w:w="1002"/>
        <w:gridCol w:w="783"/>
        <w:gridCol w:w="783"/>
        <w:gridCol w:w="783"/>
        <w:gridCol w:w="689"/>
        <w:gridCol w:w="626"/>
        <w:gridCol w:w="876"/>
        <w:gridCol w:w="845"/>
      </w:tblGrid>
      <w:tr>
        <w:trPr>
          <w:cantSplit/>
          <w:tblHeader/>
        </w:trPr>
        <w:tc>
          <w:tcPr>
            <w:tcW w:type="dxa" w:w="1628"/>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Model</w:t>
            </w:r>
          </w:p>
        </w:tc>
        <w:tc>
          <w:tcPr>
            <w:tcW w:type="dxa" w:w="1002"/>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CV ROC-AUC (sd)</w:t>
            </w:r>
          </w:p>
        </w:tc>
        <w:tc>
          <w:tcPr>
            <w:tcW w:type="dxa" w:w="1002"/>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CV PR-AUC (sd)</w:t>
            </w:r>
          </w:p>
        </w:tc>
        <w:tc>
          <w:tcPr>
            <w:tcW w:type="dxa" w:w="78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Test ROC-AUC</w:t>
            </w:r>
          </w:p>
        </w:tc>
        <w:tc>
          <w:tcPr>
            <w:tcW w:type="dxa" w:w="78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Test PR-AUC</w:t>
            </w:r>
          </w:p>
        </w:tc>
        <w:tc>
          <w:tcPr>
            <w:tcW w:type="dxa" w:w="78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Precision</w:t>
            </w:r>
          </w:p>
        </w:tc>
        <w:tc>
          <w:tcPr>
            <w:tcW w:type="dxa" w:w="689"/>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Recall</w:t>
            </w:r>
          </w:p>
        </w:tc>
        <w:tc>
          <w:tcPr>
            <w:tcW w:type="dxa" w:w="626"/>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F1</w:t>
            </w:r>
          </w:p>
        </w:tc>
        <w:tc>
          <w:tcPr>
            <w:tcW w:type="dxa" w:w="876"/>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Top-20% capture</w:t>
            </w:r>
          </w:p>
        </w:tc>
        <w:tc>
          <w:tcPr>
            <w:tcW w:type="dxa" w:w="845"/>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Phase-3 ROC-AUC</w:t>
            </w:r>
          </w:p>
        </w:tc>
      </w:tr>
      <w:tr>
        <w:trPr>
          <w:cantSplit/>
        </w:trPr>
        <w:tc>
          <w:tcPr>
            <w:tcW w:type="dxa" w:w="162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Logistic regression</w:t>
            </w:r>
          </w:p>
        </w:tc>
        <w:tc>
          <w:tcPr>
            <w:tcW w:type="dxa" w:w="10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0.784 (0.011)</w:t>
            </w:r>
          </w:p>
        </w:tc>
        <w:tc>
          <w:tcPr>
            <w:tcW w:type="dxa" w:w="10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0.439 (0.017)</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0.800</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0.462</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0.448</w:t>
            </w:r>
          </w:p>
        </w:tc>
        <w:tc>
          <w:tcPr>
            <w:tcW w:type="dxa" w:w="6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0.586</w:t>
            </w:r>
          </w:p>
        </w:tc>
        <w:tc>
          <w:tcPr>
            <w:tcW w:type="dxa" w:w="6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0.508</w:t>
            </w:r>
          </w:p>
        </w:tc>
        <w:tc>
          <w:tcPr>
            <w:tcW w:type="dxa" w:w="8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0.648</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0.674</w:t>
            </w:r>
          </w:p>
        </w:tc>
      </w:tr>
      <w:tr>
        <w:trPr>
          <w:cantSplit/>
        </w:trPr>
        <w:tc>
          <w:tcPr>
            <w:tcW w:type="dxa" w:w="162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KNN</w:t>
            </w:r>
          </w:p>
        </w:tc>
        <w:tc>
          <w:tcPr>
            <w:tcW w:type="dxa" w:w="10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0.783 (0.008)</w:t>
            </w:r>
          </w:p>
        </w:tc>
        <w:tc>
          <w:tcPr>
            <w:tcW w:type="dxa" w:w="10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0.407 (0.018)</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0.799</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0.434</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0.450</w:t>
            </w:r>
          </w:p>
        </w:tc>
        <w:tc>
          <w:tcPr>
            <w:tcW w:type="dxa" w:w="6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0.577</w:t>
            </w:r>
          </w:p>
        </w:tc>
        <w:tc>
          <w:tcPr>
            <w:tcW w:type="dxa" w:w="6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0.506</w:t>
            </w:r>
          </w:p>
        </w:tc>
        <w:tc>
          <w:tcPr>
            <w:tcW w:type="dxa" w:w="8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0.654</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0.602</w:t>
            </w:r>
          </w:p>
        </w:tc>
      </w:tr>
      <w:tr>
        <w:trPr>
          <w:cantSplit/>
        </w:trPr>
        <w:tc>
          <w:tcPr>
            <w:tcW w:type="dxa" w:w="162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Decision tree</w:t>
            </w:r>
          </w:p>
        </w:tc>
        <w:tc>
          <w:tcPr>
            <w:tcW w:type="dxa" w:w="10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0.780 (0.010)</w:t>
            </w:r>
          </w:p>
        </w:tc>
        <w:tc>
          <w:tcPr>
            <w:tcW w:type="dxa" w:w="10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0.427 (0.021)</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0.797</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0.450</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0.464</w:t>
            </w:r>
          </w:p>
        </w:tc>
        <w:tc>
          <w:tcPr>
            <w:tcW w:type="dxa" w:w="6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0.586</w:t>
            </w:r>
          </w:p>
        </w:tc>
        <w:tc>
          <w:tcPr>
            <w:tcW w:type="dxa" w:w="6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0.518</w:t>
            </w:r>
          </w:p>
        </w:tc>
        <w:tc>
          <w:tcPr>
            <w:tcW w:type="dxa" w:w="8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0.636</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0.697</w:t>
            </w:r>
          </w:p>
        </w:tc>
      </w:tr>
      <w:tr>
        <w:trPr>
          <w:cantSplit/>
        </w:trPr>
        <w:tc>
          <w:tcPr>
            <w:tcW w:type="dxa" w:w="162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Gradient boosting</w:t>
            </w:r>
          </w:p>
        </w:tc>
        <w:tc>
          <w:tcPr>
            <w:tcW w:type="dxa" w:w="10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0.792 (0.008)</w:t>
            </w:r>
          </w:p>
        </w:tc>
        <w:tc>
          <w:tcPr>
            <w:tcW w:type="dxa" w:w="10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0.455 (0.022)</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0.807</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0.477</w:t>
            </w:r>
          </w:p>
        </w:tc>
        <w:tc>
          <w:tcPr>
            <w:tcW w:type="dxa" w:w="7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0.472</w:t>
            </w:r>
          </w:p>
        </w:tc>
        <w:tc>
          <w:tcPr>
            <w:tcW w:type="dxa" w:w="6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0.591</w:t>
            </w:r>
          </w:p>
        </w:tc>
        <w:tc>
          <w:tcPr>
            <w:tcW w:type="dxa" w:w="6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0.525</w:t>
            </w:r>
          </w:p>
        </w:tc>
        <w:tc>
          <w:tcPr>
            <w:tcW w:type="dxa" w:w="8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0.660</w:t>
            </w:r>
          </w:p>
        </w:tc>
        <w:tc>
          <w:tcPr>
            <w:tcW w:type="dxa" w:w="84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0.647</w:t>
            </w:r>
          </w:p>
        </w:tc>
      </w:tr>
    </w:tbl>
    <w:p>
      <w:pPr>
        <w:spacing w:after="200" w:before="60"/>
      </w:pPr>
      <w:r>
        <w:rPr>
          <w:rFonts w:ascii="Calibri" w:cs="Calibri" w:eastAsia="Calibri" w:hAnsi="Calibri"/>
          <w:i/>
          <w:iCs/>
          <w:color w:val="555555"/>
          <w:sz w:val="17"/>
          <w:szCs w:val="17"/>
        </w:rPr>
        <w:t xml:space="preserve">Note. Phase-3 models were trained on phases 1 and 2. Customer and contact variables only: logistic regression 0.697, gradient boosting 0.698.</w:t>
      </w:r>
    </w:p>
    <w:p>
      <w:pPr>
        <w:keepNext/>
        <w:spacing w:after="60" w:before="120"/>
        <w:jc w:val="center"/>
      </w:pPr>
      <w:r>
        <w:drawing>
          <wp:inline distT="0" distB="0" distL="0" distR="0">
            <wp:extent cx="5724525" cy="2438400"/>
            <wp:effectExtent t="0" r="0" b="0" l="0"/>
            <wp:docPr id="1" name="fig2_roc_pr.png" descr="Figure 2. ROC and precision-recall curves on the test set" title="Figure 2. ROC and precision-recall curves on th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4525" cy="2438400"/>
                    </a:xfrm>
                    <a:prstGeom prst="rect">
                      <a:avLst/>
                    </a:prstGeom>
                  </pic:spPr>
                </pic:pic>
              </a:graphicData>
            </a:graphic>
          </wp:inline>
        </w:drawing>
      </w:r>
    </w:p>
    <w:p>
      <w:pPr>
        <w:spacing w:after="240"/>
      </w:pPr>
      <w:r>
        <w:rPr>
          <w:rFonts w:ascii="Calibri" w:cs="Calibri" w:eastAsia="Calibri" w:hAnsi="Calibri"/>
          <w:i/>
          <w:iCs/>
          <w:color w:val="555555"/>
          <w:sz w:val="19"/>
          <w:szCs w:val="19"/>
        </w:rPr>
        <w:t xml:space="preserve">Figure 2. ROC and precision-recall curves on the test set</w:t>
      </w:r>
    </w:p>
    <w:p>
      <w:pPr>
        <w:keepNext/>
        <w:spacing w:after="60" w:before="120"/>
        <w:jc w:val="center"/>
      </w:pPr>
      <w:r>
        <w:drawing>
          <wp:inline distT="0" distB="0" distL="0" distR="0">
            <wp:extent cx="4143375" cy="3076575"/>
            <wp:effectExtent t="0" r="0" b="0" l="0"/>
            <wp:docPr id="1" name="fig3_gains.png" descr="Figure 3. Cumulative gains: share of subscribers reached by calling the top-ranked customers" title="Figure 3. Cumulative gains: share of subscribers reached by calling the top-ranked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43375" cy="3076575"/>
                    </a:xfrm>
                    <a:prstGeom prst="rect">
                      <a:avLst/>
                    </a:prstGeom>
                  </pic:spPr>
                </pic:pic>
              </a:graphicData>
            </a:graphic>
          </wp:inline>
        </w:drawing>
      </w:r>
    </w:p>
    <w:p>
      <w:pPr>
        <w:spacing w:after="240"/>
      </w:pPr>
      <w:r>
        <w:rPr>
          <w:rFonts w:ascii="Calibri" w:cs="Calibri" w:eastAsia="Calibri" w:hAnsi="Calibri"/>
          <w:i/>
          <w:iCs/>
          <w:color w:val="555555"/>
          <w:sz w:val="19"/>
          <w:szCs w:val="19"/>
        </w:rPr>
        <w:t xml:space="preserve">Figure 3. Cumulative gains: share of subscribers reached by calling the top-ranked customers</w:t>
      </w:r>
    </w:p>
    <w:p>
      <w:pPr>
        <w:pStyle w:val="Heading2"/>
      </w:pPr>
      <w:r>
        <w:t xml:space="preserve">4.2 Parametric estimates</w:t>
      </w:r>
    </w:p>
    <w:p>
      <w:pPr>
        <w:spacing w:after="140" w:line="276"/>
        <w:jc w:val="left"/>
      </w:pPr>
      <w:r>
        <w:rPr>
          <w:rFonts w:ascii="Calibri" w:cs="Calibri" w:eastAsia="Calibri" w:hAnsi="Calibri"/>
          <w:color w:val="1A1A1A"/>
          <w:sz w:val="22"/>
          <w:szCs w:val="22"/>
        </w:rPr>
        <w:t xml:space="preserve">Figure 4 shows adjusted odds ratios (OR) from the final model, M4. A previous success raises the odds 3.68 times (95% CI 3.17 to 4.29). A previous failure lowers them (OR 0.63) although its raw rate is higher (14.2% vs 8.8%), because 84% of previous failures were called in phases 2 and 3. Telephone contact cuts the odds by 38% (OR 0.62), and each doubling of call attempts cuts them by 7% (OR 0.93).</w:t>
      </w:r>
    </w:p>
    <w:p>
      <w:pPr>
        <w:spacing w:after="140" w:line="276"/>
        <w:jc w:val="left"/>
      </w:pPr>
      <w:r>
        <w:rPr>
          <w:rFonts w:ascii="Calibri" w:cs="Calibri" w:eastAsia="Calibri" w:hAnsi="Calibri"/>
          <w:color w:val="1A1A1A"/>
          <w:sz w:val="22"/>
          <w:szCs w:val="22"/>
        </w:rPr>
        <w:t xml:space="preserve">Compared with ages 35-44, the odds are 1.48 times higher at 65+ and 1.30 times higher at 17-24. With age in the model, the student and retired effects are not significant (p = 0.25 and 0.18), so the AT1 job finding is mainly an age effect. Neither interaction (contact × previous outcome, contact × age group) improved the model (LRT p = 0.94, 0.20).</w:t>
      </w:r>
    </w:p>
    <w:p>
      <w:pPr>
        <w:keepNext/>
        <w:spacing w:after="60" w:before="120"/>
        <w:jc w:val="center"/>
      </w:pPr>
      <w:r>
        <w:drawing>
          <wp:inline distT="0" distB="0" distL="0" distR="0">
            <wp:extent cx="5400675" cy="2952750"/>
            <wp:effectExtent t="0" r="0" b="0" l="0"/>
            <wp:docPr id="1" name="fig4_odds_ratios.png" descr="Figure 4. Selected adjusted odds ratios from logistic model M4 (reference levels: age 35-44, admin., cellular, never contacted, May, Friday)" title="Figure 4. Selected adjusted odds ratios from logistic model M4 (reference levels: age 35-44, admin., cellular, never contacted, May, Fri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952750"/>
                    </a:xfrm>
                    <a:prstGeom prst="rect">
                      <a:avLst/>
                    </a:prstGeom>
                  </pic:spPr>
                </pic:pic>
              </a:graphicData>
            </a:graphic>
          </wp:inline>
        </w:drawing>
      </w:r>
    </w:p>
    <w:p>
      <w:pPr>
        <w:spacing w:after="240"/>
      </w:pPr>
      <w:r>
        <w:rPr>
          <w:rFonts w:ascii="Calibri" w:cs="Calibri" w:eastAsia="Calibri" w:hAnsi="Calibri"/>
          <w:i/>
          <w:iCs/>
          <w:color w:val="555555"/>
          <w:sz w:val="19"/>
          <w:szCs w:val="19"/>
        </w:rPr>
        <w:t xml:space="preserve">Figure 4. Selected adjusted odds ratios from logistic model M4 (reference levels: age 35-44, admin., cellular, never contacted, May, Friday)</w:t>
      </w:r>
    </w:p>
    <w:p>
      <w:pPr>
        <w:pStyle w:val="Heading2"/>
      </w:pPr>
      <w:r>
        <w:t xml:space="preserve">4.3 Non-parametric findings</w:t>
      </w:r>
    </w:p>
    <w:p>
      <w:pPr>
        <w:spacing w:after="140" w:line="276"/>
        <w:jc w:val="left"/>
      </w:pPr>
      <w:r>
        <w:rPr>
          <w:rFonts w:ascii="Calibri" w:cs="Calibri" w:eastAsia="Calibri" w:hAnsi="Calibri"/>
          <w:color w:val="1A1A1A"/>
          <w:sz w:val="22"/>
          <w:szCs w:val="22"/>
        </w:rPr>
        <w:t xml:space="preserve">Permutation importance ranks </w:t>
      </w:r>
      <w:r>
        <w:rPr>
          <w:rFonts w:ascii="Consolas" w:cs="Consolas" w:eastAsia="Consolas" w:hAnsi="Consolas"/>
          <w:color w:val="1A1A1A"/>
          <w:sz w:val="20"/>
          <w:szCs w:val="20"/>
        </w:rPr>
        <w:t xml:space="preserve">nr.employed</w:t>
      </w:r>
      <w:r>
        <w:rPr>
          <w:rFonts w:ascii="Calibri" w:cs="Calibri" w:eastAsia="Calibri" w:hAnsi="Calibri"/>
          <w:color w:val="1A1A1A"/>
          <w:sz w:val="22"/>
          <w:szCs w:val="22"/>
        </w:rPr>
        <w:t xml:space="preserve"> far above every customer variable (Figure 5). Age shows the same U-shape as in the logistic model, and the best tree segment is previous subscribers called when </w:t>
      </w:r>
      <w:r>
        <w:rPr>
          <w:rFonts w:ascii="Consolas" w:cs="Consolas" w:eastAsia="Consolas" w:hAnsi="Consolas"/>
          <w:color w:val="1A1A1A"/>
          <w:sz w:val="20"/>
          <w:szCs w:val="20"/>
        </w:rPr>
        <w:t xml:space="preserve">nr.employed</w:t>
      </w:r>
      <w:r>
        <w:rPr>
          <w:rFonts w:ascii="Calibri" w:cs="Calibri" w:eastAsia="Calibri" w:hAnsi="Calibri"/>
          <w:color w:val="1A1A1A"/>
          <w:sz w:val="22"/>
          <w:szCs w:val="22"/>
        </w:rPr>
        <w:t xml:space="preserve"> was below 5,088 (64% to 77%; Appendix C).</w:t>
      </w:r>
    </w:p>
    <w:p>
      <w:pPr>
        <w:keepNext/>
        <w:spacing w:after="60" w:before="120"/>
        <w:jc w:val="center"/>
      </w:pPr>
      <w:r>
        <w:drawing>
          <wp:inline distT="0" distB="0" distL="0" distR="0">
            <wp:extent cx="5724525" cy="2305050"/>
            <wp:effectExtent t="0" r="0" b="0" l="0"/>
            <wp:docPr id="1" name="fig5_importance_pdp.png" descr="Figure 5. Gradient boosting: permutation importance on the test set (left) and partial dependence on age (right)" title="Figure 5. Gradient boosting: permutation importance on the test set (left) and partial dependence on age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24525" cy="2305050"/>
                    </a:xfrm>
                    <a:prstGeom prst="rect">
                      <a:avLst/>
                    </a:prstGeom>
                  </pic:spPr>
                </pic:pic>
              </a:graphicData>
            </a:graphic>
          </wp:inline>
        </w:drawing>
      </w:r>
    </w:p>
    <w:p>
      <w:pPr>
        <w:spacing w:after="240"/>
      </w:pPr>
      <w:r>
        <w:rPr>
          <w:rFonts w:ascii="Calibri" w:cs="Calibri" w:eastAsia="Calibri" w:hAnsi="Calibri"/>
          <w:i/>
          <w:iCs/>
          <w:color w:val="555555"/>
          <w:sz w:val="19"/>
          <w:szCs w:val="19"/>
        </w:rPr>
        <w:t xml:space="preserve">Figure 5. Gradient boosting: permutation importance on the test set (left) and partial dependence on age (right)</w:t>
      </w:r>
    </w:p>
    <w:p>
      <w:pPr>
        <w:pStyle w:val="Heading2"/>
      </w:pPr>
      <w:r>
        <w:t xml:space="preserve">4.4 Bayesian estimation</w:t>
      </w:r>
    </w:p>
    <w:p>
      <w:pPr>
        <w:spacing w:after="140" w:line="276"/>
        <w:jc w:val="left"/>
      </w:pPr>
      <w:r>
        <w:rPr>
          <w:rFonts w:ascii="Calibri" w:cs="Calibri" w:eastAsia="Calibri" w:hAnsi="Calibri"/>
          <w:color w:val="1A1A1A"/>
          <w:sz w:val="22"/>
          <w:szCs w:val="22"/>
        </w:rPr>
        <w:t xml:space="preserve">Customers aged 65+ have a 95% credible interval of 42.6% to 50.0% for their rate (Figure 6). For the 18 illiterate customers, the prior moves the observed 22.2% to 16.5% with a wide interval (6.6% to 29.6%).</w:t>
      </w:r>
    </w:p>
    <w:p>
      <w:pPr>
        <w:keepNext/>
        <w:spacing w:after="60" w:before="120"/>
        <w:jc w:val="center"/>
      </w:pPr>
      <w:r>
        <w:drawing>
          <wp:inline distT="0" distB="0" distL="0" distR="0">
            <wp:extent cx="5724525" cy="2371725"/>
            <wp:effectExtent t="0" r="0" b="0" l="0"/>
            <wp:docPr id="1" name="fig6_bayes_segments.png" descr="Figure 6. Posterior subscription rate by age group and job (Beta-Binomial, 95% credible intervals)" title="Figure 6. Posterior subscription rate by age group and job (Beta-Binomial, 95% credible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24525" cy="2371725"/>
                    </a:xfrm>
                    <a:prstGeom prst="rect">
                      <a:avLst/>
                    </a:prstGeom>
                  </pic:spPr>
                </pic:pic>
              </a:graphicData>
            </a:graphic>
          </wp:inline>
        </w:drawing>
      </w:r>
    </w:p>
    <w:p>
      <w:pPr>
        <w:spacing w:after="240"/>
      </w:pPr>
      <w:r>
        <w:rPr>
          <w:rFonts w:ascii="Calibri" w:cs="Calibri" w:eastAsia="Calibri" w:hAnsi="Calibri"/>
          <w:i/>
          <w:iCs/>
          <w:color w:val="555555"/>
          <w:sz w:val="19"/>
          <w:szCs w:val="19"/>
        </w:rPr>
        <w:t xml:space="preserve">Figure 6. Posterior subscription rate by age group and job (Beta-Binomial, 95% credible intervals)</w:t>
      </w:r>
    </w:p>
    <w:p>
      <w:pPr>
        <w:spacing w:after="140" w:line="276"/>
        <w:jc w:val="left"/>
      </w:pPr>
      <w:r>
        <w:rPr>
          <w:rFonts w:ascii="Calibri" w:cs="Calibri" w:eastAsia="Calibri" w:hAnsi="Calibri"/>
          <w:color w:val="1A1A1A"/>
          <w:sz w:val="22"/>
          <w:szCs w:val="22"/>
        </w:rPr>
        <w:t xml:space="preserve">The Bayesian logistic regression converged (largest R-hat 1.003, smallest ESS 1,199; Figure 7). Its posterior odds ratios match the maximum likelihood estimates within 0.11 standard errors, so the data outweigh the prior, and a tighter prior moves no coefficient by more than 1.1 (Appendix G). Unlike a confidence interval, a credible interval gives probabilities directly: the odds ratio for a previous success exceeds 3 with probability 0.996.</w:t>
      </w:r>
    </w:p>
    <w:p>
      <w:pPr>
        <w:keepNext/>
        <w:spacing w:after="60" w:before="120"/>
        <w:jc w:val="center"/>
      </w:pPr>
      <w:r>
        <w:drawing>
          <wp:inline distT="0" distB="0" distL="0" distR="0">
            <wp:extent cx="5400675" cy="4010025"/>
            <wp:effectExtent t="0" r="0" b="0" l="0"/>
            <wp:docPr id="1" name="fig7_mcmc_diagnostics.png" descr="Figure 7. MCMC diagnostics for three odds ratios: trace of four chains (burn-in shaded), autocorrelation of every draw and of every 50th draw, and posterior density (dashed line and band: maximum likelihood estimate and 95% CI)" title="Figure 7. MCMC diagnostics for three odds ratios: trace of four chains (burn-in shaded), autocorrelation of every draw and of every 50th draw, and posterior density (dashed line and band: maximum likelihood estimate and 95% 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4010025"/>
                    </a:xfrm>
                    <a:prstGeom prst="rect">
                      <a:avLst/>
                    </a:prstGeom>
                  </pic:spPr>
                </pic:pic>
              </a:graphicData>
            </a:graphic>
          </wp:inline>
        </w:drawing>
      </w:r>
    </w:p>
    <w:p>
      <w:pPr>
        <w:spacing w:after="240"/>
      </w:pPr>
      <w:r>
        <w:rPr>
          <w:rFonts w:ascii="Calibri" w:cs="Calibri" w:eastAsia="Calibri" w:hAnsi="Calibri"/>
          <w:i/>
          <w:iCs/>
          <w:color w:val="555555"/>
          <w:sz w:val="19"/>
          <w:szCs w:val="19"/>
        </w:rPr>
        <w:t xml:space="preserve">Figure 7. MCMC diagnostics for three odds ratios: trace of four chains (burn-in shaded), autocorrelation of every draw and of every 50th draw, and posterior density (dashed line and band: maximum likelihood estimate and 95% CI)</w:t>
      </w:r>
    </w:p>
    <w:p>
      <w:pPr>
        <w:keepNext/>
        <w:spacing w:after="80" w:before="160"/>
      </w:pPr>
      <w:r>
        <w:rPr>
          <w:rFonts w:ascii="Calibri" w:cs="Calibri" w:eastAsia="Calibri" w:hAnsi="Calibri"/>
          <w:i/>
          <w:iCs/>
          <w:color w:val="555555"/>
          <w:sz w:val="19"/>
          <w:szCs w:val="19"/>
        </w:rPr>
        <w:t xml:space="preserve">Table 5. Hypothesis outcomes</w:t>
      </w:r>
    </w:p>
    <w:tbl>
      <w:tblPr>
        <w:tblW w:type="dxa" w:w="901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3"/>
        <w:gridCol w:w="5071"/>
        <w:gridCol w:w="2141"/>
      </w:tblGrid>
      <w:tr>
        <w:trPr>
          <w:cantSplit/>
          <w:tblHeader/>
        </w:trPr>
        <w:tc>
          <w:tcPr>
            <w:tcW w:type="dxa" w:w="180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8"/>
                <w:szCs w:val="18"/>
              </w:rPr>
              <w:t xml:space="preserve">Hypothesis</w:t>
            </w:r>
          </w:p>
        </w:tc>
        <w:tc>
          <w:tcPr>
            <w:tcW w:type="dxa" w:w="507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8"/>
                <w:szCs w:val="18"/>
              </w:rPr>
              <w:t xml:space="preserve">Evidence</w:t>
            </w:r>
          </w:p>
        </w:tc>
        <w:tc>
          <w:tcPr>
            <w:tcW w:type="dxa" w:w="214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8"/>
                <w:szCs w:val="18"/>
              </w:rPr>
              <w:t xml:space="preserve">Decision</w:t>
            </w:r>
          </w:p>
        </w:tc>
      </w:tr>
      <w:tr>
        <w:trPr>
          <w:cantSplit/>
        </w:trPr>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H1 age</w:t>
            </w:r>
          </w:p>
        </w:tc>
        <w:tc>
          <w:tcPr>
            <w:tcW w:type="dxa" w:w="5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17-24: OR 1.30 [1.03, 1.64]; 65+: OR 1.48 [1.11, 1.97]; age block LRT p = 0.018</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Supported</w:t>
            </w:r>
          </w:p>
        </w:tc>
      </w:tr>
      <w:tr>
        <w:trPr>
          <w:cantSplit/>
        </w:trPr>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H2 previous success</w:t>
            </w:r>
          </w:p>
        </w:tc>
        <w:tc>
          <w:tcPr>
            <w:tcW w:type="dxa" w:w="5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OR 3.68 [3.17, 4.29], the largest customer-level effect; </w:t>
            </w:r>
            <w:r>
              <w:rPr>
                <w:rFonts w:ascii="Consolas" w:cs="Consolas" w:eastAsia="Consolas" w:hAnsi="Consolas"/>
                <w:color w:val="1A1A1A"/>
                <w:sz w:val="16"/>
                <w:szCs w:val="16"/>
              </w:rPr>
              <w:t xml:space="preserve">nr.employed</w:t>
            </w:r>
            <w:r>
              <w:rPr>
                <w:rFonts w:ascii="Calibri" w:cs="Calibri" w:eastAsia="Calibri" w:hAnsi="Calibri"/>
                <w:b w:val="false"/>
                <w:bCs w:val="false"/>
                <w:color w:val="1A1A1A"/>
                <w:sz w:val="18"/>
                <w:szCs w:val="18"/>
              </w:rPr>
              <w:t xml:space="preserve"> dominates overall importance</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Supported at customer level</w:t>
            </w:r>
          </w:p>
        </w:tc>
      </w:tr>
      <w:tr>
        <w:trPr>
          <w:cantSplit/>
        </w:trPr>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H3 channel</w:t>
            </w:r>
          </w:p>
        </w:tc>
        <w:tc>
          <w:tcPr>
            <w:tcW w:type="dxa" w:w="5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Telephone OR 0.62 [0.54, 0.70]; interaction LRT p = 0.94</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Main effect supported; interaction not</w:t>
            </w:r>
          </w:p>
        </w:tc>
      </w:tr>
      <w:tr>
        <w:trPr>
          <w:cantSplit/>
        </w:trPr>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H4 call attempts</w:t>
            </w:r>
          </w:p>
        </w:tc>
        <w:tc>
          <w:tcPr>
            <w:tcW w:type="dxa" w:w="5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OR 0.93 [0.89, 0.97] per doubling</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Supported</w:t>
            </w:r>
          </w:p>
        </w:tc>
      </w:tr>
      <w:tr>
        <w:trPr>
          <w:cantSplit/>
        </w:trPr>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H5 model type</w:t>
            </w:r>
          </w:p>
        </w:tc>
        <w:tc>
          <w:tcPr>
            <w:tcW w:type="dxa" w:w="5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CV gain +0.008 (p = 0.013); test CI includes 0; phase-3 AUC 0.647 vs 0.674</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8"/>
                <w:szCs w:val="18"/>
              </w:rPr>
              <w:t xml:space="preserve">Not supported in practice</w:t>
            </w:r>
          </w:p>
        </w:tc>
      </w:tr>
    </w:tbl>
    <w:p>
      <w:pPr>
        <w:spacing w:after="160"/>
      </w:pPr>
    </w:p>
    <w:p>
      <w:pPr>
        <w:pStyle w:val="Heading1"/>
      </w:pPr>
      <w:r>
        <w:t xml:space="preserve">5. Business insights and strategy</w:t>
      </w:r>
    </w:p>
    <w:p>
      <w:pPr>
        <w:spacing w:after="140" w:line="276"/>
        <w:jc w:val="left"/>
      </w:pPr>
      <w:r>
        <w:rPr>
          <w:rFonts w:ascii="Calibri" w:cs="Calibri" w:eastAsia="Calibri" w:hAnsi="Calibri"/>
          <w:color w:val="1A1A1A"/>
          <w:sz w:val="22"/>
          <w:szCs w:val="22"/>
        </w:rPr>
        <w:t xml:space="preserve">Call previous subscribers first: they are 3.3% of customers but 19.2% of subscribers (Table 6). Design offers by age band, since job titles add little once age is known. Call mobiles and stop after three attempts: customers needing more are 18.5% of those called but 12.0% of subscribers.</w:t>
      </w:r>
    </w:p>
    <w:p>
      <w:pPr>
        <w:spacing w:after="140" w:line="276"/>
        <w:jc w:val="left"/>
      </w:pPr>
      <w:r>
        <w:rPr>
          <w:rFonts w:ascii="Calibri" w:cs="Calibri" w:eastAsia="Calibri" w:hAnsi="Calibri"/>
          <w:color w:val="1A1A1A"/>
          <w:sz w:val="22"/>
          <w:szCs w:val="22"/>
        </w:rPr>
        <w:t xml:space="preserve">I recommend the logistic model for deployment, refitted before each campaign. Its test AUC is within 0.007 of gradient boosting, it held up better in phase 3 (0.674 vs 0.647), and its coefficients can be audited.</w:t>
      </w:r>
    </w:p>
    <w:p>
      <w:pPr>
        <w:keepNext/>
        <w:spacing w:after="80" w:before="160"/>
      </w:pPr>
      <w:r>
        <w:rPr>
          <w:rFonts w:ascii="Calibri" w:cs="Calibri" w:eastAsia="Calibri" w:hAnsi="Calibri"/>
          <w:i/>
          <w:iCs/>
          <w:color w:val="555555"/>
          <w:sz w:val="19"/>
          <w:szCs w:val="19"/>
        </w:rPr>
        <w:t xml:space="preserve">Table 6. Insights, evidence and recommended actions</w:t>
      </w:r>
    </w:p>
    <w:tbl>
      <w:tblPr>
        <w:tblW w:type="dxa" w:w="90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6"/>
        <w:gridCol w:w="3043"/>
        <w:gridCol w:w="2254"/>
        <w:gridCol w:w="1803"/>
      </w:tblGrid>
      <w:tr>
        <w:trPr>
          <w:cantSplit/>
          <w:tblHeader/>
        </w:trPr>
        <w:tc>
          <w:tcPr>
            <w:tcW w:type="dxa" w:w="1916"/>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Insight</w:t>
            </w:r>
          </w:p>
        </w:tc>
        <w:tc>
          <w:tcPr>
            <w:tcW w:type="dxa" w:w="304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Evidence</w:t>
            </w:r>
          </w:p>
        </w:tc>
        <w:tc>
          <w:tcPr>
            <w:tcW w:type="dxa" w:w="2254"/>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Action</w:t>
            </w:r>
          </w:p>
        </w:tc>
        <w:tc>
          <w:tcPr>
            <w:tcW w:type="dxa" w:w="180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Measure</w:t>
            </w:r>
          </w:p>
        </w:tc>
      </w:tr>
      <w:tr>
        <w:trPr>
          <w:cantSplit/>
        </w:trPr>
        <w:tc>
          <w:tcPr>
            <w:tcW w:type="dxa" w:w="19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 Previous subscribers convert best</w:t>
            </w:r>
          </w:p>
        </w:tc>
        <w:tc>
          <w:tcPr>
            <w:tcW w:type="dxa" w:w="304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65.1% rate; 3.3% of customers, 19.2% of subscribers; OR 3.68</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Call this list first in every campaign</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Conversion of the re-contact list</w:t>
            </w:r>
          </w:p>
        </w:tc>
      </w:tr>
      <w:tr>
        <w:trPr>
          <w:cantSplit/>
        </w:trPr>
        <w:tc>
          <w:tcPr>
            <w:tcW w:type="dxa" w:w="19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 Age drives response more than job</w:t>
            </w:r>
          </w:p>
        </w:tc>
        <w:tc>
          <w:tcPr>
            <w:tcW w:type="dxa" w:w="304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65+: 47%, OR 1.48; 17-24: 24%, OR 1.30; job effects not significant after age</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Design offers and scripts by age band</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Conversion and complaints by age band</w:t>
            </w:r>
          </w:p>
        </w:tc>
      </w:tr>
      <w:tr>
        <w:trPr>
          <w:cantSplit/>
        </w:trPr>
        <w:tc>
          <w:tcPr>
            <w:tcW w:type="dxa" w:w="19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 Mobile beats landline; extra attempts lose value</w:t>
            </w:r>
          </w:p>
        </w:tc>
        <w:tc>
          <w:tcPr>
            <w:tcW w:type="dxa" w:w="304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Telephone OR 0.62; 13.0% at first call vs 5.5% at six or more; OR 0.93 per doubling</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Call mobiles first; stop after three attempts</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Calls per subscription</w:t>
            </w:r>
          </w:p>
        </w:tc>
      </w:tr>
      <w:tr>
        <w:trPr>
          <w:cantSplit/>
        </w:trPr>
        <w:tc>
          <w:tcPr>
            <w:tcW w:type="dxa" w:w="19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 Mass calling converts poorly</w:t>
            </w:r>
          </w:p>
        </w:tc>
        <w:tc>
          <w:tcPr>
            <w:tcW w:type="dxa" w:w="304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Phase 1: 3,954 calls per month at 4.8%; ρ = −0.67 between volume and rate</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Call the model's top 20% to 30% instead of everyone</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Share of subscribers reached</w:t>
            </w:r>
          </w:p>
        </w:tc>
      </w:tr>
      <w:tr>
        <w:trPr>
          <w:cantSplit/>
        </w:trPr>
        <w:tc>
          <w:tcPr>
            <w:tcW w:type="dxa" w:w="191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5. Economic effects do not carry forward</w:t>
            </w:r>
          </w:p>
        </w:tc>
        <w:tc>
          <w:tcPr>
            <w:tcW w:type="dxa" w:w="304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Phase-3 AUC 0.60-0.70 vs 0.80 on random test; </w:t>
            </w:r>
            <w:r>
              <w:rPr>
                <w:rFonts w:ascii="Consolas" w:cs="Consolas" w:eastAsia="Consolas" w:hAnsi="Consolas"/>
                <w:color w:val="1A1A1A"/>
                <w:sz w:val="15"/>
                <w:szCs w:val="15"/>
              </w:rPr>
              <w:t xml:space="preserve">nr.employed</w:t>
            </w:r>
            <w:r>
              <w:rPr>
                <w:rFonts w:ascii="Calibri" w:cs="Calibri" w:eastAsia="Calibri" w:hAnsi="Calibri"/>
                <w:b w:val="false"/>
                <w:bCs w:val="false"/>
                <w:color w:val="1A1A1A"/>
                <w:sz w:val="17"/>
                <w:szCs w:val="17"/>
              </w:rPr>
              <w:t xml:space="preserve"> outside training range</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Refit before each campaign; check AUC monthly</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AUC on the latest month</w:t>
            </w:r>
          </w:p>
        </w:tc>
      </w:tr>
    </w:tbl>
    <w:p>
      <w:pPr>
        <w:spacing w:after="160"/>
      </w:pPr>
    </w:p>
    <w:p>
      <w:pPr>
        <w:pStyle w:val="Heading1"/>
      </w:pPr>
      <w:r>
        <w:t xml:space="preserve">6. Ethics, privacy and Indigenous data sovereignty</w:t>
      </w:r>
    </w:p>
    <w:p>
      <w:pPr>
        <w:pStyle w:val="Heading2"/>
      </w:pPr>
      <w:r>
        <w:t xml:space="preserve">6.1 Consent and privacy</w:t>
      </w:r>
    </w:p>
    <w:p>
      <w:pPr>
        <w:spacing w:after="140" w:line="276"/>
        <w:jc w:val="left"/>
      </w:pPr>
      <w:r>
        <w:rPr>
          <w:rFonts w:ascii="Calibri" w:cs="Calibri" w:eastAsia="Calibri" w:hAnsi="Calibri"/>
          <w:color w:val="1A1A1A"/>
          <w:sz w:val="22"/>
          <w:szCs w:val="22"/>
        </w:rPr>
        <w:t xml:space="preserve">The data links personal and credit details to call outcomes, so APP 7 applies: direct marketing needs customer consent or a reasonable expectation, and each campaign needs a simple opt-out (OAIC, 2019). The dataset has no consent or opt-out record, so the company cannot show that customers agreed. From 10 December 2026, privacy policies must also disclose programs that substantially and directly support decisions that significantly affect individuals (Privacy and Other Legislation Amendment Act 2024). A model that decides who receives offers may meet this test.</w:t>
      </w:r>
    </w:p>
    <w:p>
      <w:pPr>
        <w:pStyle w:val="Heading2"/>
      </w:pPr>
      <w:r>
        <w:t xml:space="preserve">6.2 Fairness, value and risk</w:t>
      </w:r>
    </w:p>
    <w:p>
      <w:pPr>
        <w:spacing w:after="140" w:line="276"/>
        <w:jc w:val="left"/>
      </w:pPr>
      <w:r>
        <w:rPr>
          <w:rFonts w:ascii="Calibri" w:cs="Calibri" w:eastAsia="Calibri" w:hAnsi="Calibri"/>
          <w:color w:val="1A1A1A"/>
          <w:sz w:val="22"/>
          <w:szCs w:val="22"/>
        </w:rPr>
        <w:t xml:space="preserve">Both models put 98.6% of test customers aged 65+ on the top-20% call list, so a group that makes up 1.8% of customers would receive 8.7% of calls. A high response rate does not show that the plan suits them, and older customers can be more exposed to pressure on the phone. The model also reduces harm: calling the top 30% avoids 70% of calls, mostly to people who would say no. Default status adds little accuracy (importance 0.002), so I recommend removing it.</w:t>
      </w:r>
    </w:p>
    <w:p>
      <w:pPr>
        <w:pStyle w:val="Heading2"/>
      </w:pPr>
      <w:r>
        <w:t xml:space="preserve">6.3 Indigenous data sovereignty</w:t>
      </w:r>
    </w:p>
    <w:p>
      <w:pPr>
        <w:spacing w:after="140" w:line="276"/>
        <w:jc w:val="left"/>
      </w:pPr>
      <w:r>
        <w:rPr>
          <w:rFonts w:ascii="Calibri" w:cs="Calibri" w:eastAsia="Calibri" w:hAnsi="Calibri"/>
          <w:color w:val="1A1A1A"/>
          <w:sz w:val="22"/>
          <w:szCs w:val="22"/>
        </w:rPr>
        <w:t xml:space="preserve">The data has no field identifying Aboriginal and Torres Strait Islander customers, so nobody can check how the model treats them. About 43% of 1,545 remote First Nations communities and homelands have no mobile service (RMIT University, 2023). A model that favours cellular contact would rank them low without anyone noticing.</w:t>
      </w:r>
    </w:p>
    <w:p>
      <w:pPr>
        <w:spacing w:after="140" w:line="276"/>
        <w:jc w:val="left"/>
      </w:pPr>
      <w:r>
        <w:rPr>
          <w:rFonts w:ascii="Calibri" w:cs="Calibri" w:eastAsia="Calibri" w:hAnsi="Calibri"/>
          <w:color w:val="1A1A1A"/>
          <w:sz w:val="22"/>
          <w:szCs w:val="22"/>
        </w:rPr>
        <w:t xml:space="preserve">Adding an identifier would not fix this on its own. The Maiam nayri Wingara principles give Aboriginal and Torres Strait Islander people control of the data ecosystem and the right to data that support self-determination (Maiam nayri Wingara &amp; AIGI, 2018). The CARE principles add collective benefit and authority to control (Carroll et al., 2020). Such data should be collected only with free, prior and informed consent, governed with Aboriginal community-controlled organisations, and reported back to communities (Table 7). I would also avoid building proxies for Indigeneity from location or contact type, because group-level inferences can harm a community even when individuals are anonymous.</w:t>
      </w:r>
    </w:p>
    <w:p>
      <w:pPr>
        <w:keepNext/>
        <w:spacing w:after="80" w:before="160"/>
      </w:pPr>
      <w:r>
        <w:rPr>
          <w:rFonts w:ascii="Calibri" w:cs="Calibri" w:eastAsia="Calibri" w:hAnsi="Calibri"/>
          <w:i/>
          <w:iCs/>
          <w:color w:val="555555"/>
          <w:sz w:val="19"/>
          <w:szCs w:val="19"/>
        </w:rPr>
        <w:t xml:space="preserve">Table 7. Ethical risks and recommended controls for business stakeholders and end users</w:t>
      </w:r>
    </w:p>
    <w:tbl>
      <w:tblPr>
        <w:tblW w:type="dxa" w:w="90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9"/>
        <w:gridCol w:w="2141"/>
        <w:gridCol w:w="3493"/>
        <w:gridCol w:w="1521"/>
      </w:tblGrid>
      <w:tr>
        <w:trPr>
          <w:cantSplit/>
          <w:tblHeader/>
        </w:trPr>
        <w:tc>
          <w:tcPr>
            <w:tcW w:type="dxa" w:w="1859"/>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Risk</w:t>
            </w:r>
          </w:p>
        </w:tc>
        <w:tc>
          <w:tcPr>
            <w:tcW w:type="dxa" w:w="214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Evidence</w:t>
            </w:r>
          </w:p>
        </w:tc>
        <w:tc>
          <w:tcPr>
            <w:tcW w:type="dxa" w:w="349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Control</w:t>
            </w:r>
          </w:p>
        </w:tc>
        <w:tc>
          <w:tcPr>
            <w:tcW w:type="dxa" w:w="152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Owner</w:t>
            </w:r>
          </w:p>
        </w:tc>
      </w:tr>
      <w:tr>
        <w:trPr>
          <w:cantSplit/>
        </w:trPr>
        <w:tc>
          <w:tcPr>
            <w:tcW w:type="dxa" w:w="18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No consent or opt-out record</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Dataset has no consent field</w:t>
            </w:r>
          </w:p>
        </w:tc>
        <w:tc>
          <w:tcPr>
            <w:tcW w:type="dxa" w:w="34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Record consent and opt-outs; remove opted-out customers before scoring</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Privacy officer</w:t>
            </w:r>
          </w:p>
        </w:tc>
      </w:tr>
      <w:tr>
        <w:trPr>
          <w:cantSplit/>
        </w:trPr>
        <w:tc>
          <w:tcPr>
            <w:tcW w:type="dxa" w:w="18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Automated decision not disclosed</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Model ranks who receives offers</w:t>
            </w:r>
          </w:p>
        </w:tc>
        <w:tc>
          <w:tcPr>
            <w:tcW w:type="dxa" w:w="34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Describe the model in the privacy policy before 10 December 2026; keep model documentation</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Legal and analytics</w:t>
            </w:r>
          </w:p>
        </w:tc>
      </w:tr>
      <w:tr>
        <w:trPr>
          <w:cantSplit/>
        </w:trPr>
        <w:tc>
          <w:tcPr>
            <w:tcW w:type="dxa" w:w="18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Over-targeting older customers</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98.6% of customers aged 65+ selected</w:t>
            </w:r>
          </w:p>
        </w:tc>
        <w:tc>
          <w:tcPr>
            <w:tcW w:type="dxa" w:w="34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Cap the share of calls per age band; cooling-off period; track complaints and cancellations by age</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Marketing manager</w:t>
            </w:r>
          </w:p>
        </w:tc>
      </w:tr>
      <w:tr>
        <w:trPr>
          <w:cantSplit/>
        </w:trPr>
        <w:tc>
          <w:tcPr>
            <w:tcW w:type="dxa" w:w="18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Unneeded financial data</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onsolas" w:cs="Consolas" w:eastAsia="Consolas" w:hAnsi="Consolas"/>
                <w:color w:val="1A1A1A"/>
                <w:sz w:val="15"/>
                <w:szCs w:val="15"/>
              </w:rPr>
              <w:t xml:space="preserve">default_unk</w:t>
            </w:r>
            <w:r>
              <w:rPr>
                <w:rFonts w:ascii="Calibri" w:cs="Calibri" w:eastAsia="Calibri" w:hAnsi="Calibri"/>
                <w:b w:val="false"/>
                <w:bCs w:val="false"/>
                <w:color w:val="1A1A1A"/>
                <w:sz w:val="17"/>
                <w:szCs w:val="17"/>
              </w:rPr>
              <w:t xml:space="preserve"> importance 0.002</w:t>
            </w:r>
          </w:p>
        </w:tc>
        <w:tc>
          <w:tcPr>
            <w:tcW w:type="dxa" w:w="34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Remove from the deployed model</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Analytics team</w:t>
            </w:r>
          </w:p>
        </w:tc>
      </w:tr>
      <w:tr>
        <w:trPr>
          <w:cantSplit/>
        </w:trPr>
        <w:tc>
          <w:tcPr>
            <w:tcW w:type="dxa" w:w="185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First Nations customers invisible</w:t>
            </w:r>
          </w:p>
        </w:tc>
        <w:tc>
          <w:tcPr>
            <w:tcW w:type="dxa" w:w="214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No identifier; 43% of remote communities have no mobile service</w:t>
            </w:r>
          </w:p>
        </w:tc>
        <w:tc>
          <w:tcPr>
            <w:tcW w:type="dxa" w:w="34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Do not infer Indigeneity; co-design any data collection with community-controlled organisations under Maiam nayri Wingara and CARE; report results back</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Executive sponsor</w:t>
            </w:r>
          </w:p>
        </w:tc>
      </w:tr>
    </w:tbl>
    <w:p>
      <w:pPr>
        <w:spacing w:after="160"/>
      </w:pPr>
    </w:p>
    <w:p>
      <w:pPr>
        <w:pStyle w:val="Heading1"/>
      </w:pPr>
      <w:r>
        <w:t xml:space="preserve">7. Limitations and conclusion</w:t>
      </w:r>
    </w:p>
    <w:p>
      <w:pPr>
        <w:spacing w:after="140" w:line="276"/>
        <w:jc w:val="left"/>
      </w:pPr>
      <w:r>
        <w:rPr>
          <w:rFonts w:ascii="Calibri" w:cs="Calibri" w:eastAsia="Calibri" w:hAnsi="Calibri"/>
          <w:color w:val="1A1A1A"/>
          <w:sz w:val="22"/>
          <w:szCs w:val="22"/>
        </w:rPr>
        <w:t xml:space="preserve">The variables match public bank telemarketing data collected in Portugal from 2008 to 2010 (Moro et al., 2014), so results may not transfer to current Australian customers. The models predict who says yes on a call; they cannot show that the call caused the subscription.</w:t>
      </w:r>
    </w:p>
    <w:p>
      <w:pPr>
        <w:spacing w:after="140" w:line="276"/>
        <w:jc w:val="left"/>
      </w:pPr>
      <w:r>
        <w:rPr>
          <w:rFonts w:ascii="Calibri" w:cs="Calibri" w:eastAsia="Calibri" w:hAnsi="Calibri"/>
          <w:color w:val="1A1A1A"/>
          <w:sz w:val="22"/>
          <w:szCs w:val="22"/>
        </w:rPr>
        <w:t xml:space="preserve">The most responsive segments are previous subscribers, customers under 25 or over 65, and customers reached by mobile (RQ1; Table 5). A logistic model ranks customers before a call with test AUC 0.80, but accuracy falls to 0.67 in a new phase (RQ2). The next step is a one-month trial that calls a model-ranked list and an equal random list, then compares subscription and complaint rates by age band (RQ3).</w:t>
      </w:r>
    </w:p>
    <w:p>
      <w:r>
        <w:br w:type="page"/>
      </w:r>
    </w:p>
    <w:p>
      <w:pPr>
        <w:pStyle w:val="Heading1"/>
      </w:pPr>
      <w:r>
        <w:t xml:space="preserve">References</w:t>
      </w:r>
    </w:p>
    <w:p>
      <w:pPr>
        <w:spacing w:after="120" w:line="264"/>
        <w:ind w:left="720" w:hanging="720"/>
      </w:pPr>
      <w:r>
        <w:rPr>
          <w:rFonts w:ascii="Calibri" w:cs="Calibri" w:eastAsia="Calibri" w:hAnsi="Calibri"/>
          <w:color w:val="1A1A1A"/>
          <w:sz w:val="21"/>
          <w:szCs w:val="21"/>
        </w:rPr>
        <w:t xml:space="preserve">Carroll, S. R., Garba, I., Figueroa-Rodríguez, O. L., Holbrook, J., Lovett, R., Materechera, S., Parsons, M., Raseroka, K., Rodriguez-Lonebear, D., Rowe, R., Sara, R., Walker, J. D., Anderson, J., &amp; Hudson, M. (2020). The CARE principles for Indigenous data governance. </w:t>
      </w:r>
      <w:r>
        <w:rPr>
          <w:rFonts w:ascii="Calibri" w:cs="Calibri" w:eastAsia="Calibri" w:hAnsi="Calibri"/>
          <w:i/>
          <w:iCs/>
          <w:color w:val="1A1A1A"/>
          <w:sz w:val="21"/>
          <w:szCs w:val="21"/>
        </w:rPr>
        <w:t xml:space="preserve">Data Science Journal, 19</w:t>
      </w:r>
      <w:r>
        <w:rPr>
          <w:rFonts w:ascii="Calibri" w:cs="Calibri" w:eastAsia="Calibri" w:hAnsi="Calibri"/>
          <w:color w:val="1A1A1A"/>
          <w:sz w:val="21"/>
          <w:szCs w:val="21"/>
        </w:rPr>
        <w:t xml:space="preserve">(1), 43. https://doi.org/10.5334/dsj-2020-043</w:t>
      </w:r>
    </w:p>
    <w:p>
      <w:pPr>
        <w:spacing w:after="120" w:line="264"/>
        <w:ind w:left="720" w:hanging="720"/>
      </w:pPr>
      <w:r>
        <w:rPr>
          <w:rFonts w:ascii="Calibri" w:cs="Calibri" w:eastAsia="Calibri" w:hAnsi="Calibri"/>
          <w:color w:val="1A1A1A"/>
          <w:sz w:val="21"/>
          <w:szCs w:val="21"/>
        </w:rPr>
        <w:t xml:space="preserve">Gelman, A., Carlin, J. B., Stern, H. S., Dunson, D. B., Vehtari, A., &amp; Rubin, D. B. (2013). </w:t>
      </w:r>
      <w:r>
        <w:rPr>
          <w:rFonts w:ascii="Calibri" w:cs="Calibri" w:eastAsia="Calibri" w:hAnsi="Calibri"/>
          <w:i/>
          <w:iCs/>
          <w:color w:val="1A1A1A"/>
          <w:sz w:val="21"/>
          <w:szCs w:val="21"/>
        </w:rPr>
        <w:t xml:space="preserve">Bayesian data analysis</w:t>
      </w:r>
      <w:r>
        <w:rPr>
          <w:rFonts w:ascii="Calibri" w:cs="Calibri" w:eastAsia="Calibri" w:hAnsi="Calibri"/>
          <w:color w:val="1A1A1A"/>
          <w:sz w:val="21"/>
          <w:szCs w:val="21"/>
        </w:rPr>
        <w:t xml:space="preserve"> (3rd ed.). Chapman and Hall/CRC.</w:t>
      </w:r>
    </w:p>
    <w:p>
      <w:pPr>
        <w:spacing w:after="120" w:line="264"/>
        <w:ind w:left="720" w:hanging="720"/>
      </w:pPr>
      <w:r>
        <w:rPr>
          <w:rFonts w:ascii="Calibri" w:cs="Calibri" w:eastAsia="Calibri" w:hAnsi="Calibri"/>
          <w:color w:val="1A1A1A"/>
          <w:sz w:val="21"/>
          <w:szCs w:val="21"/>
        </w:rPr>
        <w:t xml:space="preserve">James, G., Witten, D., Hastie, T., &amp; Tibshirani, R. (2021). </w:t>
      </w:r>
      <w:r>
        <w:rPr>
          <w:rFonts w:ascii="Calibri" w:cs="Calibri" w:eastAsia="Calibri" w:hAnsi="Calibri"/>
          <w:i/>
          <w:iCs/>
          <w:color w:val="1A1A1A"/>
          <w:sz w:val="21"/>
          <w:szCs w:val="21"/>
        </w:rPr>
        <w:t xml:space="preserve">An introduction to statistical learning: With applications in R</w:t>
      </w:r>
      <w:r>
        <w:rPr>
          <w:rFonts w:ascii="Calibri" w:cs="Calibri" w:eastAsia="Calibri" w:hAnsi="Calibri"/>
          <w:color w:val="1A1A1A"/>
          <w:sz w:val="21"/>
          <w:szCs w:val="21"/>
        </w:rPr>
        <w:t xml:space="preserve"> (2nd ed.). Springer. https://doi.org/10.1007/978-1-0716-1418-1</w:t>
      </w:r>
    </w:p>
    <w:p>
      <w:pPr>
        <w:spacing w:after="120" w:line="264"/>
        <w:ind w:left="720" w:hanging="720"/>
      </w:pPr>
      <w:r>
        <w:rPr>
          <w:rFonts w:ascii="Calibri" w:cs="Calibri" w:eastAsia="Calibri" w:hAnsi="Calibri"/>
          <w:color w:val="1A1A1A"/>
          <w:sz w:val="21"/>
          <w:szCs w:val="21"/>
        </w:rPr>
        <w:t xml:space="preserve">Maiam nayri Wingara Indigenous Data Sovereignty Collective, &amp; Australian Indigenous Governance Institute. (2018). </w:t>
      </w:r>
      <w:r>
        <w:rPr>
          <w:rFonts w:ascii="Calibri" w:cs="Calibri" w:eastAsia="Calibri" w:hAnsi="Calibri"/>
          <w:i/>
          <w:iCs/>
          <w:color w:val="1A1A1A"/>
          <w:sz w:val="21"/>
          <w:szCs w:val="21"/>
        </w:rPr>
        <w:t xml:space="preserve">Indigenous data sovereignty communique: Indigenous Data Sovereignty Summit, 20 June 2018, Canberra</w:t>
      </w:r>
      <w:r>
        <w:rPr>
          <w:rFonts w:ascii="Calibri" w:cs="Calibri" w:eastAsia="Calibri" w:hAnsi="Calibri"/>
          <w:color w:val="1A1A1A"/>
          <w:sz w:val="21"/>
          <w:szCs w:val="21"/>
        </w:rPr>
        <w:t xml:space="preserve">. https://www.aigi.org.au/wp-content/uploads/2022/01/Communique-Indigenous-Data-Sovereignty-Summit-1.pdf</w:t>
      </w:r>
    </w:p>
    <w:p>
      <w:pPr>
        <w:spacing w:after="120" w:line="264"/>
        <w:ind w:left="720" w:hanging="720"/>
      </w:pPr>
      <w:r>
        <w:rPr>
          <w:rFonts w:ascii="Calibri" w:cs="Calibri" w:eastAsia="Calibri" w:hAnsi="Calibri"/>
          <w:color w:val="1A1A1A"/>
          <w:sz w:val="21"/>
          <w:szCs w:val="21"/>
        </w:rPr>
        <w:t xml:space="preserve">Moro, S., Cortez, P., &amp; Rita, P. (2014). A data-driven approach to predict the success of bank telemarketing. </w:t>
      </w:r>
      <w:r>
        <w:rPr>
          <w:rFonts w:ascii="Calibri" w:cs="Calibri" w:eastAsia="Calibri" w:hAnsi="Calibri"/>
          <w:i/>
          <w:iCs/>
          <w:color w:val="1A1A1A"/>
          <w:sz w:val="21"/>
          <w:szCs w:val="21"/>
        </w:rPr>
        <w:t xml:space="preserve">Decision Support Systems, 62</w:t>
      </w:r>
      <w:r>
        <w:rPr>
          <w:rFonts w:ascii="Calibri" w:cs="Calibri" w:eastAsia="Calibri" w:hAnsi="Calibri"/>
          <w:color w:val="1A1A1A"/>
          <w:sz w:val="21"/>
          <w:szCs w:val="21"/>
        </w:rPr>
        <w:t xml:space="preserve">, 22-31. https://doi.org/10.1016/j.dss.2014.03.001</w:t>
      </w:r>
    </w:p>
    <w:p>
      <w:pPr>
        <w:spacing w:after="120" w:line="264"/>
        <w:ind w:left="720" w:hanging="720"/>
      </w:pPr>
      <w:r>
        <w:rPr>
          <w:rFonts w:ascii="Calibri" w:cs="Calibri" w:eastAsia="Calibri" w:hAnsi="Calibri"/>
          <w:color w:val="1A1A1A"/>
          <w:sz w:val="21"/>
          <w:szCs w:val="21"/>
        </w:rPr>
        <w:t xml:space="preserve">Office of the Australian Information Commissioner. (2019). </w:t>
      </w:r>
      <w:r>
        <w:rPr>
          <w:rFonts w:ascii="Calibri" w:cs="Calibri" w:eastAsia="Calibri" w:hAnsi="Calibri"/>
          <w:i/>
          <w:iCs/>
          <w:color w:val="1A1A1A"/>
          <w:sz w:val="21"/>
          <w:szCs w:val="21"/>
        </w:rPr>
        <w:t xml:space="preserve">Chapter 7: APP 7 Direct marketing</w:t>
      </w:r>
      <w:r>
        <w:rPr>
          <w:rFonts w:ascii="Calibri" w:cs="Calibri" w:eastAsia="Calibri" w:hAnsi="Calibri"/>
          <w:color w:val="1A1A1A"/>
          <w:sz w:val="21"/>
          <w:szCs w:val="21"/>
        </w:rPr>
        <w:t xml:space="preserve"> (Australian Privacy Principles guidelines, Version 1.1). https://www.oaic.gov.au/privacy/australian-privacy-principles/australian-privacy-principles-guidelines/chapter-7-app-7-direct-marketing</w:t>
      </w:r>
    </w:p>
    <w:p>
      <w:pPr>
        <w:spacing w:after="120" w:line="264"/>
        <w:ind w:left="720" w:hanging="720"/>
      </w:pPr>
      <w:r>
        <w:rPr>
          <w:rFonts w:ascii="Calibri" w:cs="Calibri" w:eastAsia="Calibri" w:hAnsi="Calibri"/>
          <w:color w:val="1A1A1A"/>
          <w:sz w:val="21"/>
          <w:szCs w:val="21"/>
        </w:rPr>
        <w:t xml:space="preserve">Pedregosa, F., Varoquaux, G., Gramfort, A., Michel, V., Thirion, B., Grisel, O., Blondel, M., Prettenhofer, P., Weiss, R., Dubourg, V., Vanderplas, J., Passos, A., Cournapeau, D., Brucher, M., Perrot, M., &amp; Duchesnay, É. (2011). Scikit-learn: Machine learning in Python. </w:t>
      </w:r>
      <w:r>
        <w:rPr>
          <w:rFonts w:ascii="Calibri" w:cs="Calibri" w:eastAsia="Calibri" w:hAnsi="Calibri"/>
          <w:i/>
          <w:iCs/>
          <w:color w:val="1A1A1A"/>
          <w:sz w:val="21"/>
          <w:szCs w:val="21"/>
        </w:rPr>
        <w:t xml:space="preserve">Journal of Machine Learning Research, 12</w:t>
      </w:r>
      <w:r>
        <w:rPr>
          <w:rFonts w:ascii="Calibri" w:cs="Calibri" w:eastAsia="Calibri" w:hAnsi="Calibri"/>
          <w:color w:val="1A1A1A"/>
          <w:sz w:val="21"/>
          <w:szCs w:val="21"/>
        </w:rPr>
        <w:t xml:space="preserve">, 2825-2830.</w:t>
      </w:r>
    </w:p>
    <w:p>
      <w:pPr>
        <w:spacing w:after="120" w:line="264"/>
        <w:ind w:left="720" w:hanging="720"/>
      </w:pPr>
      <w:r>
        <w:rPr>
          <w:rFonts w:ascii="Calibri" w:cs="Calibri" w:eastAsia="Calibri" w:hAnsi="Calibri"/>
          <w:i/>
          <w:iCs/>
          <w:color w:val="1A1A1A"/>
          <w:sz w:val="21"/>
          <w:szCs w:val="21"/>
        </w:rPr>
        <w:t xml:space="preserve">Privacy Act 1988</w:t>
      </w:r>
      <w:r>
        <w:rPr>
          <w:rFonts w:ascii="Calibri" w:cs="Calibri" w:eastAsia="Calibri" w:hAnsi="Calibri"/>
          <w:color w:val="1A1A1A"/>
          <w:sz w:val="21"/>
          <w:szCs w:val="21"/>
        </w:rPr>
        <w:t xml:space="preserve"> (Cth).</w:t>
      </w:r>
    </w:p>
    <w:p>
      <w:pPr>
        <w:spacing w:after="120" w:line="264"/>
        <w:ind w:left="720" w:hanging="720"/>
      </w:pPr>
      <w:r>
        <w:rPr>
          <w:rFonts w:ascii="Calibri" w:cs="Calibri" w:eastAsia="Calibri" w:hAnsi="Calibri"/>
          <w:i/>
          <w:iCs/>
          <w:color w:val="1A1A1A"/>
          <w:sz w:val="21"/>
          <w:szCs w:val="21"/>
        </w:rPr>
        <w:t xml:space="preserve">Privacy and Other Legislation Amendment Act 2024</w:t>
      </w:r>
      <w:r>
        <w:rPr>
          <w:rFonts w:ascii="Calibri" w:cs="Calibri" w:eastAsia="Calibri" w:hAnsi="Calibri"/>
          <w:color w:val="1A1A1A"/>
          <w:sz w:val="21"/>
          <w:szCs w:val="21"/>
        </w:rPr>
        <w:t xml:space="preserve"> (Cth).</w:t>
      </w:r>
    </w:p>
    <w:p>
      <w:pPr>
        <w:spacing w:after="120" w:line="264"/>
        <w:ind w:left="720" w:hanging="720"/>
      </w:pPr>
      <w:r>
        <w:rPr>
          <w:rFonts w:ascii="Calibri" w:cs="Calibri" w:eastAsia="Calibri" w:hAnsi="Calibri"/>
          <w:color w:val="1A1A1A"/>
          <w:sz w:val="21"/>
          <w:szCs w:val="21"/>
        </w:rPr>
        <w:t xml:space="preserve">RMIT University. (2023, September 27). </w:t>
      </w:r>
      <w:r>
        <w:rPr>
          <w:rFonts w:ascii="Calibri" w:cs="Calibri" w:eastAsia="Calibri" w:hAnsi="Calibri"/>
          <w:i/>
          <w:iCs/>
          <w:color w:val="1A1A1A"/>
          <w:sz w:val="21"/>
          <w:szCs w:val="21"/>
        </w:rPr>
        <w:t xml:space="preserve">Remote First Nations communities are among the most digitally excluded people in Australia: Report</w:t>
      </w:r>
      <w:r>
        <w:rPr>
          <w:rFonts w:ascii="Calibri" w:cs="Calibri" w:eastAsia="Calibri" w:hAnsi="Calibri"/>
          <w:color w:val="1A1A1A"/>
          <w:sz w:val="21"/>
          <w:szCs w:val="21"/>
        </w:rPr>
        <w:t xml:space="preserve"> [Media release]. https://www.rmit.edu.au/news/all-news/2023/sep/mapping-digital-gap</w:t>
      </w:r>
    </w:p>
    <w:p>
      <w:pPr>
        <w:spacing w:after="120" w:line="264"/>
        <w:ind w:left="720" w:hanging="720"/>
      </w:pPr>
      <w:r>
        <w:rPr>
          <w:rFonts w:ascii="Calibri" w:cs="Calibri" w:eastAsia="Calibri" w:hAnsi="Calibri"/>
          <w:color w:val="1A1A1A"/>
          <w:sz w:val="21"/>
          <w:szCs w:val="21"/>
        </w:rPr>
        <w:t xml:space="preserve">Seabold, S., &amp; Perktold, J. (2010). Statsmodels: Econometric and statistical modeling with Python. In </w:t>
      </w:r>
      <w:r>
        <w:rPr>
          <w:rFonts w:ascii="Calibri" w:cs="Calibri" w:eastAsia="Calibri" w:hAnsi="Calibri"/>
          <w:i/>
          <w:iCs/>
          <w:color w:val="1A1A1A"/>
          <w:sz w:val="21"/>
          <w:szCs w:val="21"/>
        </w:rPr>
        <w:t xml:space="preserve">Proceedings of the 9th Python in Science Conference</w:t>
      </w:r>
      <w:r>
        <w:rPr>
          <w:rFonts w:ascii="Calibri" w:cs="Calibri" w:eastAsia="Calibri" w:hAnsi="Calibri"/>
          <w:color w:val="1A1A1A"/>
          <w:sz w:val="21"/>
          <w:szCs w:val="21"/>
        </w:rPr>
        <w:t xml:space="preserve"> (pp. 92-96). https://doi.org/10.25080/Majora-92bf1922-011</w:t>
      </w:r>
    </w:p>
    <w:p>
      <w:r>
        <w:br w:type="page"/>
      </w:r>
    </w:p>
    <w:p>
      <w:pPr>
        <w:pStyle w:val="Heading1"/>
      </w:pPr>
      <w:r>
        <w:t xml:space="preserve">Appendix A. Tests of association with subscription</w:t>
      </w:r>
    </w:p>
    <w:p>
      <w:pPr>
        <w:keepNext/>
        <w:spacing w:after="80" w:before="160"/>
      </w:pPr>
      <w:r>
        <w:rPr>
          <w:rFonts w:ascii="Calibri" w:cs="Calibri" w:eastAsia="Calibri" w:hAnsi="Calibri"/>
          <w:i/>
          <w:iCs/>
          <w:color w:val="555555"/>
          <w:sz w:val="19"/>
          <w:szCs w:val="19"/>
        </w:rPr>
        <w:t xml:space="preserve">Table A1. Chi-square tests (Cramér's V) and Mann-Whitney U tests (rank-biserial r), full cleaned data (n = 41,168)</w:t>
      </w:r>
    </w:p>
    <w:tbl>
      <w:tblPr>
        <w:tblW w:type="dxa" w:w="90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3"/>
        <w:gridCol w:w="1923"/>
        <w:gridCol w:w="1803"/>
        <w:gridCol w:w="721"/>
        <w:gridCol w:w="1322"/>
        <w:gridCol w:w="1322"/>
      </w:tblGrid>
      <w:tr>
        <w:trPr>
          <w:cantSplit/>
          <w:tblHeader/>
        </w:trPr>
        <w:tc>
          <w:tcPr>
            <w:tcW w:type="dxa" w:w="192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Variable</w:t>
            </w:r>
          </w:p>
        </w:tc>
        <w:tc>
          <w:tcPr>
            <w:tcW w:type="dxa" w:w="192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Test</w:t>
            </w:r>
          </w:p>
        </w:tc>
        <w:tc>
          <w:tcPr>
            <w:tcW w:type="dxa" w:w="180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Statistic</w:t>
            </w:r>
          </w:p>
        </w:tc>
        <w:tc>
          <w:tcPr>
            <w:tcW w:type="dxa" w:w="72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df</w:t>
            </w:r>
          </w:p>
        </w:tc>
        <w:tc>
          <w:tcPr>
            <w:tcW w:type="dxa" w:w="1322"/>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p-value</w:t>
            </w:r>
          </w:p>
        </w:tc>
        <w:tc>
          <w:tcPr>
            <w:tcW w:type="dxa" w:w="1322"/>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Effect size</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poutcome</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Chi-square</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4217.7</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0.32</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month</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Chi-square</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3103.7</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0.275</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job</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Chi-square</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960.0</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0.153</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contact</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Chi-square</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860.8</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0.145</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default</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Chi-square</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406.2</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0.099</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education</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Chi-square</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192.4</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7</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0.068</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marital</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Chi-square</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123.2</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0.055</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day_of_week</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Chi-square</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26.0</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0.025</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housing</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Chi-square</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5.8</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0.056</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0.012</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loan</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Chi-square</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0.584</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0.005</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Mann-Whitney U</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82,840,420</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0.015</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0.022</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campaign</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Mann-Whitney U</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75,347,760</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0.11</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euribor3m</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Mann-Whitney U</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43,474,104</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0.487</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nr.employed</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Mann-Whitney U</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42,537,496</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0.498</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cons.price.idx</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Mann-Whitney U</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65,941,150</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0.221</w:t>
            </w:r>
          </w:p>
        </w:tc>
      </w:tr>
      <w:tr>
        <w:trPr>
          <w:cantSplit/>
        </w:trPr>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cons.conf.idx</w:t>
            </w:r>
          </w:p>
        </w:tc>
        <w:tc>
          <w:tcPr>
            <w:tcW w:type="dxa" w:w="192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Mann-Whitney U</w:t>
            </w:r>
          </w:p>
        </w:tc>
        <w:tc>
          <w:tcPr>
            <w:tcW w:type="dxa" w:w="180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91,039,638</w:t>
            </w:r>
          </w:p>
        </w:tc>
        <w:tc>
          <w:tcPr>
            <w:tcW w:type="dxa" w:w="7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&lt;0.001</w:t>
            </w:r>
          </w:p>
        </w:tc>
        <w:tc>
          <w:tcPr>
            <w:tcW w:type="dxa" w:w="13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0.075</w:t>
            </w:r>
          </w:p>
        </w:tc>
      </w:tr>
    </w:tbl>
    <w:p>
      <w:pPr>
        <w:spacing w:after="160"/>
      </w:pPr>
    </w:p>
    <w:p>
      <w:pPr>
        <w:pStyle w:val="Heading1"/>
      </w:pPr>
      <w:r>
        <w:t xml:space="preserve">Appendix B. Logistic regression model selection</w:t>
      </w:r>
    </w:p>
    <w:p>
      <w:pPr>
        <w:keepNext/>
        <w:spacing w:after="80" w:before="160"/>
      </w:pPr>
      <w:r>
        <w:rPr>
          <w:rFonts w:ascii="Calibri" w:cs="Calibri" w:eastAsia="Calibri" w:hAnsi="Calibri"/>
          <w:i/>
          <w:iCs/>
          <w:color w:val="555555"/>
          <w:sz w:val="19"/>
          <w:szCs w:val="19"/>
        </w:rPr>
        <w:t xml:space="preserve">Table B1. Nested logistic models fitted by maximum likelihood on the training set (n = 32,934)</w:t>
      </w:r>
    </w:p>
    <w:tbl>
      <w:tblPr>
        <w:tblW w:type="dxa" w:w="901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55"/>
        <w:gridCol w:w="1071"/>
        <w:gridCol w:w="1296"/>
        <w:gridCol w:w="1183"/>
        <w:gridCol w:w="1183"/>
        <w:gridCol w:w="1127"/>
      </w:tblGrid>
      <w:tr>
        <w:trPr>
          <w:cantSplit/>
          <w:tblHeader/>
        </w:trPr>
        <w:tc>
          <w:tcPr>
            <w:tcW w:type="dxa" w:w="3155"/>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Model</w:t>
            </w:r>
          </w:p>
        </w:tc>
        <w:tc>
          <w:tcPr>
            <w:tcW w:type="dxa" w:w="107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Parameters</w:t>
            </w:r>
          </w:p>
        </w:tc>
        <w:tc>
          <w:tcPr>
            <w:tcW w:type="dxa" w:w="1296"/>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Log-likelihood</w:t>
            </w:r>
          </w:p>
        </w:tc>
        <w:tc>
          <w:tcPr>
            <w:tcW w:type="dxa" w:w="118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AIC</w:t>
            </w:r>
          </w:p>
        </w:tc>
        <w:tc>
          <w:tcPr>
            <w:tcW w:type="dxa" w:w="118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BIC</w:t>
            </w:r>
          </w:p>
        </w:tc>
        <w:tc>
          <w:tcPr>
            <w:tcW w:type="dxa" w:w="1127"/>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McFadden R²</w:t>
            </w:r>
          </w:p>
        </w:tc>
      </w:tr>
      <w:tr>
        <w:trPr>
          <w:cantSplit/>
        </w:trPr>
        <w:tc>
          <w:tcPr>
            <w:tcW w:type="dxa" w:w="31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M1 customer profile</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27</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-10,953.6</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21,961.2</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22,188.1</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0.055</w:t>
            </w:r>
          </w:p>
        </w:tc>
      </w:tr>
      <w:tr>
        <w:trPr>
          <w:cantSplit/>
        </w:trPr>
        <w:tc>
          <w:tcPr>
            <w:tcW w:type="dxa" w:w="31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M2 + contact history</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31</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-10,040.2</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20,142.5</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20,402.9</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0.134</w:t>
            </w:r>
          </w:p>
        </w:tc>
      </w:tr>
      <w:tr>
        <w:trPr>
          <w:cantSplit/>
        </w:trPr>
        <w:tc>
          <w:tcPr>
            <w:tcW w:type="dxa" w:w="31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M3 + economy</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34</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-9,374.2</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18,816.4</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19,102.1</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0.191</w:t>
            </w:r>
          </w:p>
        </w:tc>
      </w:tr>
      <w:tr>
        <w:trPr>
          <w:cantSplit/>
        </w:trPr>
        <w:tc>
          <w:tcPr>
            <w:tcW w:type="dxa" w:w="31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M4 + timing</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47</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-9,195.2</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18,484.4</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18,879.3</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0.207</w:t>
            </w:r>
          </w:p>
        </w:tc>
      </w:tr>
      <w:tr>
        <w:trPr>
          <w:cantSplit/>
        </w:trPr>
        <w:tc>
          <w:tcPr>
            <w:tcW w:type="dxa" w:w="31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M4 using euribor3m</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47</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-9,205.2</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18,504.4</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18,899.3</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0.206</w:t>
            </w:r>
          </w:p>
        </w:tc>
      </w:tr>
      <w:tr>
        <w:trPr>
          <w:cantSplit/>
        </w:trPr>
        <w:tc>
          <w:tcPr>
            <w:tcW w:type="dxa" w:w="31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M5 + contact x previous outcome</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49</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-9,195.1</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18,488.3</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18,900.0</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0.207</w:t>
            </w:r>
          </w:p>
        </w:tc>
      </w:tr>
      <w:tr>
        <w:trPr>
          <w:cantSplit/>
        </w:trPr>
        <w:tc>
          <w:tcPr>
            <w:tcW w:type="dxa" w:w="31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M6 + contact x age group</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52</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-9,191.6</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18,487.1</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18,924.1</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0.207</w:t>
            </w:r>
          </w:p>
        </w:tc>
      </w:tr>
      <w:tr>
        <w:trPr>
          <w:cantSplit/>
        </w:trPr>
        <w:tc>
          <w:tcPr>
            <w:tcW w:type="dxa" w:w="31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M4 without age</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42</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-9,202.0</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18,488.0</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18,840.9</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0.206</w:t>
            </w:r>
          </w:p>
        </w:tc>
      </w:tr>
      <w:tr>
        <w:trPr>
          <w:cantSplit/>
        </w:trPr>
        <w:tc>
          <w:tcPr>
            <w:tcW w:type="dxa" w:w="31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M4 with linear age</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43</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-9,202.0</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18,489.9</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18,851.2</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0.206</w:t>
            </w:r>
          </w:p>
        </w:tc>
      </w:tr>
      <w:tr>
        <w:trPr>
          <w:cantSplit/>
        </w:trPr>
        <w:tc>
          <w:tcPr>
            <w:tcW w:type="dxa" w:w="315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M4 with age + age^2</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44</w:t>
            </w:r>
          </w:p>
        </w:tc>
        <w:tc>
          <w:tcPr>
            <w:tcW w:type="dxa" w:w="129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-9,195.3</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18,478.5</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18,848.2</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0.207</w:t>
            </w:r>
          </w:p>
        </w:tc>
      </w:tr>
    </w:tbl>
    <w:p>
      <w:pPr>
        <w:spacing w:after="160"/>
      </w:pPr>
    </w:p>
    <w:p>
      <w:pPr>
        <w:keepNext/>
        <w:spacing w:after="80" w:before="160"/>
      </w:pPr>
      <w:r>
        <w:rPr>
          <w:rFonts w:ascii="Calibri" w:cs="Calibri" w:eastAsia="Calibri" w:hAnsi="Calibri"/>
          <w:i/>
          <w:iCs/>
          <w:color w:val="555555"/>
          <w:sz w:val="19"/>
          <w:szCs w:val="19"/>
        </w:rPr>
        <w:t xml:space="preserve">Table B2. Likelihood-ratio tests</w:t>
      </w:r>
    </w:p>
    <w:tbl>
      <w:tblPr>
        <w:tblW w:type="dxa" w:w="901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60"/>
        <w:gridCol w:w="1127"/>
        <w:gridCol w:w="676"/>
        <w:gridCol w:w="1352"/>
      </w:tblGrid>
      <w:tr>
        <w:trPr>
          <w:cantSplit/>
          <w:tblHeader/>
        </w:trPr>
        <w:tc>
          <w:tcPr>
            <w:tcW w:type="dxa" w:w="5860"/>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Comparison</w:t>
            </w:r>
          </w:p>
        </w:tc>
        <w:tc>
          <w:tcPr>
            <w:tcW w:type="dxa" w:w="1127"/>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LR χ²</w:t>
            </w:r>
          </w:p>
        </w:tc>
        <w:tc>
          <w:tcPr>
            <w:tcW w:type="dxa" w:w="676"/>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df</w:t>
            </w:r>
          </w:p>
        </w:tc>
        <w:tc>
          <w:tcPr>
            <w:tcW w:type="dxa" w:w="1352"/>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p-value</w:t>
            </w:r>
          </w:p>
        </w:tc>
      </w:tr>
      <w:tr>
        <w:trPr>
          <w:cantSplit/>
        </w:trPr>
        <w:tc>
          <w:tcPr>
            <w:tcW w:type="dxa" w:w="58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M1 customer profile → M2 + contact history</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1826.8</w:t>
            </w:r>
          </w:p>
        </w:tc>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w:t>
            </w:r>
          </w:p>
        </w:tc>
        <w:tc>
          <w:tcPr>
            <w:tcW w:type="dxa" w:w="13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 0.001</w:t>
            </w:r>
          </w:p>
        </w:tc>
      </w:tr>
      <w:tr>
        <w:trPr>
          <w:cantSplit/>
        </w:trPr>
        <w:tc>
          <w:tcPr>
            <w:tcW w:type="dxa" w:w="58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M2 + contact history → M3 + economy</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1332.1</w:t>
            </w:r>
          </w:p>
        </w:tc>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w:t>
            </w:r>
          </w:p>
        </w:tc>
        <w:tc>
          <w:tcPr>
            <w:tcW w:type="dxa" w:w="13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 0.001</w:t>
            </w:r>
          </w:p>
        </w:tc>
      </w:tr>
      <w:tr>
        <w:trPr>
          <w:cantSplit/>
        </w:trPr>
        <w:tc>
          <w:tcPr>
            <w:tcW w:type="dxa" w:w="58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M3 + economy → M4 + timing</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358.0</w:t>
            </w:r>
          </w:p>
        </w:tc>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w:t>
            </w:r>
          </w:p>
        </w:tc>
        <w:tc>
          <w:tcPr>
            <w:tcW w:type="dxa" w:w="13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 0.001</w:t>
            </w:r>
          </w:p>
        </w:tc>
      </w:tr>
      <w:tr>
        <w:trPr>
          <w:cantSplit/>
        </w:trPr>
        <w:tc>
          <w:tcPr>
            <w:tcW w:type="dxa" w:w="58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M4 + timing → M5 + contact x previous outcome</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0.1</w:t>
            </w:r>
          </w:p>
        </w:tc>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w:t>
            </w:r>
          </w:p>
        </w:tc>
        <w:tc>
          <w:tcPr>
            <w:tcW w:type="dxa" w:w="13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0.940</w:t>
            </w:r>
          </w:p>
        </w:tc>
      </w:tr>
      <w:tr>
        <w:trPr>
          <w:cantSplit/>
        </w:trPr>
        <w:tc>
          <w:tcPr>
            <w:tcW w:type="dxa" w:w="58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M4 + timing → M6 + contact x age group</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7.3</w:t>
            </w:r>
          </w:p>
        </w:tc>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5</w:t>
            </w:r>
          </w:p>
        </w:tc>
        <w:tc>
          <w:tcPr>
            <w:tcW w:type="dxa" w:w="13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0.201</w:t>
            </w:r>
          </w:p>
        </w:tc>
      </w:tr>
      <w:tr>
        <w:trPr>
          <w:cantSplit/>
        </w:trPr>
        <w:tc>
          <w:tcPr>
            <w:tcW w:type="dxa" w:w="58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M4 without age → M4 + timing</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13.6</w:t>
            </w:r>
          </w:p>
        </w:tc>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5</w:t>
            </w:r>
          </w:p>
        </w:tc>
        <w:tc>
          <w:tcPr>
            <w:tcW w:type="dxa" w:w="13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0.018</w:t>
            </w:r>
          </w:p>
        </w:tc>
      </w:tr>
      <w:tr>
        <w:trPr>
          <w:cantSplit/>
        </w:trPr>
        <w:tc>
          <w:tcPr>
            <w:tcW w:type="dxa" w:w="58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M4 with linear age → M4 with age + age^2</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13.4</w:t>
            </w:r>
          </w:p>
        </w:tc>
        <w:tc>
          <w:tcPr>
            <w:tcW w:type="dxa" w:w="67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w:t>
            </w:r>
          </w:p>
        </w:tc>
        <w:tc>
          <w:tcPr>
            <w:tcW w:type="dxa" w:w="13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&lt; 0.001</w:t>
            </w:r>
          </w:p>
        </w:tc>
      </w:tr>
    </w:tbl>
    <w:p>
      <w:pPr>
        <w:spacing w:after="160"/>
      </w:pPr>
    </w:p>
    <w:p>
      <w:pPr>
        <w:pStyle w:val="Heading1"/>
      </w:pPr>
      <w:r>
        <w:t xml:space="preserve">Appendix C. Decision tree segments</w:t>
      </w:r>
    </w:p>
    <w:p>
      <w:pPr>
        <w:keepNext/>
        <w:spacing w:after="80" w:before="160"/>
      </w:pPr>
      <w:r>
        <w:rPr>
          <w:rFonts w:ascii="Calibri" w:cs="Calibri" w:eastAsia="Calibri" w:hAnsi="Calibri"/>
          <w:i/>
          <w:iCs/>
          <w:color w:val="555555"/>
          <w:sz w:val="19"/>
          <w:szCs w:val="19"/>
        </w:rPr>
        <w:t xml:space="preserve">Table C1. Leaves of a depth-3 decision tree (minimum 300 customers per leaf), training set</w:t>
      </w:r>
    </w:p>
    <w:tbl>
      <w:tblPr>
        <w:tblW w:type="dxa" w:w="90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2"/>
        <w:gridCol w:w="1071"/>
        <w:gridCol w:w="1183"/>
        <w:gridCol w:w="1240"/>
        <w:gridCol w:w="1240"/>
      </w:tblGrid>
      <w:tr>
        <w:trPr>
          <w:cantSplit/>
          <w:tblHeader/>
        </w:trPr>
        <w:tc>
          <w:tcPr>
            <w:tcW w:type="dxa" w:w="4282"/>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Segment rule</w:t>
            </w:r>
          </w:p>
        </w:tc>
        <w:tc>
          <w:tcPr>
            <w:tcW w:type="dxa" w:w="107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Customers</w:t>
            </w:r>
          </w:p>
        </w:tc>
        <w:tc>
          <w:tcPr>
            <w:tcW w:type="dxa" w:w="1183"/>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Share of customers</w:t>
            </w:r>
          </w:p>
        </w:tc>
        <w:tc>
          <w:tcPr>
            <w:tcW w:type="dxa" w:w="1240"/>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Subscription rate</w:t>
            </w:r>
          </w:p>
        </w:tc>
        <w:tc>
          <w:tcPr>
            <w:tcW w:type="dxa" w:w="1240"/>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Share of subscribers</w:t>
            </w:r>
          </w:p>
        </w:tc>
      </w:tr>
      <w:tr>
        <w:trPr>
          <w:cantSplit/>
        </w:trPr>
        <w:tc>
          <w:tcPr>
            <w:tcW w:type="dxa" w:w="4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nr.employed &lt;= 5,087.7 and poutcome = success and cons.price.idx &gt; 93.2</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523</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1.6%</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76.7%</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10.8%</w:t>
            </w:r>
          </w:p>
        </w:tc>
      </w:tr>
      <w:tr>
        <w:trPr>
          <w:cantSplit/>
        </w:trPr>
        <w:tc>
          <w:tcPr>
            <w:tcW w:type="dxa" w:w="4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nr.employed &lt;= 5,087.7 and poutcome = success and cons.price.idx &lt;= 93.2</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380</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1.2%</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64.2%</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6.6%</w:t>
            </w:r>
          </w:p>
        </w:tc>
      </w:tr>
      <w:tr>
        <w:trPr>
          <w:cantSplit/>
        </w:trPr>
        <w:tc>
          <w:tcPr>
            <w:tcW w:type="dxa" w:w="4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nr.employed &lt;= 5,087.7 and poutcome != success and contact = cellular</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2,602</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7.9%</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38.5%</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27.0%</w:t>
            </w:r>
          </w:p>
        </w:tc>
      </w:tr>
      <w:tr>
        <w:trPr>
          <w:cantSplit/>
        </w:trPr>
        <w:tc>
          <w:tcPr>
            <w:tcW w:type="dxa" w:w="4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nr.employed &gt; 5,087.7 and cons.conf.idx &lt;= -46.6 and poutcome != failure</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1,673</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5.1%</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23.6%</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10.6%</w:t>
            </w:r>
          </w:p>
        </w:tc>
      </w:tr>
      <w:tr>
        <w:trPr>
          <w:cantSplit/>
        </w:trPr>
        <w:tc>
          <w:tcPr>
            <w:tcW w:type="dxa" w:w="4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nr.employed &lt;= 5,087.7 and poutcome != success and contact != cellular</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482</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1.5%</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22.6%</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2.9%</w:t>
            </w:r>
          </w:p>
        </w:tc>
      </w:tr>
      <w:tr>
        <w:trPr>
          <w:cantSplit/>
        </w:trPr>
        <w:tc>
          <w:tcPr>
            <w:tcW w:type="dxa" w:w="4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nr.employed &gt; 5,087.7 and cons.conf.idx &lt;= -46.6 and poutcome = failure</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496</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1.5%</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11.1%</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1.5%</w:t>
            </w:r>
          </w:p>
        </w:tc>
      </w:tr>
      <w:tr>
        <w:trPr>
          <w:cantSplit/>
        </w:trPr>
        <w:tc>
          <w:tcPr>
            <w:tcW w:type="dxa" w:w="4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nr.employed &gt; 5,087.7 and cons.conf.idx &gt; -46.6 and cons.price.idx &lt;= 94.0</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17,096</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51.9%</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6.8%</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31.3%</w:t>
            </w:r>
          </w:p>
        </w:tc>
      </w:tr>
      <w:tr>
        <w:trPr>
          <w:cantSplit/>
        </w:trPr>
        <w:tc>
          <w:tcPr>
            <w:tcW w:type="dxa" w:w="428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nr.employed &gt; 5,087.7 and cons.conf.idx &gt; -46.6 and cons.price.idx &gt; 94.0</w:t>
            </w:r>
          </w:p>
        </w:tc>
        <w:tc>
          <w:tcPr>
            <w:tcW w:type="dxa" w:w="10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9,682</w:t>
            </w:r>
          </w:p>
        </w:tc>
        <w:tc>
          <w:tcPr>
            <w:tcW w:type="dxa" w:w="118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29.4%</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3.6%</w:t>
            </w:r>
          </w:p>
        </w:tc>
        <w:tc>
          <w:tcPr>
            <w:tcW w:type="dxa" w:w="12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9.3%</w:t>
            </w:r>
          </w:p>
        </w:tc>
      </w:tr>
    </w:tbl>
    <w:p>
      <w:pPr>
        <w:spacing w:after="160"/>
      </w:pPr>
    </w:p>
    <w:p>
      <w:pPr>
        <w:pStyle w:val="Heading1"/>
      </w:pPr>
      <w:r>
        <w:t xml:space="preserve">Appendix D. Bayesian segment estimates</w:t>
      </w:r>
    </w:p>
    <w:p>
      <w:pPr>
        <w:keepNext/>
        <w:spacing w:after="80" w:before="160"/>
      </w:pPr>
      <w:r>
        <w:rPr>
          <w:rFonts w:ascii="Calibri" w:cs="Calibri" w:eastAsia="Calibri" w:hAnsi="Calibri"/>
          <w:i/>
          <w:iCs/>
          <w:color w:val="555555"/>
          <w:sz w:val="19"/>
          <w:szCs w:val="19"/>
        </w:rPr>
        <w:t xml:space="preserve">Table D1. Posterior subscription rates (prior Beta(2.25, 17.75)); last column uses the uniform prior Beta(1, 1)</w:t>
      </w:r>
    </w:p>
    <w:tbl>
      <w:tblPr>
        <w:tblW w:type="dxa" w:w="90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1"/>
        <w:gridCol w:w="795"/>
        <w:gridCol w:w="902"/>
        <w:gridCol w:w="1061"/>
        <w:gridCol w:w="1538"/>
        <w:gridCol w:w="1061"/>
        <w:gridCol w:w="1538"/>
      </w:tblGrid>
      <w:tr>
        <w:trPr>
          <w:cantSplit/>
          <w:tblHeader/>
        </w:trPr>
        <w:tc>
          <w:tcPr>
            <w:tcW w:type="dxa" w:w="212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Segment</w:t>
            </w:r>
          </w:p>
        </w:tc>
        <w:tc>
          <w:tcPr>
            <w:tcW w:type="dxa" w:w="795"/>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n</w:t>
            </w:r>
          </w:p>
        </w:tc>
        <w:tc>
          <w:tcPr>
            <w:tcW w:type="dxa" w:w="902"/>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Observed</w:t>
            </w:r>
          </w:p>
        </w:tc>
        <w:tc>
          <w:tcPr>
            <w:tcW w:type="dxa" w:w="106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Posterior mean</w:t>
            </w:r>
          </w:p>
        </w:tc>
        <w:tc>
          <w:tcPr>
            <w:tcW w:type="dxa" w:w="1538"/>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95% credible interval</w:t>
            </w:r>
          </w:p>
        </w:tc>
        <w:tc>
          <w:tcPr>
            <w:tcW w:type="dxa" w:w="106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P(rate &gt; 11.3%)</w:t>
            </w:r>
          </w:p>
        </w:tc>
        <w:tc>
          <w:tcPr>
            <w:tcW w:type="dxa" w:w="1538"/>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Uniform prior 95% CrI</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17-24</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1,067</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24.0%</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23.8%</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21.3% to 26.3%</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0.215 to 0.266</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25-34</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13,684</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12.2%</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12.2%</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11.6% to 12.7%</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0.116 to 0.127</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35-44</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13,492</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8.6%</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8.7%</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8.2% to 9.1%</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0.082 to 0.091</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45-54</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8,701</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8.6%</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8.6%</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8.1% to 9.2%</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0.081 to 0.093</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55-64</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3,563</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13.6%</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13.5%</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12.4% to 14.7%</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0.125 to 0.147</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65+</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661</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47.4%</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46.3%</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42.6% to 50.0%</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0.436 to 0.512</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Job: blue-collar</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9,252</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6.9%</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6.9%</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6.4% to 7.4%</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0.064 to 0.074</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Job: retired</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1,716</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25.2%</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25.1%</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23.1% to 27.1%</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0.232 to 0.273</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Job: student</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875</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31.4%</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31.0%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28.0% to 34.0%</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0.284 to 0.346</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Education: illiterate</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18</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22.2%</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16.5%</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6.6% to 29.6%</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0.802</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0.091 to 0.456</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Education: university.degree</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12,162</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13.7%</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13.7%</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13.1% to 14.3%</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0.131 to 0.143</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Previous outcome: failure</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4,250</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14.2%</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14.2%</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13.2% to 15.3%</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0.132 to 0.153</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Previous outcome: nonexistent</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35,547</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8.8%</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8.8%</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8.5% to 9.1%</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0.085 to 0.091</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Previous outcome: success</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1,371</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65.1%</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64.3%</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61.8% to 66.8%</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0.625 to 0.675</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Contact: cellular</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26,131</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14.7%</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14.7%</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14.3% to 15.2%</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0.143 to 0.152</w:t>
            </w:r>
          </w:p>
        </w:tc>
      </w:tr>
      <w:tr>
        <w:trPr>
          <w:cantSplit/>
        </w:trPr>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Contact: telephone</w:t>
            </w:r>
          </w:p>
        </w:tc>
        <w:tc>
          <w:tcPr>
            <w:tcW w:type="dxa" w:w="79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15,037</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5.2%</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5.2%</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4.9% to 5.6%</w:t>
            </w:r>
          </w:p>
        </w:tc>
        <w:tc>
          <w:tcPr>
            <w:tcW w:type="dxa" w:w="106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0.000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0.049 to 0.056</w:t>
            </w:r>
          </w:p>
        </w:tc>
      </w:tr>
    </w:tbl>
    <w:p>
      <w:pPr>
        <w:spacing w:after="160"/>
      </w:pPr>
    </w:p>
    <w:p>
      <w:pPr>
        <w:pStyle w:val="Heading1"/>
      </w:pPr>
      <w:r>
        <w:t xml:space="preserve">Appendix E. Full odds ratio table (model M4)</w:t>
      </w:r>
    </w:p>
    <w:p>
      <w:pPr>
        <w:keepNext/>
        <w:spacing w:after="80" w:before="160"/>
      </w:pPr>
      <w:r>
        <w:rPr>
          <w:rFonts w:ascii="Calibri" w:cs="Calibri" w:eastAsia="Calibri" w:hAnsi="Calibri"/>
          <w:i/>
          <w:iCs/>
          <w:color w:val="555555"/>
          <w:sz w:val="19"/>
          <w:szCs w:val="19"/>
        </w:rPr>
        <w:t xml:space="preserve">Table E1. Odds ratios with 95% confidence intervals (reference levels: age 35-44, admin., divorced, university.degree, cellular, nonexistent, May, Friday)</w:t>
      </w:r>
    </w:p>
    <w:tbl>
      <w:tblPr>
        <w:tblW w:type="dxa" w:w="901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26"/>
        <w:gridCol w:w="1127"/>
        <w:gridCol w:w="2254"/>
        <w:gridCol w:w="1409"/>
      </w:tblGrid>
      <w:tr>
        <w:trPr>
          <w:cantSplit/>
          <w:tblHeader/>
        </w:trPr>
        <w:tc>
          <w:tcPr>
            <w:tcW w:type="dxa" w:w="4226"/>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Term</w:t>
            </w:r>
          </w:p>
        </w:tc>
        <w:tc>
          <w:tcPr>
            <w:tcW w:type="dxa" w:w="1127"/>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OR</w:t>
            </w:r>
          </w:p>
        </w:tc>
        <w:tc>
          <w:tcPr>
            <w:tcW w:type="dxa" w:w="2254"/>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95% CI</w:t>
            </w:r>
          </w:p>
        </w:tc>
        <w:tc>
          <w:tcPr>
            <w:tcW w:type="dxa" w:w="1409"/>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6"/>
                <w:szCs w:val="16"/>
              </w:rPr>
              <w:t xml:space="preserve">p-value</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Age 17-24</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1.302</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1.034 to 1.639</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0.025</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Age 25-34</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1.134</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1.023 to 1.258</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0.017</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Age 45-54</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1.094</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0.972 to 1.231</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0.135</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Age 55-64</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1.179</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1.004 to 1.386</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0.045</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Age 65+</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1.480</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1.112 to 1.968</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0.007</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Job: blue-collar</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0.881</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0.758 to 1.024</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0.100</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Job: entrepreneur</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1.007</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0.798 to 1.269</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0.955</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Job: housemaid</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0.926</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0.701 to 1.225</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0.592</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Job: management</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0.978</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0.830 to 1.151</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0.788</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Job: retired</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1.170</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0.928 to 1.476</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0.185</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Job: self-employed</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0.934</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0.747 to 1.169</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0.552</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Job: services</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0.886</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0.753 to 1.043</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0.146</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Job: student</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1.146</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0.907 to 1.448</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0.255</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Job: technician</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0.996</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0.870 to 1.139</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0.950</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Job: unemployed</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0.871</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0.676 to 1.121</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0.284</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Job: unknown</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1.128</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0.729 to 1.746</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0.590</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Marital: married</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1.084</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0.950 to 1.237</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0.233</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Marital: single</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1.107</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0.953 to 1.286</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0.185</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Marital: unknown</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1.373</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0.635 to 2.967</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0.420</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Education: basic.4y</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0.898</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0.753 to 1.071</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0.230</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Education: basic.6y</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1.056</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0.856 to 1.302</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0.610</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Education: basic.9y</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0.852</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0.729 to 0.995</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0.044</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Education: high.school</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0.936</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0.834 to 1.050</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0.257</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Education: professional.course</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0.939</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0.813 to 1.084</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0.387</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Education: unknown</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1.058</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0.867 to 1.291</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0.581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Contact: telephone</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0.618</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0.541 to 0.704</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Previous outcome: failure</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0.631</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0.559 to 0.711</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Previous outcome: success</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3.684</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3.166 to 4.287</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Month: apr</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1.997</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1.730 to 2.305</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Month: aug</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1.650</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1.397 to 1.948</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Month: dec</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2.296</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1.585 to 3.324</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Month: jul</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2.319</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1.990 to 2.701</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Month: jun</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2.478</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2.142 to 2.869</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Month: mar</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4.315</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3.445 to 5.407</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Month: nov</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1.389</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1.182 to 1.632</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Month: oct</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1.592</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1.274 to 1.990</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Month: sep</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1.154</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0.901 to 1.477</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0.256</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Day: mon</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0.824</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0.727 to 0.933</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0.002</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Day: thu</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1.017</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0.901 to 1.148</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0.787</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Day: tue</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0.999</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0.881 to 1.133</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0.989</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Day: wed</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1.123</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0.993 to 1.271</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0.065</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default_unk (default not 'no')</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0.788</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0.695 to 0.893</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log2(campaign)</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0.930</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0.891 to 0.971</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nr.employed (per 1 unit)</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0.990</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0.989 to 0.990</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cons.price.idx</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0.982</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0.904 to 1.067</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0.667</w:t>
            </w:r>
          </w:p>
        </w:tc>
      </w:tr>
      <w:tr>
        <w:trPr>
          <w:cantSplit/>
        </w:trPr>
        <w:tc>
          <w:tcPr>
            <w:tcW w:type="dxa" w:w="422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cons.conf.idx</w:t>
            </w:r>
          </w:p>
        </w:tc>
        <w:tc>
          <w:tcPr>
            <w:tcW w:type="dxa" w:w="11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1.020</w:t>
            </w:r>
          </w:p>
        </w:tc>
        <w:tc>
          <w:tcPr>
            <w:tcW w:type="dxa" w:w="225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1.009 to 1.030</w:t>
            </w:r>
          </w:p>
        </w:tc>
        <w:tc>
          <w:tcPr>
            <w:tcW w:type="dxa" w:w="140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6"/>
                <w:szCs w:val="16"/>
              </w:rPr>
              <w:t xml:space="preserve">&lt; 0.001</w:t>
            </w:r>
          </w:p>
        </w:tc>
      </w:tr>
    </w:tbl>
    <w:p>
      <w:pPr>
        <w:spacing w:after="160"/>
      </w:pPr>
    </w:p>
    <w:p>
      <w:pPr>
        <w:pStyle w:val="Heading1"/>
      </w:pPr>
      <w:r>
        <w:t xml:space="preserve">Appendix F. Code</w:t>
      </w:r>
    </w:p>
    <w:p>
      <w:pPr>
        <w:spacing w:after="140" w:line="276"/>
        <w:jc w:val="left"/>
      </w:pPr>
      <w:r>
        <w:rPr>
          <w:rFonts w:ascii="Calibri" w:cs="Calibri" w:eastAsia="Calibri" w:hAnsi="Calibri"/>
          <w:color w:val="1A1A1A"/>
          <w:sz w:val="22"/>
          <w:szCs w:val="22"/>
        </w:rPr>
        <w:t xml:space="preserve">All analysis code is in the notebook QuangTrungNguyen_Assessment3_Code_01112026.ipynb, submitted with this report. It runs from top to bottom with data.csv in the same folder (random seed 42) and recreates every table and figure. Sections: 1 setup and loading; 2 data checks and cleaning; 3 tests of association; 4 train/test split; 5 logistic regression (MLE, model selection, assumptions, odds ratios); 6 non-parametric models and tuning; 7 model comparison (CV, test, bootstrap, calibration, phase-3 test); 8 permutation importance, partial dependence and tree segments; 9 Bayesian estimation (segment rates; logistic regression by MCMC with diagnostics and prior sensitivity); 10 business insight calculations; 11 fairness check; 12 hypothesis summary.</w:t>
      </w:r>
    </w:p>
    <w:p>
      <w:r>
        <w:br w:type="page"/>
      </w:r>
    </w:p>
    <w:p>
      <w:pPr>
        <w:pStyle w:val="Heading1"/>
      </w:pPr>
      <w:r>
        <w:t xml:space="preserve">Appendix G. Bayesian logistic regression compared with maximum likelihood</w:t>
      </w:r>
    </w:p>
    <w:p>
      <w:pPr>
        <w:keepNext/>
        <w:spacing w:after="80" w:before="160"/>
      </w:pPr>
      <w:r>
        <w:rPr>
          <w:rFonts w:ascii="Calibri" w:cs="Calibri" w:eastAsia="Calibri" w:hAnsi="Calibri"/>
          <w:i/>
          <w:iCs/>
          <w:color w:val="555555"/>
          <w:sz w:val="19"/>
          <w:szCs w:val="19"/>
        </w:rPr>
        <w:t xml:space="preserve">Table G1. Odds ratios from maximum likelihood (95% CI) and from the Bayesian model (posterior median and 95% credible interval), with MCMC diagnostics</w:t>
      </w:r>
    </w:p>
    <w:tbl>
      <w:tblPr>
        <w:tblW w:type="dxa" w:w="9015"/>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92"/>
        <w:gridCol w:w="902"/>
        <w:gridCol w:w="1521"/>
        <w:gridCol w:w="958"/>
        <w:gridCol w:w="1521"/>
        <w:gridCol w:w="732"/>
        <w:gridCol w:w="789"/>
      </w:tblGrid>
      <w:tr>
        <w:trPr>
          <w:cantSplit/>
          <w:tblHeader/>
        </w:trPr>
        <w:tc>
          <w:tcPr>
            <w:tcW w:type="dxa" w:w="2592"/>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Term</w:t>
            </w:r>
          </w:p>
        </w:tc>
        <w:tc>
          <w:tcPr>
            <w:tcW w:type="dxa" w:w="902"/>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MLE OR</w:t>
            </w:r>
          </w:p>
        </w:tc>
        <w:tc>
          <w:tcPr>
            <w:tcW w:type="dxa" w:w="152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95% CI</w:t>
            </w:r>
          </w:p>
        </w:tc>
        <w:tc>
          <w:tcPr>
            <w:tcW w:type="dxa" w:w="958"/>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Bayes OR</w:t>
            </w:r>
          </w:p>
        </w:tc>
        <w:tc>
          <w:tcPr>
            <w:tcW w:type="dxa" w:w="1521"/>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95% CrI</w:t>
            </w:r>
          </w:p>
        </w:tc>
        <w:tc>
          <w:tcPr>
            <w:tcW w:type="dxa" w:w="732"/>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R-hat</w:t>
            </w:r>
          </w:p>
        </w:tc>
        <w:tc>
          <w:tcPr>
            <w:tcW w:type="dxa" w:w="789"/>
            <w:tcBorders>
              <w:top w:val="single" w:color="BFBFBF" w:sz="4"/>
              <w:left w:val="single" w:color="BFBFBF" w:sz="4"/>
              <w:bottom w:val="single" w:color="BFBFBF" w:sz="4"/>
              <w:right w:val="single" w:color="BFBFBF" w:sz="4"/>
            </w:tcBorders>
            <w:shd w:fill="E7EDF5" w:color="auto" w:val="clear"/>
            <w:tcMar>
              <w:top w:type="dxa" w:w="50"/>
              <w:left w:type="dxa" w:w="80"/>
              <w:bottom w:type="dxa" w:w="50"/>
              <w:right w:type="dxa" w:w="80"/>
            </w:tcMar>
            <w:vAlign w:val="top"/>
          </w:tcPr>
          <w:p>
            <w:pPr>
              <w:spacing w:after="0" w:line="240"/>
            </w:pPr>
            <w:r>
              <w:rPr>
                <w:rFonts w:ascii="Calibri" w:cs="Calibri" w:eastAsia="Calibri" w:hAnsi="Calibri"/>
                <w:b/>
                <w:bCs/>
                <w:color w:val="1A1A1A"/>
                <w:sz w:val="17"/>
                <w:szCs w:val="17"/>
              </w:rPr>
              <w:t xml:space="preserve">ESS</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Previous outcome: success</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3.684</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3.166 to 4.287</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3.686</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3.170 to 4.326</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1,356</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Previous outcome: failure</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0.631</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0.559 to 0.711</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0.627</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0.556 to 0.709</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1.001</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1,498</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Contact: telephone</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0.618</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0.541 to 0.704</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0.614</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0.536 to 0.700</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1.001</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1,483</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17-24</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1.302</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1.034 to 1.639</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1.301</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1.032 to 1.637</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1.002</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1,619</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25-34</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1.134</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1.023 to 1.258</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1.133</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1.022 to 1.250</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1,663</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45-54</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1.094</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0.972 to 1.231</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1.092</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0.968 to 1.226</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1.001</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1,537</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55-64</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1.179</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1.004 to 1.386</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1.177</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0.994 to 1.380</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1,424</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Age 65+</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1.480</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1.112 to 1.968</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1.477</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1.114 to 1.974</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1,682</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Job: student</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1.146</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0.907 to 1.448</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1.152</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0.908 to 1.442</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1.002</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1,596</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Job: retired</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1.170</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0.928 to 1.476</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1.169</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0.926 to 1.475</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1.001</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1,512</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Job: blue-collar</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0.881</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0.758 to 1.024</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0.882</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0.757 to 1.034</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1.001</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1,418</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default_unk (default not 'no')</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0.788</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0.695 to 0.893</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0.790</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0.695 to 0.893</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1.002</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1,538</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log2(campaign)</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0.930</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0.891 to 0.971</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0.929</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0.890 to 0.970</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1.001</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1,574</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nr.employed (per 1 unit)</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0.990</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0.989 to 0.990</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0.990</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0.989 to 0.990</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1.000</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1,500</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Month: mar</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4.315</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3.445 to 5.407</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4.310</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3.403 to 5.448</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1.001</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1,574</w:t>
            </w:r>
          </w:p>
        </w:tc>
      </w:tr>
      <w:tr>
        <w:trPr>
          <w:cantSplit/>
        </w:trPr>
        <w:tc>
          <w:tcPr>
            <w:tcW w:type="dxa" w:w="259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Day: mon</w:t>
            </w:r>
          </w:p>
        </w:tc>
        <w:tc>
          <w:tcPr>
            <w:tcW w:type="dxa" w:w="90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0.824</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0.727 to 0.933</w:t>
            </w:r>
          </w:p>
        </w:tc>
        <w:tc>
          <w:tcPr>
            <w:tcW w:type="dxa" w:w="9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0.823</w:t>
            </w:r>
          </w:p>
        </w:tc>
        <w:tc>
          <w:tcPr>
            <w:tcW w:type="dxa" w:w="15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0.729 to 0.937</w:t>
            </w:r>
          </w:p>
        </w:tc>
        <w:tc>
          <w:tcPr>
            <w:tcW w:type="dxa" w:w="73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1.001</w:t>
            </w:r>
          </w:p>
        </w:tc>
        <w:tc>
          <w:tcPr>
            <w:tcW w:type="dxa" w:w="78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0" w:line="240"/>
            </w:pPr>
            <w:r>
              <w:rPr>
                <w:rFonts w:ascii="Calibri" w:cs="Calibri" w:eastAsia="Calibri" w:hAnsi="Calibri"/>
                <w:b w:val="false"/>
                <w:bCs w:val="false"/>
                <w:color w:val="1A1A1A"/>
                <w:sz w:val="17"/>
                <w:szCs w:val="17"/>
              </w:rPr>
              <w:t xml:space="preserve">1,618</w:t>
            </w:r>
          </w:p>
        </w:tc>
      </w:tr>
    </w:tbl>
    <w:p>
      <w:pPr>
        <w:spacing w:after="200" w:before="60"/>
      </w:pPr>
      <w:r>
        <w:rPr>
          <w:rFonts w:ascii="Calibri" w:cs="Calibri" w:eastAsia="Calibri" w:hAnsi="Calibri"/>
          <w:i/>
          <w:iCs/>
          <w:color w:val="555555"/>
          <w:sz w:val="17"/>
          <w:szCs w:val="17"/>
        </w:rPr>
        <w:t xml:space="preserve">Note. Normal(0, 2.5²) priors; 4 chains, 4,400 retained draws. All 46 terms are in tables/bayes_logit_vs_mle.csv. With the tighter Normal(0, 0.5²) prior the largest shift in a posterior mean is 1.1 standard errors (median 0.24); for the terms in Table 6 it is 0.6 or less.</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1F3A5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e2b1bbd1b195bfe3992c332757438af69635291.png"/><Relationship Id="rId10" Type="http://schemas.openxmlformats.org/officeDocument/2006/relationships/image" Target="media/0fe9b4091c119c143fbc4806676905382460b4ad.png"/><Relationship Id="rId11" Type="http://schemas.openxmlformats.org/officeDocument/2006/relationships/image" Target="media/e55a9c9b1e3fa3cb751978de9badefcfb433f51e.png"/><Relationship Id="rId12" Type="http://schemas.openxmlformats.org/officeDocument/2006/relationships/image" Target="media/a9d345887dfca68eae87dcc587f300a76ed30146.png"/><Relationship Id="rId13" Type="http://schemas.openxmlformats.org/officeDocument/2006/relationships/image" Target="media/0c224bcb6835e4aadb48fcba5688149bebd05c71.png"/><Relationship Id="rId14" Type="http://schemas.openxmlformats.org/officeDocument/2006/relationships/image" Target="media/544c28ba6749e26fa80f60166b66e02757033150.png"/><Relationship Id="rId15" Type="http://schemas.openxmlformats.org/officeDocument/2006/relationships/image" Target="media/559b1b2cfb7189e5b0a5ff252d2dfe268132fa6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AT3 Data analysis project for marketing campaigns</dc:title>
  <dc:creator>Quang Trung Nguyen</dc:creator>
  <cp:lastModifiedBy>Un-named</cp:lastModifiedBy>
  <cp:revision>1</cp:revision>
  <dcterms:created xsi:type="dcterms:W3CDTF">2026-10-28T02:07:36.648Z</dcterms:created>
  <dcterms:modified xsi:type="dcterms:W3CDTF">2026-10-28T02:07:36.648Z</dcterms:modified>
</cp:coreProperties>
</file>

<file path=docProps/custom.xml><?xml version="1.0" encoding="utf-8"?>
<Properties xmlns="http://schemas.openxmlformats.org/officeDocument/2006/custom-properties" xmlns:vt="http://schemas.openxmlformats.org/officeDocument/2006/docPropsVTypes"/>
</file>