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tl w:val="0"/>
        </w:rPr>
        <w:t xml:space="preserve">Assessment Task 3: Data analysis project for marketing campaigns</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Student name: Quang Trung Nguyen</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Student ID: 26643559.</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University of Technology Sydney: TD School</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rFonts w:ascii="Calibri" w:cs="Calibri" w:eastAsia="Calibri" w:hAnsi="Calibri"/>
        </w:rPr>
      </w:pPr>
      <w:bookmarkStart w:colFirst="0" w:colLast="0" w:name="_g69eg87s5q48" w:id="0"/>
      <w:bookmarkEnd w:id="0"/>
      <w:r w:rsidDel="00000000" w:rsidR="00000000" w:rsidRPr="00000000">
        <w:rPr>
          <w:rFonts w:ascii="Calibri" w:cs="Calibri" w:eastAsia="Calibri" w:hAnsi="Calibri"/>
          <w:rtl w:val="0"/>
        </w:rPr>
        <w:t xml:space="preserve">Executive Summary</w:t>
      </w:r>
    </w:p>
    <w:p w:rsidR="00000000" w:rsidDel="00000000" w:rsidP="00000000" w:rsidRDefault="00000000" w:rsidRPr="00000000" w14:paraId="00000007">
      <w:pPr>
        <w:spacing w:after="140" w:line="276" w:lineRule="auto"/>
        <w:jc w:val="both"/>
        <w:rPr>
          <w:rFonts w:ascii="Calibri" w:cs="Calibri" w:eastAsia="Calibri" w:hAnsi="Calibri"/>
          <w:color w:val="1a1a1a"/>
        </w:rPr>
      </w:pPr>
      <w:r w:rsidDel="00000000" w:rsidR="00000000" w:rsidRPr="00000000">
        <w:rPr>
          <w:rFonts w:ascii="Calibri" w:cs="Calibri" w:eastAsia="Calibri" w:hAnsi="Calibri"/>
          <w:color w:val="1a1a1a"/>
          <w:rtl w:val="0"/>
        </w:rPr>
        <w:t xml:space="preserve">The company called 41,168 customers about a new plan, and 11.3% subscribed. Four models were tested on 8,234 unseen customers. Previous subscribers are the best prospects: 65% subscribed again, and they supply 19% of all subscribers. Customers aged 65 and over (47%) and under 25 (24%) respond far better than those aged 35 to 54 (9%), and mobile calls work better than landline calls.</w:t>
      </w:r>
    </w:p>
    <w:p w:rsidR="00000000" w:rsidDel="00000000" w:rsidP="00000000" w:rsidRDefault="00000000" w:rsidRPr="00000000" w14:paraId="00000008">
      <w:pPr>
        <w:spacing w:after="140" w:line="276" w:lineRule="auto"/>
        <w:jc w:val="both"/>
        <w:rPr>
          <w:rFonts w:ascii="Calibri" w:cs="Calibri" w:eastAsia="Calibri" w:hAnsi="Calibri"/>
          <w:color w:val="1a1a1a"/>
        </w:rPr>
      </w:pPr>
      <w:r w:rsidDel="00000000" w:rsidR="00000000" w:rsidRPr="00000000">
        <w:rPr>
          <w:rFonts w:ascii="Calibri" w:cs="Calibri" w:eastAsia="Calibri" w:hAnsi="Calibri"/>
          <w:color w:val="1a1a1a"/>
          <w:rtl w:val="0"/>
        </w:rPr>
        <w:t xml:space="preserve">Calling the top 20% of customers ranked by the logistic regression model would reach 65% of subscribers with 80% fewer calls. I recommend this model, a limit of three call attempts, and safeguards for older customers.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140" w:line="276" w:lineRule="auto"/>
        <w:rPr>
          <w:rFonts w:ascii="Calibri" w:cs="Calibri" w:eastAsia="Calibri" w:hAnsi="Calibri"/>
        </w:rPr>
      </w:pPr>
      <w:bookmarkStart w:colFirst="0" w:colLast="0" w:name="_ykoiw7lwq8m2" w:id="1"/>
      <w:bookmarkEnd w:id="1"/>
      <w:r w:rsidDel="00000000" w:rsidR="00000000" w:rsidRPr="00000000">
        <w:rPr>
          <w:rFonts w:ascii="Calibri" w:cs="Calibri" w:eastAsia="Calibri" w:hAnsi="Calibri"/>
          <w:rtl w:val="0"/>
        </w:rPr>
        <w:t xml:space="preserve">Table of content</w:t>
      </w:r>
    </w:p>
    <w:p w:rsidR="00000000" w:rsidDel="00000000" w:rsidP="00000000" w:rsidRDefault="00000000" w:rsidRPr="00000000" w14:paraId="0000000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rFonts w:ascii="Calibri" w:cs="Calibri" w:eastAsia="Calibri" w:hAnsi="Calibri"/>
        </w:rPr>
      </w:pPr>
      <w:bookmarkStart w:colFirst="0" w:colLast="0" w:name="_vriuce6phlv0" w:id="2"/>
      <w:bookmarkEnd w:id="2"/>
      <w:r w:rsidDel="00000000" w:rsidR="00000000" w:rsidRPr="00000000">
        <w:rPr>
          <w:rFonts w:ascii="Calibri" w:cs="Calibri" w:eastAsia="Calibri" w:hAnsi="Calibri"/>
          <w:rtl w:val="0"/>
        </w:rPr>
        <w:t xml:space="preserve">Problem formulation</w:t>
      </w:r>
    </w:p>
    <w:p w:rsidR="00000000" w:rsidDel="00000000" w:rsidP="00000000" w:rsidRDefault="00000000" w:rsidRPr="00000000" w14:paraId="0000000C">
      <w:pPr>
        <w:spacing w:after="140" w:line="276" w:lineRule="auto"/>
        <w:jc w:val="both"/>
        <w:rPr>
          <w:rFonts w:ascii="Calibri" w:cs="Calibri" w:eastAsia="Calibri" w:hAnsi="Calibri"/>
          <w:color w:val="1a1a1a"/>
        </w:rPr>
      </w:pPr>
      <w:r w:rsidDel="00000000" w:rsidR="00000000" w:rsidRPr="00000000">
        <w:rPr>
          <w:rFonts w:ascii="Calibri" w:cs="Calibri" w:eastAsia="Calibri" w:hAnsi="Calibri"/>
          <w:color w:val="1a1a1a"/>
          <w:rtl w:val="0"/>
        </w:rPr>
        <w:t xml:space="preserve">The company wants to know which customers respond best to its new plan and which strategies would improve the next campaign, after 36,531 unsuccessful calls.</w:t>
      </w:r>
      <w:commentRangeStart w:id="0"/>
      <w:r w:rsidDel="00000000" w:rsidR="00000000" w:rsidRPr="00000000">
        <w:rPr>
          <w:rFonts w:ascii="Calibri" w:cs="Calibri" w:eastAsia="Calibri" w:hAnsi="Calibri"/>
          <w:color w:val="1a1a1a"/>
          <w:rtl w:val="0"/>
        </w:rPr>
        <w:t xml:space="preserve"> The marketing manager and campaign planners need a ranked call list, the analytics team maintains the model, and customers are the people it affects. </w:t>
      </w:r>
      <w:commentRangeEnd w:id="0"/>
      <w:r w:rsidDel="00000000" w:rsidR="00000000" w:rsidRPr="00000000">
        <w:commentReference w:id="0"/>
      </w:r>
      <w:r w:rsidDel="00000000" w:rsidR="00000000" w:rsidRPr="00000000">
        <w:rPr>
          <w:rFonts w:ascii="Calibri" w:cs="Calibri" w:eastAsia="Calibri" w:hAnsi="Calibri"/>
          <w:color w:val="1a1a1a"/>
          <w:rtl w:val="0"/>
        </w:rPr>
        <w:t xml:space="preserve">The analysis answers three research questions: </w:t>
      </w:r>
    </w:p>
    <w:p w:rsidR="00000000" w:rsidDel="00000000" w:rsidP="00000000" w:rsidRDefault="00000000" w:rsidRPr="00000000" w14:paraId="0000000D">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RQ1: Which segments are most likely to subscribe after adjusting for contact method, campaign history and economic conditions? </w:t>
      </w:r>
    </w:p>
    <w:p w:rsidR="00000000" w:rsidDel="00000000" w:rsidP="00000000" w:rsidRDefault="00000000" w:rsidRPr="00000000" w14:paraId="0000000E">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RQ2: How accurately can subscription be predicted before a call, and does a non-parametric model beat a parametric one? </w:t>
      </w:r>
    </w:p>
    <w:p w:rsidR="00000000" w:rsidDel="00000000" w:rsidP="00000000" w:rsidRDefault="00000000" w:rsidRPr="00000000" w14:paraId="0000000F">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RQ3: Which strategies follow from RQ1 and RQ2? </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6"/>
        <w:gridCol w:w="5240"/>
        <w:gridCol w:w="3099"/>
        <w:tblGridChange w:id="0">
          <w:tblGrid>
            <w:gridCol w:w="676"/>
            <w:gridCol w:w="5240"/>
            <w:gridCol w:w="309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0">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8"/>
                <w:szCs w:val="18"/>
                <w:rtl w:val="0"/>
              </w:rPr>
              <w:t xml:space="preserve">RQ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1">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8"/>
                <w:szCs w:val="18"/>
                <w:rtl w:val="0"/>
              </w:rPr>
              <w:t xml:space="preserve">Hypothesis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2">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8"/>
                <w:szCs w:val="18"/>
                <w:rtl w:val="0"/>
              </w:rPr>
              <w:t xml:space="preserve">Test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RQ1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H1: Customers aged under 25 and 65+ have higher odds of subscribing than those aged 35-44, after adjustment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Wald z-tests; likelihood-ratio test (LRT) for the age block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RQ1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H2: A successful previous campaign is the strongest customer-level predictor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Adjusted odds ratios; permutation importance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RQ1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H3: Cellular contact raises the odds, and the channel effect differs by previous 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Wald z-test; LRT for contact x poutcome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RQ3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H4: More call attempts in the same campaign lower the odds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Wald z-test for log2(campaign)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RQ2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H5: A non-parametric model ranks customers better than logistic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Paired t-test on CV folds; bootstrap CI on test AUC; phase-3 test</w:t>
            </w:r>
            <w:r w:rsidDel="00000000" w:rsidR="00000000" w:rsidRPr="00000000">
              <w:rPr>
                <w:rtl w:val="0"/>
              </w:rPr>
            </w:r>
          </w:p>
        </w:tc>
      </w:tr>
    </w:tbl>
    <w:p w:rsidR="00000000" w:rsidDel="00000000" w:rsidP="00000000" w:rsidRDefault="00000000" w:rsidRPr="00000000" w14:paraId="00000022">
      <w:pPr>
        <w:keepNext w:val="1"/>
        <w:spacing w:after="80" w:before="160" w:line="240" w:lineRule="auto"/>
        <w:jc w:val="center"/>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Table 1. Hypotheses and statistical tests</w:t>
      </w:r>
      <w:r w:rsidDel="00000000" w:rsidR="00000000" w:rsidRPr="00000000">
        <w:rPr>
          <w:rtl w:val="0"/>
        </w:rPr>
      </w:r>
    </w:p>
    <w:p w:rsidR="00000000" w:rsidDel="00000000" w:rsidP="00000000" w:rsidRDefault="00000000" w:rsidRPr="00000000" w14:paraId="00000023">
      <w:pPr>
        <w:spacing w:after="160" w:line="240"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24">
      <w:pPr>
        <w:spacing w:after="140" w:line="276"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25">
      <w:pPr>
        <w:spacing w:after="140" w:line="276"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26">
      <w:pPr>
        <w:spacing w:after="140" w:line="276"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27">
      <w:pPr>
        <w:spacing w:after="140" w:line="276"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28">
      <w:pPr>
        <w:spacing w:after="140" w:line="276"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29">
      <w:pPr>
        <w:spacing w:after="140" w:line="276"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rFonts w:ascii="Calibri" w:cs="Calibri" w:eastAsia="Calibri" w:hAnsi="Calibri"/>
        </w:rPr>
      </w:pPr>
      <w:bookmarkStart w:colFirst="0" w:colLast="0" w:name="_baotqhmbljrz" w:id="3"/>
      <w:bookmarkEnd w:id="3"/>
      <w:r w:rsidDel="00000000" w:rsidR="00000000" w:rsidRPr="00000000">
        <w:rPr>
          <w:rFonts w:ascii="Calibri" w:cs="Calibri" w:eastAsia="Calibri" w:hAnsi="Calibri"/>
          <w:rtl w:val="0"/>
        </w:rPr>
        <w:t xml:space="preserve">Data and preparation</w:t>
      </w:r>
    </w:p>
    <w:p w:rsidR="00000000" w:rsidDel="00000000" w:rsidP="00000000" w:rsidRDefault="00000000" w:rsidRPr="00000000" w14:paraId="0000002C">
      <w:pPr>
        <w:spacing w:after="200" w:lineRule="auto"/>
        <w:jc w:val="both"/>
        <w:rPr>
          <w:rFonts w:ascii="Calibri" w:cs="Calibri" w:eastAsia="Calibri" w:hAnsi="Calibri"/>
        </w:rPr>
      </w:pPr>
      <w:commentRangeStart w:id="1"/>
      <w:r w:rsidDel="00000000" w:rsidR="00000000" w:rsidRPr="00000000">
        <w:rPr>
          <w:rFonts w:ascii="Calibri" w:cs="Calibri" w:eastAsia="Calibri" w:hAnsi="Calibri"/>
          <w:rtl w:val="0"/>
        </w:rPr>
        <w:t xml:space="preserve">Table 2 lists each data issue, how I treated it and why</w:t>
      </w:r>
      <w:commentRangeEnd w:id="1"/>
      <w:r w:rsidDel="00000000" w:rsidR="00000000" w:rsidRPr="00000000">
        <w:commentReference w:id="1"/>
      </w:r>
      <w:r w:rsidDel="00000000" w:rsidR="00000000" w:rsidRPr="00000000">
        <w:rPr>
          <w:rFonts w:ascii="Calibri" w:cs="Calibri" w:eastAsia="Calibri" w:hAnsi="Calibri"/>
          <w:rtl w:val="0"/>
        </w:rPr>
        <w:t xml:space="preserve">. Formal tests show that every predictor except housing and loan is associated with subscription (p &lt; 0.05; Appendix A).</w:t>
      </w:r>
    </w:p>
    <w:p w:rsidR="00000000" w:rsidDel="00000000" w:rsidP="00000000" w:rsidRDefault="00000000" w:rsidRPr="00000000" w14:paraId="0000002D">
      <w:pPr>
        <w:spacing w:after="200" w:line="276" w:lineRule="auto"/>
        <w:jc w:val="both"/>
        <w:rPr>
          <w:rFonts w:ascii="Calibri" w:cs="Calibri" w:eastAsia="Calibri" w:hAnsi="Calibri"/>
          <w:color w:val="1a1a1a"/>
        </w:rPr>
      </w:pPr>
      <w:r w:rsidDel="00000000" w:rsidR="00000000" w:rsidRPr="00000000">
        <w:rPr>
          <w:rFonts w:ascii="Calibri" w:cs="Calibri" w:eastAsia="Calibri" w:hAnsi="Calibri"/>
          <w:color w:val="1a1a1a"/>
          <w:rtl w:val="0"/>
        </w:rPr>
        <w:t xml:space="preserve">The data has no date column, but the rows are in time order: `month` runs from May to December, then wraps back to March twice. I split the rows at each wrap into three phases (7, 10 and 9 month blocks; Figure 1). Phase 1 averaged 3,954 calls a month at 4.8% success; phase 3 averaged 228 at 52.1%. Volume and success rate are negatively correlated across blocks (Spearman ρ = −0.67, p &lt; 0.001), so the highest monthly rates come from late, low-volume months.</w:t>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3435"/>
        <w:gridCol w:w="4500"/>
        <w:tblGridChange w:id="0">
          <w:tblGrid>
            <w:gridCol w:w="1080"/>
            <w:gridCol w:w="3435"/>
            <w:gridCol w:w="4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2E">
            <w:pPr>
              <w:spacing w:line="240" w:lineRule="auto"/>
              <w:rPr>
                <w:rFonts w:ascii="Calibri" w:cs="Calibri" w:eastAsia="Calibri" w:hAnsi="Calibri"/>
                <w:color w:val="1a1a1a"/>
                <w:sz w:val="17"/>
                <w:szCs w:val="17"/>
              </w:rPr>
            </w:pPr>
            <w:r w:rsidDel="00000000" w:rsidR="00000000" w:rsidRPr="00000000">
              <w:rPr>
                <w:rFonts w:ascii="Calibri" w:cs="Calibri" w:eastAsia="Calibri" w:hAnsi="Calibri"/>
                <w:b w:val="1"/>
                <w:bCs w:val="1"/>
                <w:color w:val="1a1a1a"/>
                <w:sz w:val="17"/>
                <w:szCs w:val="17"/>
                <w:rtl w:val="0"/>
              </w:rPr>
              <w:t xml:space="preserve">Issue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2F">
            <w:pPr>
              <w:spacing w:line="240" w:lineRule="auto"/>
              <w:rPr>
                <w:rFonts w:ascii="Calibri" w:cs="Calibri" w:eastAsia="Calibri" w:hAnsi="Calibri"/>
                <w:color w:val="1a1a1a"/>
                <w:sz w:val="17"/>
                <w:szCs w:val="17"/>
              </w:rPr>
            </w:pPr>
            <w:r w:rsidDel="00000000" w:rsidR="00000000" w:rsidRPr="00000000">
              <w:rPr>
                <w:rFonts w:ascii="Calibri" w:cs="Calibri" w:eastAsia="Calibri" w:hAnsi="Calibri"/>
                <w:b w:val="1"/>
                <w:bCs w:val="1"/>
                <w:color w:val="1a1a1a"/>
                <w:sz w:val="17"/>
                <w:szCs w:val="17"/>
                <w:rtl w:val="0"/>
              </w:rPr>
              <w:t xml:space="preserve">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30">
            <w:pPr>
              <w:spacing w:line="240" w:lineRule="auto"/>
              <w:rPr>
                <w:rFonts w:ascii="Calibri" w:cs="Calibri" w:eastAsia="Calibri" w:hAnsi="Calibri"/>
                <w:color w:val="1a1a1a"/>
                <w:sz w:val="17"/>
                <w:szCs w:val="17"/>
              </w:rPr>
            </w:pPr>
            <w:r w:rsidDel="00000000" w:rsidR="00000000" w:rsidRPr="00000000">
              <w:rPr>
                <w:rFonts w:ascii="Calibri" w:cs="Calibri" w:eastAsia="Calibri" w:hAnsi="Calibri"/>
                <w:b w:val="1"/>
                <w:bCs w:val="1"/>
                <w:color w:val="1a1a1a"/>
                <w:sz w:val="17"/>
                <w:szCs w:val="17"/>
                <w:rtl w:val="0"/>
              </w:rPr>
              <w:t xml:space="preserve">Treatment and reason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1">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File format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2">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Each row wrapped in quotes with doubled inner quotes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3">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Repaired before parsing, otherwise the file reads as a single column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4">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Dictionary mismatch</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5">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balance and day listed but absent; day_of_week present; pdays uses 999, not −1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6">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Used the actual columns, because only fields that exist can be analysed; differences documented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7">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Duplicates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8">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12 identical rows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9">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Removed, because identical rows add no information and count a customer twice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A">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Target leakage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B">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duration is known only after the call; CV AUC 0.93 with it vs 0.79 without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C">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Excluded, because the model must predict before the call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D">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pdays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E">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96.3% coded 999; 4,108 rows have previous &gt; 0 but pdays = 999</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F">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Dropped, because </w:t>
            </w:r>
            <w:r w:rsidDel="00000000" w:rsidR="00000000" w:rsidRPr="00000000">
              <w:rPr>
                <w:rFonts w:ascii="Calibri" w:cs="Calibri" w:eastAsia="Calibri" w:hAnsi="Calibri"/>
                <w:sz w:val="17"/>
                <w:szCs w:val="17"/>
                <w:rtl w:val="0"/>
              </w:rPr>
              <w:t xml:space="preserve">poutcome</w:t>
            </w:r>
            <w:r w:rsidDel="00000000" w:rsidR="00000000" w:rsidRPr="00000000">
              <w:rPr>
                <w:rFonts w:ascii="Calibri" w:cs="Calibri" w:eastAsia="Calibri" w:hAnsi="Calibri"/>
                <w:sz w:val="17"/>
                <w:szCs w:val="17"/>
                <w:rtl w:val="0"/>
              </w:rPr>
              <w:t xml:space="preserve"> carries the same history without the conflicting code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0">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default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1">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 'yes' (all non-subscribers), 8,595 'unknown'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2">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Binary flag </w:t>
            </w:r>
            <w:r w:rsidDel="00000000" w:rsidR="00000000" w:rsidRPr="00000000">
              <w:rPr>
                <w:rFonts w:ascii="Calibri" w:cs="Calibri" w:eastAsia="Calibri" w:hAnsi="Calibri"/>
                <w:sz w:val="17"/>
                <w:szCs w:val="17"/>
                <w:rtl w:val="0"/>
              </w:rPr>
              <w:t xml:space="preserve">default_unk</w:t>
            </w:r>
            <w:r w:rsidDel="00000000" w:rsidR="00000000" w:rsidRPr="00000000">
              <w:rPr>
                <w:rFonts w:ascii="Calibri" w:cs="Calibri" w:eastAsia="Calibri" w:hAnsi="Calibri"/>
                <w:sz w:val="17"/>
                <w:szCs w:val="17"/>
                <w:rtl w:val="0"/>
              </w:rPr>
              <w:t xml:space="preserve">, because 3 ‘yes’ rows are too few to estimate an effect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3">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housing, loan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4">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Same 990 'unknown' rows; no association (p = 0.06 and 0.58)</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5">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Excluded, because neither is associated with subscription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6">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Small category</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7">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education = illiterate, n = 18</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8">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Merged with basic.4y, because 18 customers are too few for a stable estimate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9">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Economic indicators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A">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VIF up to 64 (euribor3m, emp.var.rate, nr.employed)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B">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Kept </w:t>
            </w:r>
            <w:r w:rsidDel="00000000" w:rsidR="00000000" w:rsidRPr="00000000">
              <w:rPr>
                <w:rFonts w:ascii="Calibri" w:cs="Calibri" w:eastAsia="Calibri" w:hAnsi="Calibri"/>
                <w:sz w:val="17"/>
                <w:szCs w:val="17"/>
                <w:rtl w:val="0"/>
              </w:rPr>
              <w:t xml:space="preserve">nr.employed</w:t>
            </w:r>
            <w:r w:rsidDel="00000000" w:rsidR="00000000" w:rsidRPr="00000000">
              <w:rPr>
                <w:rFonts w:ascii="Calibri" w:cs="Calibri" w:eastAsia="Calibri" w:hAnsi="Calibri"/>
                <w:sz w:val="17"/>
                <w:szCs w:val="17"/>
                <w:rtl w:val="0"/>
              </w:rPr>
              <w:t xml:space="preserve">, </w:t>
            </w:r>
            <w:r w:rsidDel="00000000" w:rsidR="00000000" w:rsidRPr="00000000">
              <w:rPr>
                <w:rFonts w:ascii="Calibri" w:cs="Calibri" w:eastAsia="Calibri" w:hAnsi="Calibri"/>
                <w:sz w:val="17"/>
                <w:szCs w:val="17"/>
                <w:rtl w:val="0"/>
              </w:rPr>
              <w:t xml:space="preserve">cons.price.idx</w:t>
            </w:r>
            <w:r w:rsidDel="00000000" w:rsidR="00000000" w:rsidRPr="00000000">
              <w:rPr>
                <w:rFonts w:ascii="Calibri" w:cs="Calibri" w:eastAsia="Calibri" w:hAnsi="Calibri"/>
                <w:sz w:val="17"/>
                <w:szCs w:val="17"/>
                <w:rtl w:val="0"/>
              </w:rPr>
              <w:t xml:space="preserve">, </w:t>
            </w:r>
            <w:r w:rsidDel="00000000" w:rsidR="00000000" w:rsidRPr="00000000">
              <w:rPr>
                <w:rFonts w:ascii="Calibri" w:cs="Calibri" w:eastAsia="Calibri" w:hAnsi="Calibri"/>
                <w:sz w:val="17"/>
                <w:szCs w:val="17"/>
                <w:rtl w:val="0"/>
              </w:rPr>
              <w:t xml:space="preserve">cons.conf.idx</w:t>
            </w:r>
            <w:r w:rsidDel="00000000" w:rsidR="00000000" w:rsidRPr="00000000">
              <w:rPr>
                <w:rFonts w:ascii="Calibri" w:cs="Calibri" w:eastAsia="Calibri" w:hAnsi="Calibri"/>
                <w:sz w:val="17"/>
                <w:szCs w:val="17"/>
                <w:rtl w:val="0"/>
              </w:rPr>
              <w:t xml:space="preserve"> (VIF ≤ 1.4), because collinear predictors make coefficients unstable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C">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Class imbalance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D">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11.3% subscribed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E">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Stratified splits, PR-AUC and a tuned threshold, with no resampling, so predicted probabilities stay calibrated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F">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'unknown' values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0">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Informative: default unknown subscribes at 5.2% vs 12.9%</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1">
            <w:pPr>
              <w:spacing w:line="2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Kept as a separate level, because ‘unknown’ itself carries information </w:t>
            </w:r>
          </w:p>
        </w:tc>
      </w:tr>
    </w:tbl>
    <w:p w:rsidR="00000000" w:rsidDel="00000000" w:rsidP="00000000" w:rsidRDefault="00000000" w:rsidRPr="00000000" w14:paraId="00000052">
      <w:pPr>
        <w:keepNext w:val="1"/>
        <w:spacing w:after="80" w:before="160" w:line="240" w:lineRule="auto"/>
        <w:jc w:val="center"/>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Table 2. Data issues, treatment and reason </w:t>
      </w:r>
      <w:r w:rsidDel="00000000" w:rsidR="00000000" w:rsidRPr="00000000">
        <w:rPr>
          <w:rtl w:val="0"/>
        </w:rPr>
      </w:r>
    </w:p>
    <w:p w:rsidR="00000000" w:rsidDel="00000000" w:rsidP="00000000" w:rsidRDefault="00000000" w:rsidRPr="00000000" w14:paraId="00000053">
      <w:pPr>
        <w:keepNext w:val="1"/>
        <w:spacing w:after="60" w:before="120" w:line="240" w:lineRule="auto"/>
        <w:jc w:val="center"/>
        <w:rPr>
          <w:rFonts w:ascii="Calibri" w:cs="Calibri" w:eastAsia="Calibri" w:hAnsi="Calibri"/>
          <w:color w:val="1a1a1a"/>
        </w:rPr>
      </w:pPr>
      <w:r w:rsidDel="00000000" w:rsidR="00000000" w:rsidRPr="00000000">
        <w:rPr>
          <w:rFonts w:ascii="Calibri" w:cs="Calibri" w:eastAsia="Calibri" w:hAnsi="Calibri"/>
          <w:color w:val="1a1a1a"/>
        </w:rPr>
        <w:drawing>
          <wp:inline distB="0" distT="0" distL="0" distR="0">
            <wp:extent cx="4157663" cy="2270303"/>
            <wp:effectExtent b="0" l="0" r="0" t="0"/>
            <wp:docPr descr="Figure 1. Calls and subscription rate for the 26 month blocks, coloured by campaign phase" id="6" name="image6.png"/>
            <a:graphic>
              <a:graphicData uri="http://schemas.openxmlformats.org/drawingml/2006/picture">
                <pic:pic>
                  <pic:nvPicPr>
                    <pic:cNvPr descr="Figure 1. Calls and subscription rate for the 26 month blocks, coloured by campaign phase" id="0" name="image6.png"/>
                    <pic:cNvPicPr preferRelativeResize="0"/>
                  </pic:nvPicPr>
                  <pic:blipFill>
                    <a:blip r:embed="rId10"/>
                    <a:srcRect b="0" l="0" r="0" t="0"/>
                    <a:stretch>
                      <a:fillRect/>
                    </a:stretch>
                  </pic:blipFill>
                  <pic:spPr>
                    <a:xfrm>
                      <a:off x="0" y="0"/>
                      <a:ext cx="4157663" cy="227030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line="240" w:lineRule="auto"/>
        <w:jc w:val="center"/>
        <w:rPr>
          <w:rFonts w:ascii="Calibri" w:cs="Calibri" w:eastAsia="Calibri" w:hAnsi="Calibri"/>
        </w:rPr>
      </w:pPr>
      <w:r w:rsidDel="00000000" w:rsidR="00000000" w:rsidRPr="00000000">
        <w:rPr>
          <w:rFonts w:ascii="Calibri" w:cs="Calibri" w:eastAsia="Calibri" w:hAnsi="Calibri"/>
          <w:i w:val="1"/>
          <w:iCs w:val="1"/>
          <w:color w:val="555555"/>
          <w:sz w:val="19"/>
          <w:szCs w:val="19"/>
          <w:rtl w:val="0"/>
        </w:rPr>
        <w:t xml:space="preserve">Figure 1. Calls and subscription rate for the 26 month blocks, coloured by phase</w:t>
      </w:r>
      <w:r w:rsidDel="00000000" w:rsidR="00000000" w:rsidRPr="00000000">
        <w:rPr>
          <w:rtl w:val="0"/>
        </w:rPr>
      </w:r>
    </w:p>
    <w:p w:rsidR="00000000" w:rsidDel="00000000" w:rsidP="00000000" w:rsidRDefault="00000000" w:rsidRPr="00000000" w14:paraId="00000055">
      <w:pPr>
        <w:pStyle w:val="Heading1"/>
        <w:spacing w:after="160" w:line="240" w:lineRule="auto"/>
        <w:rPr/>
      </w:pPr>
      <w:bookmarkStart w:colFirst="0" w:colLast="0" w:name="_64znxeur549w" w:id="4"/>
      <w:bookmarkEnd w:id="4"/>
      <w:r w:rsidDel="00000000" w:rsidR="00000000" w:rsidRPr="00000000">
        <w:rPr>
          <w:rtl w:val="0"/>
        </w:rPr>
        <w:t xml:space="preserve">Methodology</w:t>
      </w:r>
    </w:p>
    <w:p w:rsidR="00000000" w:rsidDel="00000000" w:rsidP="00000000" w:rsidRDefault="00000000" w:rsidRPr="00000000" w14:paraId="00000056">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I split the data 80/20 into training (n = 32,934) and test (n = 8,234) sets, stratified by the target, and used only the training set for selection and tuning.</w:t>
      </w:r>
    </w:p>
    <w:p w:rsidR="00000000" w:rsidDel="00000000" w:rsidP="00000000" w:rsidRDefault="00000000" w:rsidRPr="00000000" w14:paraId="00000057">
      <w:pPr>
        <w:spacing w:after="140" w:line="276" w:lineRule="auto"/>
        <w:rPr/>
      </w:pPr>
      <w:r w:rsidDel="00000000" w:rsidR="00000000" w:rsidRPr="00000000">
        <w:rPr>
          <w:rFonts w:ascii="Calibri" w:cs="Calibri" w:eastAsia="Calibri" w:hAnsi="Calibri"/>
          <w:color w:val="1a1a1a"/>
          <w:rtl w:val="0"/>
        </w:rPr>
        <w:t xml:space="preserve">The parametric model is a logistic regression whose coefficients maximise the log-likelihood (maximum likelihood estimation). Its negative log-likelihood is convex, so the estimate is the global optimum.</w:t>
      </w:r>
      <w:commentRangeStart w:id="2"/>
      <w:r w:rsidDel="00000000" w:rsidR="00000000" w:rsidRPr="00000000">
        <w:rPr>
          <w:rFonts w:ascii="Calibri" w:cs="Calibri" w:eastAsia="Calibri" w:hAnsi="Calibri"/>
          <w:color w:val="1a1a1a"/>
          <w:rtl w:val="0"/>
        </w:rPr>
        <w:t xml:space="preserve"> I added predictors in four blocks and compared nested models with LRTs, AIC and BIC </w:t>
      </w:r>
      <w:commentRangeEnd w:id="2"/>
      <w:r w:rsidDel="00000000" w:rsidR="00000000" w:rsidRPr="00000000">
        <w:commentReference w:id="2"/>
      </w:r>
      <w:r w:rsidDel="00000000" w:rsidR="00000000" w:rsidRPr="00000000">
        <w:rPr>
          <w:rFonts w:ascii="Calibri" w:cs="Calibri" w:eastAsia="Calibri" w:hAnsi="Calibri"/>
          <w:color w:val="1a1a1a"/>
          <w:rtl w:val="0"/>
        </w:rPr>
        <w:t xml:space="preserve">(Appendix B). </w:t>
      </w:r>
      <w:commentRangeStart w:id="3"/>
      <w:r w:rsidDel="00000000" w:rsidR="00000000" w:rsidRPr="00000000">
        <w:rPr>
          <w:rFonts w:ascii="Calibri" w:cs="Calibri" w:eastAsia="Calibri" w:hAnsi="Calibri"/>
          <w:color w:val="1a1a1a"/>
          <w:rtl w:val="0"/>
        </w:rPr>
        <w:t xml:space="preserve">Age enters as six groups</w:t>
      </w:r>
      <w:commentRangeEnd w:id="3"/>
      <w:r w:rsidDel="00000000" w:rsidR="00000000" w:rsidRPr="00000000">
        <w:commentReference w:id="3"/>
      </w:r>
      <w:r w:rsidDel="00000000" w:rsidR="00000000" w:rsidRPr="00000000">
        <w:rPr>
          <w:rFonts w:ascii="Calibri" w:cs="Calibri" w:eastAsia="Calibri" w:hAnsi="Calibri"/>
          <w:color w:val="1a1a1a"/>
          <w:rtl w:val="0"/>
        </w:rPr>
        <w:t xml:space="preserve"> because a quadratic term confirmed a U-shape (LRT p &lt; 0.001). The largest variance inflation factor is 3.3.</w:t>
      </w:r>
      <w:r w:rsidDel="00000000" w:rsidR="00000000" w:rsidRPr="00000000">
        <w:rPr>
          <w:rtl w:val="0"/>
        </w:rPr>
      </w:r>
    </w:p>
    <w:p w:rsidR="00000000" w:rsidDel="00000000" w:rsidP="00000000" w:rsidRDefault="00000000" w:rsidRPr="00000000" w14:paraId="00000058">
      <w:pPr>
        <w:spacing w:after="140" w:line="276" w:lineRule="auto"/>
        <w:rPr/>
      </w:pPr>
      <w:r w:rsidDel="00000000" w:rsidR="00000000" w:rsidRPr="00000000">
        <w:rPr>
          <w:rFonts w:ascii="Calibri" w:cs="Calibri" w:eastAsia="Calibri" w:hAnsi="Calibri"/>
          <w:color w:val="1a1a1a"/>
          <w:rtl w:val="0"/>
        </w:rPr>
        <w:t xml:space="preserve">The non-parametric models use the same predictors, so accuracy differences come from model form. Each was tuned by grid search with 5-fold stratified cross-validation (CV) on ROC-AUC, because the business task is ranking.</w:t>
      </w:r>
      <w:r w:rsidDel="00000000" w:rsidR="00000000" w:rsidRPr="00000000">
        <w:rPr>
          <w:rtl w:val="0"/>
        </w:rPr>
      </w:r>
    </w:p>
    <w:p w:rsidR="00000000" w:rsidDel="00000000" w:rsidP="00000000" w:rsidRDefault="00000000" w:rsidRPr="00000000" w14:paraId="00000059">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The second method is Bayesian estimation: the posterior is proportional to the likelihood times the prior. Segment rates use a Beta prior and Binomial likelihood. I also refitted M4 with Normal(0, 2.5²) priors and sampled its posterior with Metropolis-Hastings MCMC, checking trace plots, autocorrelation, R-hat and effective sample size (ESS; Gelman et al., 2013). Table 3 gives each model's settings. A 1,000-resample bootstrap tests the AUC difference, and a temporal test trains on phases 1 and 2 and predicts phase 3.</w:t>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
        <w:gridCol w:w="2141"/>
        <w:gridCol w:w="3606"/>
        <w:gridCol w:w="1803"/>
        <w:tblGridChange w:id="0">
          <w:tblGrid>
            <w:gridCol w:w="1465"/>
            <w:gridCol w:w="2141"/>
            <w:gridCol w:w="3606"/>
            <w:gridCol w:w="180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B">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Type and 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C">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Configuration and tuning grid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D">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Selected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Logistic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Parametric. Binary outcome; coefficients give odds ratios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MLE (statsmodels). Blocks: profile, contact history, economy, timing. </w:t>
            </w:r>
            <w:r w:rsidDel="00000000" w:rsidR="00000000" w:rsidRPr="00000000">
              <w:rPr>
                <w:rFonts w:ascii="Consolas" w:cs="Consolas" w:eastAsia="Consolas" w:hAnsi="Consolas"/>
                <w:color w:val="1a1a1a"/>
                <w:sz w:val="15"/>
                <w:szCs w:val="15"/>
                <w:rtl w:val="0"/>
              </w:rPr>
              <w:t xml:space="preserve">nr.employed</w:t>
            </w:r>
            <w:r w:rsidDel="00000000" w:rsidR="00000000" w:rsidRPr="00000000">
              <w:rPr>
                <w:rFonts w:ascii="Calibri" w:cs="Calibri" w:eastAsia="Calibri" w:hAnsi="Calibri"/>
                <w:color w:val="1a1a1a"/>
                <w:sz w:val="17"/>
                <w:szCs w:val="17"/>
                <w:rtl w:val="0"/>
              </w:rPr>
              <w:t xml:space="preserve"> chosen over </w:t>
            </w:r>
            <w:r w:rsidDel="00000000" w:rsidR="00000000" w:rsidRPr="00000000">
              <w:rPr>
                <w:rFonts w:ascii="Consolas" w:cs="Consolas" w:eastAsia="Consolas" w:hAnsi="Consolas"/>
                <w:color w:val="1a1a1a"/>
                <w:sz w:val="15"/>
                <w:szCs w:val="15"/>
                <w:rtl w:val="0"/>
              </w:rPr>
              <w:t xml:space="preserve">euribor3m</w:t>
            </w:r>
            <w:r w:rsidDel="00000000" w:rsidR="00000000" w:rsidRPr="00000000">
              <w:rPr>
                <w:rFonts w:ascii="Calibri" w:cs="Calibri" w:eastAsia="Calibri" w:hAnsi="Calibri"/>
                <w:color w:val="1a1a1a"/>
                <w:sz w:val="17"/>
                <w:szCs w:val="17"/>
                <w:rtl w:val="0"/>
              </w:rPr>
              <w:t xml:space="preserve"> (AIC 18,484 vs 18,504)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Model M4, 47 parameters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KNN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Non-parametric. No functional form; similar customers behave alike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One-hot and standardised inputs. k: 100, 200, 400, 800, 1,600; uniform or distance weights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k = 800, uniform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Decision tree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Non-parametric. Readable segment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Depth: 4, 6, 8, 10. Minimum leaf: 50, 100, 200, 400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Depth 6, leaf 100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Gradient boosting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Non-parametric. Learns interactions and curves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Learning rate 0.05, 0.1; depth 2, 3, 5; leaf 100, 300, 1,000; L2 1, 10, 30; early stopping after 30 rounds (max 1,000 trees)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Rate 0.1, depth 3, leaf 300, L2 30, 535 trees. All 54 settings within 0.005 CV AUC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Beta-Binomial (Bayesian)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Bayesian estimation. Uncertainty for small segments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Prior Beta(2.25, 17.75): mean 11.3%, weight of 20 customers. Sensitivity prior Beta(1,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Posterior mean and 95% credible interval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Bayesian logistic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Bayesian estimation. Posterior for the 47 coefficients of M4; no closed form, so MCMC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Normal(0, 2.5²) priors on standardised predictors. Random-walk Metropolis-Hastings, 4 chains × 60,000 iterations, burn-in 5,000, thin 50. Sensitivity prior Normal(0, 0.5²)</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Largest R-hat 1.003; smallest ESS 1,199 of 4,400 draws</w:t>
            </w:r>
            <w:r w:rsidDel="00000000" w:rsidR="00000000" w:rsidRPr="00000000">
              <w:rPr>
                <w:rtl w:val="0"/>
              </w:rPr>
            </w:r>
          </w:p>
        </w:tc>
      </w:tr>
    </w:tbl>
    <w:p w:rsidR="00000000" w:rsidDel="00000000" w:rsidP="00000000" w:rsidRDefault="00000000" w:rsidRPr="00000000" w14:paraId="00000076">
      <w:pPr>
        <w:keepNext w:val="1"/>
        <w:spacing w:after="80" w:before="160" w:line="240" w:lineRule="auto"/>
        <w:jc w:val="center"/>
        <w:rPr>
          <w:rFonts w:ascii="Calibri" w:cs="Calibri" w:eastAsia="Calibri" w:hAnsi="Calibri"/>
          <w:i w:val="1"/>
          <w:iCs w:val="1"/>
          <w:color w:val="555555"/>
          <w:sz w:val="17"/>
          <w:szCs w:val="17"/>
        </w:rPr>
      </w:pPr>
      <w:r w:rsidDel="00000000" w:rsidR="00000000" w:rsidRPr="00000000">
        <w:rPr>
          <w:rFonts w:ascii="Calibri" w:cs="Calibri" w:eastAsia="Calibri" w:hAnsi="Calibri"/>
          <w:i w:val="1"/>
          <w:iCs w:val="1"/>
          <w:color w:val="555555"/>
          <w:sz w:val="19"/>
          <w:szCs w:val="19"/>
          <w:rtl w:val="0"/>
        </w:rPr>
        <w:t xml:space="preserve">Table 3. Model choice, configuration and training</w:t>
      </w:r>
      <w:r w:rsidDel="00000000" w:rsidR="00000000" w:rsidRPr="00000000">
        <w:rPr>
          <w:rtl w:val="0"/>
        </w:rPr>
      </w:r>
    </w:p>
    <w:p w:rsidR="00000000" w:rsidDel="00000000" w:rsidP="00000000" w:rsidRDefault="00000000" w:rsidRPr="00000000" w14:paraId="00000077">
      <w:pPr>
        <w:spacing w:after="200" w:before="60" w:line="240" w:lineRule="auto"/>
        <w:rPr/>
      </w:pPr>
      <w:r w:rsidDel="00000000" w:rsidR="00000000" w:rsidRPr="00000000">
        <w:rPr>
          <w:rFonts w:ascii="Calibri" w:cs="Calibri" w:eastAsia="Calibri" w:hAnsi="Calibri"/>
          <w:i w:val="1"/>
          <w:iCs w:val="1"/>
          <w:color w:val="555555"/>
          <w:sz w:val="17"/>
          <w:szCs w:val="17"/>
          <w:rtl w:val="0"/>
        </w:rPr>
        <w:t xml:space="preserve">Note. All classifiers: 5-fold stratified CV on the training set, ROC-AUC scoring, F1-optimal threshold from out-of-fold predictions, random seed 42.</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rFonts w:ascii="Calibri" w:cs="Calibri" w:eastAsia="Calibri" w:hAnsi="Calibri"/>
        </w:rPr>
      </w:pPr>
      <w:bookmarkStart w:colFirst="0" w:colLast="0" w:name="_2kp3bpyioye5" w:id="5"/>
      <w:bookmarkEnd w:id="5"/>
      <w:r w:rsidDel="00000000" w:rsidR="00000000" w:rsidRPr="00000000">
        <w:rPr>
          <w:rFonts w:ascii="Calibri" w:cs="Calibri" w:eastAsia="Calibri" w:hAnsi="Calibri"/>
          <w:rtl w:val="0"/>
        </w:rPr>
        <w:t xml:space="preserve">Results</w:t>
      </w:r>
    </w:p>
    <w:p w:rsidR="00000000" w:rsidDel="00000000" w:rsidP="00000000" w:rsidRDefault="00000000" w:rsidRPr="00000000" w14:paraId="0000007C">
      <w:pPr>
        <w:pStyle w:val="Heading2"/>
        <w:rPr>
          <w:rFonts w:ascii="Calibri" w:cs="Calibri" w:eastAsia="Calibri" w:hAnsi="Calibri"/>
        </w:rPr>
      </w:pPr>
      <w:bookmarkStart w:colFirst="0" w:colLast="0" w:name="_jhqlvnd5t07b" w:id="6"/>
      <w:bookmarkEnd w:id="6"/>
      <w:r w:rsidDel="00000000" w:rsidR="00000000" w:rsidRPr="00000000">
        <w:rPr>
          <w:rFonts w:ascii="Calibri" w:cs="Calibri" w:eastAsia="Calibri" w:hAnsi="Calibri"/>
          <w:rtl w:val="0"/>
        </w:rPr>
        <w:t xml:space="preserve">Model comparison</w:t>
      </w:r>
    </w:p>
    <w:p w:rsidR="00000000" w:rsidDel="00000000" w:rsidP="00000000" w:rsidRDefault="00000000" w:rsidRPr="00000000" w14:paraId="0000007D">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All four models rank customers well (Table 4, Figure 2): test ROC-AUC is 0.797 to 0.807, and PR-AUC is about four times the no-skill value of 0.113. Gradient boosting leads logistic regression in CV by 0.008 AUC (paired t-test p = 0.013), but the 95% bootstrap CI for the test difference includes zero (−0.0003 to 0.015). The top 20% ranked by either model hold 65% to 66% of subscribers (Figure 3).</w:t>
      </w:r>
    </w:p>
    <w:p w:rsidR="00000000" w:rsidDel="00000000" w:rsidP="00000000" w:rsidRDefault="00000000" w:rsidRPr="00000000" w14:paraId="0000007E">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On phase 3, where </w:t>
      </w:r>
      <w:r w:rsidDel="00000000" w:rsidR="00000000" w:rsidRPr="00000000">
        <w:rPr>
          <w:rFonts w:ascii="Consolas" w:cs="Consolas" w:eastAsia="Consolas" w:hAnsi="Consolas"/>
          <w:color w:val="1a1a1a"/>
          <w:sz w:val="20"/>
          <w:szCs w:val="20"/>
          <w:rtl w:val="0"/>
        </w:rPr>
        <w:t xml:space="preserve">nr.employed</w:t>
      </w:r>
      <w:r w:rsidDel="00000000" w:rsidR="00000000" w:rsidRPr="00000000">
        <w:rPr>
          <w:rFonts w:ascii="Calibri" w:cs="Calibri" w:eastAsia="Calibri" w:hAnsi="Calibri"/>
          <w:color w:val="1a1a1a"/>
          <w:rtl w:val="0"/>
        </w:rPr>
        <w:t xml:space="preserve"> falls below every training value, AUC drops </w:t>
      </w:r>
      <w:commentRangeStart w:id="4"/>
      <w:r w:rsidDel="00000000" w:rsidR="00000000" w:rsidRPr="00000000">
        <w:rPr>
          <w:rFonts w:ascii="Calibri" w:cs="Calibri" w:eastAsia="Calibri" w:hAnsi="Calibri"/>
          <w:color w:val="1a1a1a"/>
          <w:rtl w:val="0"/>
        </w:rPr>
        <w:t xml:space="preserve">to 0.60 to 0.70.</w:t>
      </w:r>
      <w:commentRangeEnd w:id="4"/>
      <w:r w:rsidDel="00000000" w:rsidR="00000000" w:rsidRPr="00000000">
        <w:commentReference w:id="4"/>
      </w:r>
      <w:r w:rsidDel="00000000" w:rsidR="00000000" w:rsidRPr="00000000">
        <w:rPr>
          <w:rFonts w:ascii="Calibri" w:cs="Calibri" w:eastAsia="Calibri" w:hAnsi="Calibri"/>
          <w:color w:val="1a1a1a"/>
          <w:rtl w:val="0"/>
        </w:rPr>
        <w:t xml:space="preserve"> Models using only customer and contact variables reach 0.70, so customer patterns transfer and economic patterns do not.</w:t>
      </w:r>
    </w:p>
    <w:p w:rsidR="00000000" w:rsidDel="00000000" w:rsidP="00000000" w:rsidRDefault="00000000" w:rsidRPr="00000000" w14:paraId="0000007F">
      <w:pPr>
        <w:keepNext w:val="1"/>
        <w:spacing w:after="80" w:before="16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Table 4. Model performance (CV on training set; test set n = 8,234; phase-3 test n = 2,054)</w:t>
      </w:r>
      <w:r w:rsidDel="00000000" w:rsidR="00000000" w:rsidRPr="00000000">
        <w:rPr>
          <w:rtl w:val="0"/>
        </w:rPr>
      </w:r>
    </w:p>
    <w:tbl>
      <w:tblPr>
        <w:tblStyle w:val="Table4"/>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8"/>
        <w:gridCol w:w="1002"/>
        <w:gridCol w:w="1002"/>
        <w:gridCol w:w="783"/>
        <w:gridCol w:w="783"/>
        <w:gridCol w:w="783"/>
        <w:gridCol w:w="689"/>
        <w:gridCol w:w="626"/>
        <w:gridCol w:w="876"/>
        <w:gridCol w:w="845"/>
        <w:tblGridChange w:id="0">
          <w:tblGrid>
            <w:gridCol w:w="1628"/>
            <w:gridCol w:w="1002"/>
            <w:gridCol w:w="1002"/>
            <w:gridCol w:w="783"/>
            <w:gridCol w:w="783"/>
            <w:gridCol w:w="783"/>
            <w:gridCol w:w="689"/>
            <w:gridCol w:w="626"/>
            <w:gridCol w:w="876"/>
            <w:gridCol w:w="845"/>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0">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6"/>
                <w:szCs w:val="16"/>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1">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6"/>
                <w:szCs w:val="16"/>
                <w:rtl w:val="0"/>
              </w:rPr>
              <w:t xml:space="preserve">CV ROC-AUC (sd)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2">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6"/>
                <w:szCs w:val="16"/>
                <w:rtl w:val="0"/>
              </w:rPr>
              <w:t xml:space="preserve">CV PR-AUC (sd)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3">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6"/>
                <w:szCs w:val="16"/>
                <w:rtl w:val="0"/>
              </w:rPr>
              <w:t xml:space="preserve">Test ROC-AUC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4">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6"/>
                <w:szCs w:val="16"/>
                <w:rtl w:val="0"/>
              </w:rPr>
              <w:t xml:space="preserve">Test PR-AUC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5">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6"/>
                <w:szCs w:val="16"/>
                <w:rtl w:val="0"/>
              </w:rPr>
              <w:t xml:space="preserve">Precision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6">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6"/>
                <w:szCs w:val="16"/>
                <w:rtl w:val="0"/>
              </w:rPr>
              <w:t xml:space="preserve">Recall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7">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6"/>
                <w:szCs w:val="16"/>
                <w:rtl w:val="0"/>
              </w:rPr>
              <w:t xml:space="preserve">F1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8">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6"/>
                <w:szCs w:val="16"/>
                <w:rtl w:val="0"/>
              </w:rPr>
              <w:t xml:space="preserve">Top-20% capture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9">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6"/>
                <w:szCs w:val="16"/>
                <w:rtl w:val="0"/>
              </w:rPr>
              <w:t xml:space="preserve">Phase-3 ROC-AUC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Logistic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0.784 (0.011)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0.439 (0.017)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0.462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0.448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0.586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0.508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0.674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KNN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0.783 (0.008)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0.407 (0.018)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0.434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0.450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0.577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0.506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0.602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Decision tree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0.780 (0.010)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0.427 (0.021)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0.450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0.464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0.586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0.518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0.697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Gradient boosting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0.792 (0.008)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0.455 (0.022)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0.477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0.472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0.591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0.525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0.647</w:t>
            </w:r>
            <w:r w:rsidDel="00000000" w:rsidR="00000000" w:rsidRPr="00000000">
              <w:rPr>
                <w:rtl w:val="0"/>
              </w:rPr>
            </w:r>
          </w:p>
        </w:tc>
      </w:tr>
    </w:tbl>
    <w:p w:rsidR="00000000" w:rsidDel="00000000" w:rsidP="00000000" w:rsidRDefault="00000000" w:rsidRPr="00000000" w14:paraId="000000B2">
      <w:pPr>
        <w:spacing w:after="200" w:before="6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7"/>
          <w:szCs w:val="17"/>
          <w:rtl w:val="0"/>
        </w:rPr>
        <w:t xml:space="preserve">Note. Phase-3 models were trained on phases 1 and 2. Customer and contact variables only: logistic regression 0.697, gradient boosting 0.698.</w:t>
      </w:r>
      <w:r w:rsidDel="00000000" w:rsidR="00000000" w:rsidRPr="00000000">
        <w:rPr>
          <w:rtl w:val="0"/>
        </w:rPr>
      </w:r>
    </w:p>
    <w:p w:rsidR="00000000" w:rsidDel="00000000" w:rsidP="00000000" w:rsidRDefault="00000000" w:rsidRPr="00000000" w14:paraId="000000B3">
      <w:pPr>
        <w:keepNext w:val="1"/>
        <w:spacing w:after="60" w:before="120" w:line="240" w:lineRule="auto"/>
        <w:jc w:val="center"/>
        <w:rPr>
          <w:rFonts w:ascii="Calibri" w:cs="Calibri" w:eastAsia="Calibri" w:hAnsi="Calibri"/>
          <w:color w:val="1a1a1a"/>
        </w:rPr>
      </w:pPr>
      <w:r w:rsidDel="00000000" w:rsidR="00000000" w:rsidRPr="00000000">
        <w:rPr>
          <w:rFonts w:ascii="Calibri" w:cs="Calibri" w:eastAsia="Calibri" w:hAnsi="Calibri"/>
          <w:color w:val="1a1a1a"/>
        </w:rPr>
        <w:drawing>
          <wp:inline distB="0" distT="0" distL="0" distR="0">
            <wp:extent cx="5724525" cy="2438400"/>
            <wp:effectExtent b="0" l="0" r="0" t="0"/>
            <wp:docPr descr="Figure 2. ROC and precision-recall curves on the test set" id="2" name="image4.png"/>
            <a:graphic>
              <a:graphicData uri="http://schemas.openxmlformats.org/drawingml/2006/picture">
                <pic:pic>
                  <pic:nvPicPr>
                    <pic:cNvPr descr="Figure 2. ROC and precision-recall curves on the test set" id="0" name="image4.png"/>
                    <pic:cNvPicPr preferRelativeResize="0"/>
                  </pic:nvPicPr>
                  <pic:blipFill>
                    <a:blip r:embed="rId11"/>
                    <a:srcRect b="0" l="0" r="0" t="0"/>
                    <a:stretch>
                      <a:fillRect/>
                    </a:stretch>
                  </pic:blipFill>
                  <pic:spPr>
                    <a:xfrm>
                      <a:off x="0" y="0"/>
                      <a:ext cx="572452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Figure 2. ROC and precision-recall curves on the test set</w:t>
      </w:r>
      <w:r w:rsidDel="00000000" w:rsidR="00000000" w:rsidRPr="00000000">
        <w:rPr>
          <w:rtl w:val="0"/>
        </w:rPr>
      </w:r>
    </w:p>
    <w:p w:rsidR="00000000" w:rsidDel="00000000" w:rsidP="00000000" w:rsidRDefault="00000000" w:rsidRPr="00000000" w14:paraId="000000B5">
      <w:pPr>
        <w:keepNext w:val="1"/>
        <w:spacing w:after="60" w:before="120" w:line="240" w:lineRule="auto"/>
        <w:jc w:val="center"/>
        <w:rPr>
          <w:rFonts w:ascii="Calibri" w:cs="Calibri" w:eastAsia="Calibri" w:hAnsi="Calibri"/>
          <w:color w:val="1a1a1a"/>
        </w:rPr>
      </w:pPr>
      <w:r w:rsidDel="00000000" w:rsidR="00000000" w:rsidRPr="00000000">
        <w:rPr>
          <w:rFonts w:ascii="Calibri" w:cs="Calibri" w:eastAsia="Calibri" w:hAnsi="Calibri"/>
          <w:color w:val="1a1a1a"/>
        </w:rPr>
        <w:drawing>
          <wp:inline distB="0" distT="0" distL="0" distR="0">
            <wp:extent cx="4143375" cy="3076575"/>
            <wp:effectExtent b="0" l="0" r="0" t="0"/>
            <wp:docPr descr="Figure 3. Cumulative gains: share of subscribers reached by calling the top-ranked customers" id="4" name="image3.png"/>
            <a:graphic>
              <a:graphicData uri="http://schemas.openxmlformats.org/drawingml/2006/picture">
                <pic:pic>
                  <pic:nvPicPr>
                    <pic:cNvPr descr="Figure 3. Cumulative gains: share of subscribers reached by calling the top-ranked customers" id="0" name="image3.png"/>
                    <pic:cNvPicPr preferRelativeResize="0"/>
                  </pic:nvPicPr>
                  <pic:blipFill>
                    <a:blip r:embed="rId12"/>
                    <a:srcRect b="0" l="0" r="0" t="0"/>
                    <a:stretch>
                      <a:fillRect/>
                    </a:stretch>
                  </pic:blipFill>
                  <pic:spPr>
                    <a:xfrm>
                      <a:off x="0" y="0"/>
                      <a:ext cx="4143375"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Figure 3. Cumulative gains: share of subscribers reached by calling the top-ranked customers</w:t>
      </w:r>
      <w:r w:rsidDel="00000000" w:rsidR="00000000" w:rsidRPr="00000000">
        <w:rPr>
          <w:rtl w:val="0"/>
        </w:rPr>
      </w:r>
    </w:p>
    <w:p w:rsidR="00000000" w:rsidDel="00000000" w:rsidP="00000000" w:rsidRDefault="00000000" w:rsidRPr="00000000" w14:paraId="000000B7">
      <w:pPr>
        <w:rPr>
          <w:rFonts w:ascii="Calibri" w:cs="Calibri" w:eastAsia="Calibri" w:hAnsi="Calibri"/>
        </w:rPr>
      </w:pPr>
      <w:r w:rsidDel="00000000" w:rsidR="00000000" w:rsidRPr="00000000">
        <w:rPr>
          <w:rtl w:val="0"/>
        </w:rPr>
      </w:r>
    </w:p>
    <w:p w:rsidR="00000000" w:rsidDel="00000000" w:rsidP="00000000" w:rsidRDefault="00000000" w:rsidRPr="00000000" w14:paraId="000000B8">
      <w:pPr>
        <w:pStyle w:val="Heading2"/>
        <w:rPr>
          <w:rFonts w:ascii="Calibri" w:cs="Calibri" w:eastAsia="Calibri" w:hAnsi="Calibri"/>
        </w:rPr>
      </w:pPr>
      <w:bookmarkStart w:colFirst="0" w:colLast="0" w:name="_j4cwxpgq95ak" w:id="7"/>
      <w:bookmarkEnd w:id="7"/>
      <w:r w:rsidDel="00000000" w:rsidR="00000000" w:rsidRPr="00000000">
        <w:rPr>
          <w:rFonts w:ascii="Calibri" w:cs="Calibri" w:eastAsia="Calibri" w:hAnsi="Calibri"/>
          <w:rtl w:val="0"/>
        </w:rPr>
        <w:t xml:space="preserve">Parametric estimates</w:t>
      </w:r>
    </w:p>
    <w:p w:rsidR="00000000" w:rsidDel="00000000" w:rsidP="00000000" w:rsidRDefault="00000000" w:rsidRPr="00000000" w14:paraId="000000B9">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Figure 4 shows adjusted odds ratios (OR) from the final model, M4. A previous success raises the odds 3.68 times (95% CI 3.17 to 4.29). A previous failure lowers them (OR 0.63) although its raw rate is higher (14.2% vs 8.8%), because 84% of previous failures were called in phases 2 and 3. Telephone contact cuts the odds by 38% (OR 0.62), and each doubling of call attempts cuts them by 7% (OR 0.93).</w:t>
      </w:r>
    </w:p>
    <w:p w:rsidR="00000000" w:rsidDel="00000000" w:rsidP="00000000" w:rsidRDefault="00000000" w:rsidRPr="00000000" w14:paraId="000000BA">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Compared with ages 35-44, the odds are 1.48 times higher at 65+ and 1.30 times higher at 17-24. With age in the model, the student and retired effects are not significant (p = 0.25 and 0.18), so the AT1 job finding is mainly an age effect. Neither interaction (contact × previous outcome, contact × age group) improved the model (LRT p = 0.94, 0.20).</w:t>
      </w:r>
    </w:p>
    <w:p w:rsidR="00000000" w:rsidDel="00000000" w:rsidP="00000000" w:rsidRDefault="00000000" w:rsidRPr="00000000" w14:paraId="000000BB">
      <w:pPr>
        <w:rPr>
          <w:rFonts w:ascii="Calibri" w:cs="Calibri" w:eastAsia="Calibri" w:hAnsi="Calibri"/>
        </w:rPr>
      </w:pPr>
      <w:r w:rsidDel="00000000" w:rsidR="00000000" w:rsidRPr="00000000">
        <w:rPr>
          <w:rtl w:val="0"/>
        </w:rPr>
      </w:r>
    </w:p>
    <w:p w:rsidR="00000000" w:rsidDel="00000000" w:rsidP="00000000" w:rsidRDefault="00000000" w:rsidRPr="00000000" w14:paraId="000000BC">
      <w:pPr>
        <w:keepNext w:val="1"/>
        <w:spacing w:after="60" w:before="120" w:line="240" w:lineRule="auto"/>
        <w:jc w:val="center"/>
        <w:rPr>
          <w:rFonts w:ascii="Calibri" w:cs="Calibri" w:eastAsia="Calibri" w:hAnsi="Calibri"/>
          <w:color w:val="1a1a1a"/>
        </w:rPr>
      </w:pPr>
      <w:r w:rsidDel="00000000" w:rsidR="00000000" w:rsidRPr="00000000">
        <w:rPr>
          <w:rFonts w:ascii="Calibri" w:cs="Calibri" w:eastAsia="Calibri" w:hAnsi="Calibri"/>
          <w:color w:val="1a1a1a"/>
        </w:rPr>
        <w:drawing>
          <wp:inline distB="0" distT="0" distL="0" distR="0">
            <wp:extent cx="5400675" cy="2952750"/>
            <wp:effectExtent b="0" l="0" r="0" t="0"/>
            <wp:docPr descr="Figure 4. Selected adjusted odds ratios from logistic model M4 (reference levels: age 35-44, admin., cellular, never contacted, May, Friday)" id="3" name="image1.png"/>
            <a:graphic>
              <a:graphicData uri="http://schemas.openxmlformats.org/drawingml/2006/picture">
                <pic:pic>
                  <pic:nvPicPr>
                    <pic:cNvPr descr="Figure 4. Selected adjusted odds ratios from logistic model M4 (reference levels: age 35-44, admin., cellular, never contacted, May, Friday)" id="0" name="image1.png"/>
                    <pic:cNvPicPr preferRelativeResize="0"/>
                  </pic:nvPicPr>
                  <pic:blipFill>
                    <a:blip r:embed="rId13"/>
                    <a:srcRect b="0" l="0" r="0" t="0"/>
                    <a:stretch>
                      <a:fillRect/>
                    </a:stretch>
                  </pic:blipFill>
                  <pic:spPr>
                    <a:xfrm>
                      <a:off x="0" y="0"/>
                      <a:ext cx="540067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Figure 4. Selected adjusted odds ratios from logistic model M4 (reference levels: age 35-44, admin., cellular, never contacted, May, Friday)</w:t>
      </w:r>
      <w:r w:rsidDel="00000000" w:rsidR="00000000" w:rsidRPr="00000000">
        <w:rPr>
          <w:rtl w:val="0"/>
        </w:rPr>
      </w:r>
    </w:p>
    <w:p w:rsidR="00000000" w:rsidDel="00000000" w:rsidP="00000000" w:rsidRDefault="00000000" w:rsidRPr="00000000" w14:paraId="000000BE">
      <w:pPr>
        <w:pStyle w:val="Heading2"/>
        <w:rPr>
          <w:rFonts w:ascii="Calibri" w:cs="Calibri" w:eastAsia="Calibri" w:hAnsi="Calibri"/>
        </w:rPr>
      </w:pPr>
      <w:bookmarkStart w:colFirst="0" w:colLast="0" w:name="_ohtgei3tqnj4" w:id="8"/>
      <w:bookmarkEnd w:id="8"/>
      <w:r w:rsidDel="00000000" w:rsidR="00000000" w:rsidRPr="00000000">
        <w:rPr>
          <w:rFonts w:ascii="Calibri" w:cs="Calibri" w:eastAsia="Calibri" w:hAnsi="Calibri"/>
          <w:rtl w:val="0"/>
        </w:rPr>
        <w:t xml:space="preserve">Non-parametric findings</w:t>
      </w:r>
    </w:p>
    <w:p w:rsidR="00000000" w:rsidDel="00000000" w:rsidP="00000000" w:rsidRDefault="00000000" w:rsidRPr="00000000" w14:paraId="000000BF">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Permutation importance ranks </w:t>
      </w:r>
      <w:r w:rsidDel="00000000" w:rsidR="00000000" w:rsidRPr="00000000">
        <w:rPr>
          <w:rFonts w:ascii="Consolas" w:cs="Consolas" w:eastAsia="Consolas" w:hAnsi="Consolas"/>
          <w:color w:val="1a1a1a"/>
          <w:sz w:val="20"/>
          <w:szCs w:val="20"/>
          <w:rtl w:val="0"/>
        </w:rPr>
        <w:t xml:space="preserve">nr.employed</w:t>
      </w:r>
      <w:r w:rsidDel="00000000" w:rsidR="00000000" w:rsidRPr="00000000">
        <w:rPr>
          <w:rFonts w:ascii="Calibri" w:cs="Calibri" w:eastAsia="Calibri" w:hAnsi="Calibri"/>
          <w:color w:val="1a1a1a"/>
          <w:rtl w:val="0"/>
        </w:rPr>
        <w:t xml:space="preserve"> far above every customer variable (Figure 5). Age shows the same U-shape as in the logistic model, and the best tree segment is previous subscribers called when </w:t>
      </w:r>
      <w:r w:rsidDel="00000000" w:rsidR="00000000" w:rsidRPr="00000000">
        <w:rPr>
          <w:rFonts w:ascii="Consolas" w:cs="Consolas" w:eastAsia="Consolas" w:hAnsi="Consolas"/>
          <w:color w:val="1a1a1a"/>
          <w:sz w:val="20"/>
          <w:szCs w:val="20"/>
          <w:rtl w:val="0"/>
        </w:rPr>
        <w:t xml:space="preserve">nr.employed</w:t>
      </w:r>
      <w:r w:rsidDel="00000000" w:rsidR="00000000" w:rsidRPr="00000000">
        <w:rPr>
          <w:rFonts w:ascii="Calibri" w:cs="Calibri" w:eastAsia="Calibri" w:hAnsi="Calibri"/>
          <w:color w:val="1a1a1a"/>
          <w:rtl w:val="0"/>
        </w:rPr>
        <w:t xml:space="preserve"> was below 5,088 (64% to 77%; Appendix C).</w:t>
      </w:r>
    </w:p>
    <w:p w:rsidR="00000000" w:rsidDel="00000000" w:rsidP="00000000" w:rsidRDefault="00000000" w:rsidRPr="00000000" w14:paraId="000000C0">
      <w:pPr>
        <w:keepNext w:val="1"/>
        <w:spacing w:after="60" w:before="120" w:line="240" w:lineRule="auto"/>
        <w:jc w:val="center"/>
        <w:rPr>
          <w:rFonts w:ascii="Calibri" w:cs="Calibri" w:eastAsia="Calibri" w:hAnsi="Calibri"/>
          <w:color w:val="1a1a1a"/>
        </w:rPr>
      </w:pPr>
      <w:r w:rsidDel="00000000" w:rsidR="00000000" w:rsidRPr="00000000">
        <w:rPr>
          <w:rFonts w:ascii="Calibri" w:cs="Calibri" w:eastAsia="Calibri" w:hAnsi="Calibri"/>
          <w:color w:val="1a1a1a"/>
        </w:rPr>
        <w:drawing>
          <wp:inline distB="0" distT="0" distL="0" distR="0">
            <wp:extent cx="5724525" cy="2305050"/>
            <wp:effectExtent b="0" l="0" r="0" t="0"/>
            <wp:docPr descr="Figure 5. Gradient boosting: permutation importance on the test set (left) and partial dependence on age (right)" id="7" name="image7.png"/>
            <a:graphic>
              <a:graphicData uri="http://schemas.openxmlformats.org/drawingml/2006/picture">
                <pic:pic>
                  <pic:nvPicPr>
                    <pic:cNvPr descr="Figure 5. Gradient boosting: permutation importance on the test set (left) and partial dependence on age (right)" id="0" name="image7.png"/>
                    <pic:cNvPicPr preferRelativeResize="0"/>
                  </pic:nvPicPr>
                  <pic:blipFill>
                    <a:blip r:embed="rId14"/>
                    <a:srcRect b="0" l="0" r="0" t="0"/>
                    <a:stretch>
                      <a:fillRect/>
                    </a:stretch>
                  </pic:blipFill>
                  <pic:spPr>
                    <a:xfrm>
                      <a:off x="0" y="0"/>
                      <a:ext cx="572452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Figure 5. Gradient boosting: permutation importance on the test set (left) and partial dependence on age (right)</w:t>
      </w:r>
      <w:r w:rsidDel="00000000" w:rsidR="00000000" w:rsidRPr="00000000">
        <w:rPr>
          <w:rtl w:val="0"/>
        </w:rPr>
      </w:r>
    </w:p>
    <w:p w:rsidR="00000000" w:rsidDel="00000000" w:rsidP="00000000" w:rsidRDefault="00000000" w:rsidRPr="00000000" w14:paraId="000000C2">
      <w:pPr>
        <w:pStyle w:val="Heading2"/>
        <w:rPr>
          <w:rFonts w:ascii="Calibri" w:cs="Calibri" w:eastAsia="Calibri" w:hAnsi="Calibri"/>
        </w:rPr>
      </w:pPr>
      <w:bookmarkStart w:colFirst="0" w:colLast="0" w:name="_q8uo8t6fr5tz" w:id="9"/>
      <w:bookmarkEnd w:id="9"/>
      <w:r w:rsidDel="00000000" w:rsidR="00000000" w:rsidRPr="00000000">
        <w:rPr>
          <w:rFonts w:ascii="Calibri" w:cs="Calibri" w:eastAsia="Calibri" w:hAnsi="Calibri"/>
          <w:rtl w:val="0"/>
        </w:rPr>
        <w:t xml:space="preserve">Bayesian estimation</w:t>
      </w:r>
    </w:p>
    <w:p w:rsidR="00000000" w:rsidDel="00000000" w:rsidP="00000000" w:rsidRDefault="00000000" w:rsidRPr="00000000" w14:paraId="000000C3">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Customers aged 65+ have a 95% credible interval of 42.6% to 50.0% for their rate (Figure 6). For the 18 illiterate customers, the prior moves the observed 22.2% to 16.5% with a wide interval (6.6% to 29.6%).</w:t>
      </w:r>
    </w:p>
    <w:p w:rsidR="00000000" w:rsidDel="00000000" w:rsidP="00000000" w:rsidRDefault="00000000" w:rsidRPr="00000000" w14:paraId="000000C4">
      <w:pPr>
        <w:keepNext w:val="1"/>
        <w:spacing w:after="60" w:before="120" w:line="240" w:lineRule="auto"/>
        <w:jc w:val="center"/>
        <w:rPr>
          <w:rFonts w:ascii="Calibri" w:cs="Calibri" w:eastAsia="Calibri" w:hAnsi="Calibri"/>
          <w:color w:val="1a1a1a"/>
        </w:rPr>
      </w:pPr>
      <w:r w:rsidDel="00000000" w:rsidR="00000000" w:rsidRPr="00000000">
        <w:rPr>
          <w:rFonts w:ascii="Calibri" w:cs="Calibri" w:eastAsia="Calibri" w:hAnsi="Calibri"/>
          <w:color w:val="1a1a1a"/>
        </w:rPr>
        <w:drawing>
          <wp:inline distB="0" distT="0" distL="0" distR="0">
            <wp:extent cx="5724525" cy="2371725"/>
            <wp:effectExtent b="0" l="0" r="0" t="0"/>
            <wp:docPr descr="Figure 6. Posterior subscription rate by age group and job (Beta-Binomial, 95% credible intervals)" id="1" name="image5.png"/>
            <a:graphic>
              <a:graphicData uri="http://schemas.openxmlformats.org/drawingml/2006/picture">
                <pic:pic>
                  <pic:nvPicPr>
                    <pic:cNvPr descr="Figure 6. Posterior subscription rate by age group and job (Beta-Binomial, 95% credible intervals)" id="0" name="image5.png"/>
                    <pic:cNvPicPr preferRelativeResize="0"/>
                  </pic:nvPicPr>
                  <pic:blipFill>
                    <a:blip r:embed="rId15"/>
                    <a:srcRect b="0" l="0" r="0" t="0"/>
                    <a:stretch>
                      <a:fillRect/>
                    </a:stretch>
                  </pic:blipFill>
                  <pic:spPr>
                    <a:xfrm>
                      <a:off x="0" y="0"/>
                      <a:ext cx="572452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Figure 6. Posterior subscription rate by age group and job (Beta-Binomial, 95% credible intervals)</w:t>
      </w:r>
      <w:r w:rsidDel="00000000" w:rsidR="00000000" w:rsidRPr="00000000">
        <w:rPr>
          <w:rtl w:val="0"/>
        </w:rPr>
      </w:r>
    </w:p>
    <w:p w:rsidR="00000000" w:rsidDel="00000000" w:rsidP="00000000" w:rsidRDefault="00000000" w:rsidRPr="00000000" w14:paraId="000000C6">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The Bayesian logistic regression converged (largest R-hat 1.003, smallest ESS 1,199; Figure 7). Its posterior odds ratios match the maximum likelihood estimates within 0.11 standard errors, so the data outweigh the prior, and a tighter prior moves no coefficient by more than 1.1 (Appendix G). Unlike a confidence interval, a credible interval gives probabilities directly: the odds ratio for a previous success exceeds 3 with probability 0.996.</w:t>
      </w:r>
    </w:p>
    <w:p w:rsidR="00000000" w:rsidDel="00000000" w:rsidP="00000000" w:rsidRDefault="00000000" w:rsidRPr="00000000" w14:paraId="000000C7">
      <w:pPr>
        <w:keepNext w:val="1"/>
        <w:spacing w:after="60" w:before="120" w:line="240" w:lineRule="auto"/>
        <w:jc w:val="center"/>
        <w:rPr>
          <w:rFonts w:ascii="Calibri" w:cs="Calibri" w:eastAsia="Calibri" w:hAnsi="Calibri"/>
          <w:color w:val="1a1a1a"/>
        </w:rPr>
      </w:pPr>
      <w:r w:rsidDel="00000000" w:rsidR="00000000" w:rsidRPr="00000000">
        <w:rPr>
          <w:rFonts w:ascii="Calibri" w:cs="Calibri" w:eastAsia="Calibri" w:hAnsi="Calibri"/>
          <w:color w:val="1a1a1a"/>
        </w:rPr>
        <w:drawing>
          <wp:inline distB="0" distT="0" distL="0" distR="0">
            <wp:extent cx="5400675" cy="4010025"/>
            <wp:effectExtent b="0" l="0" r="0" t="0"/>
            <wp:docPr descr="Figure 7. MCMC diagnostics for three odds ratios: trace of four chains (burn-in shaded), autocorrelation of every draw and of every 50th draw, and posterior density (dashed line and band: maximum likelihood estimate and 95% CI)" id="5" name="image2.png"/>
            <a:graphic>
              <a:graphicData uri="http://schemas.openxmlformats.org/drawingml/2006/picture">
                <pic:pic>
                  <pic:nvPicPr>
                    <pic:cNvPr descr="Figure 7. MCMC diagnostics for three odds ratios: trace of four chains (burn-in shaded), autocorrelation of every draw and of every 50th draw, and posterior density (dashed line and band: maximum likelihood estimate and 95% CI)" id="0" name="image2.png"/>
                    <pic:cNvPicPr preferRelativeResize="0"/>
                  </pic:nvPicPr>
                  <pic:blipFill>
                    <a:blip r:embed="rId16"/>
                    <a:srcRect b="0" l="0" r="0" t="0"/>
                    <a:stretch>
                      <a:fillRect/>
                    </a:stretch>
                  </pic:blipFill>
                  <pic:spPr>
                    <a:xfrm>
                      <a:off x="0" y="0"/>
                      <a:ext cx="540067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Figure 7. MCMC diagnostics for three odds ratios: trace of four chains (burn-in shaded), autocorrelation of every draw and of every 50th draw, and posterior density (dashed line and band: maximum likelihood estimate and 95% CI)</w:t>
      </w:r>
      <w:r w:rsidDel="00000000" w:rsidR="00000000" w:rsidRPr="00000000">
        <w:rPr>
          <w:rtl w:val="0"/>
        </w:rPr>
      </w:r>
    </w:p>
    <w:p w:rsidR="00000000" w:rsidDel="00000000" w:rsidP="00000000" w:rsidRDefault="00000000" w:rsidRPr="00000000" w14:paraId="000000C9">
      <w:pPr>
        <w:keepNext w:val="1"/>
        <w:spacing w:after="80" w:before="16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Table 5. Hypothesis outcomes</w:t>
      </w:r>
      <w:r w:rsidDel="00000000" w:rsidR="00000000" w:rsidRPr="00000000">
        <w:rPr>
          <w:rtl w:val="0"/>
        </w:rPr>
      </w:r>
    </w:p>
    <w:tbl>
      <w:tblPr>
        <w:tblStyle w:val="Table5"/>
        <w:tblW w:w="901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3"/>
        <w:gridCol w:w="5071"/>
        <w:gridCol w:w="2141"/>
        <w:tblGridChange w:id="0">
          <w:tblGrid>
            <w:gridCol w:w="1803"/>
            <w:gridCol w:w="5071"/>
            <w:gridCol w:w="214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A">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8"/>
                <w:szCs w:val="18"/>
                <w:rtl w:val="0"/>
              </w:rPr>
              <w:t xml:space="preserve">Hypothesis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B">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8"/>
                <w:szCs w:val="18"/>
                <w:rtl w:val="0"/>
              </w:rPr>
              <w:t xml:space="preserve">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C">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8"/>
                <w:szCs w:val="18"/>
                <w:rtl w:val="0"/>
              </w:rPr>
              <w:t xml:space="preserve">Decision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H1 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17-24: OR 1.30 [1.03, 1.64]; 65+: OR 1.48 [1.11, 1.97]; age block LRT p = 0.018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Supported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H2 previous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OR 3.68 [3.17, 4.29], the largest customer-level effect; </w:t>
            </w:r>
            <w:r w:rsidDel="00000000" w:rsidR="00000000" w:rsidRPr="00000000">
              <w:rPr>
                <w:rFonts w:ascii="Consolas" w:cs="Consolas" w:eastAsia="Consolas" w:hAnsi="Consolas"/>
                <w:color w:val="1a1a1a"/>
                <w:sz w:val="16"/>
                <w:szCs w:val="16"/>
                <w:rtl w:val="0"/>
              </w:rPr>
              <w:t xml:space="preserve">nr.employed</w:t>
            </w:r>
            <w:r w:rsidDel="00000000" w:rsidR="00000000" w:rsidRPr="00000000">
              <w:rPr>
                <w:rFonts w:ascii="Calibri" w:cs="Calibri" w:eastAsia="Calibri" w:hAnsi="Calibri"/>
                <w:color w:val="1a1a1a"/>
                <w:sz w:val="18"/>
                <w:szCs w:val="18"/>
                <w:rtl w:val="0"/>
              </w:rPr>
              <w:t xml:space="preserve"> dominates overall importance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Supported at customer level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H3 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Telephone OR 0.62 [0.54, 0.70]; interaction LRT p = 0.94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Main effect supported; interaction not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H4 call attempts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OR 0.93 [0.89, 0.97] per doubling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Supported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H5 model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CV gain +0.008 (p = 0.013); test CI includes 0; phase-3 AUC 0.647 vs 0.674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8"/>
                <w:szCs w:val="18"/>
                <w:rtl w:val="0"/>
              </w:rPr>
              <w:t xml:space="preserve">Not supported in practice</w:t>
            </w:r>
            <w:r w:rsidDel="00000000" w:rsidR="00000000" w:rsidRPr="00000000">
              <w:rPr>
                <w:rtl w:val="0"/>
              </w:rPr>
            </w:r>
          </w:p>
        </w:tc>
      </w:tr>
    </w:tbl>
    <w:p w:rsidR="00000000" w:rsidDel="00000000" w:rsidP="00000000" w:rsidRDefault="00000000" w:rsidRPr="00000000" w14:paraId="000000DC">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D">
      <w:pPr>
        <w:spacing w:after="140" w:line="276" w:lineRule="auto"/>
        <w:rPr>
          <w:rFonts w:ascii="Calibri" w:cs="Calibri" w:eastAsia="Calibri" w:hAnsi="Calibri"/>
          <w:color w:val="1a1a1a"/>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after="140" w:line="276" w:lineRule="auto"/>
        <w:rPr>
          <w:rFonts w:ascii="Calibri" w:cs="Calibri" w:eastAsia="Calibri" w:hAnsi="Calibri"/>
        </w:rPr>
      </w:pPr>
      <w:bookmarkStart w:colFirst="0" w:colLast="0" w:name="_vvzix4ftz7os" w:id="10"/>
      <w:bookmarkEnd w:id="10"/>
      <w:r w:rsidDel="00000000" w:rsidR="00000000" w:rsidRPr="00000000">
        <w:rPr>
          <w:rFonts w:ascii="Calibri" w:cs="Calibri" w:eastAsia="Calibri" w:hAnsi="Calibri"/>
          <w:rtl w:val="0"/>
        </w:rPr>
        <w:t xml:space="preserve">Business insights and strategy</w:t>
      </w:r>
    </w:p>
    <w:p w:rsidR="00000000" w:rsidDel="00000000" w:rsidP="00000000" w:rsidRDefault="00000000" w:rsidRPr="00000000" w14:paraId="000000DF">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Call previous subscribers first: they are 3.3% of customers but 19.2% of subscribers (Table 6). Design offers by age band, since job titles add little once age is known. Call mobiles and stop after three attempts: customers needing more are 18.5% of those called but 12.0% of subscribers.</w:t>
      </w:r>
    </w:p>
    <w:p w:rsidR="00000000" w:rsidDel="00000000" w:rsidP="00000000" w:rsidRDefault="00000000" w:rsidRPr="00000000" w14:paraId="000000E0">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I recommend the logistic model for deployment, refitted before each campaign. Its test AUC is within 0.007 of gradient boosting, it held up better in phase 3 (0.674 vs 0.647), and its coefficients can be audited.</w:t>
      </w:r>
    </w:p>
    <w:p w:rsidR="00000000" w:rsidDel="00000000" w:rsidP="00000000" w:rsidRDefault="00000000" w:rsidRPr="00000000" w14:paraId="000000E1">
      <w:pPr>
        <w:keepNext w:val="1"/>
        <w:spacing w:after="80" w:before="16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Table 6. Insights, evidence and recommended actions</w:t>
      </w: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6"/>
        <w:gridCol w:w="3043"/>
        <w:gridCol w:w="2254"/>
        <w:gridCol w:w="1803"/>
        <w:tblGridChange w:id="0">
          <w:tblGrid>
            <w:gridCol w:w="1916"/>
            <w:gridCol w:w="3043"/>
            <w:gridCol w:w="2254"/>
            <w:gridCol w:w="180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2">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Insight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3">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4">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5">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Measure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 Previous subscribers convert best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65.1% rate; 3.3% of customers, 19.2% of subscribers; OR 3.68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Call this list first in every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Conversion of the re-contact list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 Age drives response more than job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65+: 47%, OR 1.48; 17-24: 24%, OR 1.30; job effects not significant after 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Design offers and scripts by age band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Conversion and complaints by age band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 Mobile beats landline; extra attempts lose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Telephone OR 0.62; 13.0% at first call vs 5.5% at six or more; OR 0.93 per doubling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Call mobiles first; stop after three attempts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Calls per subscription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 Mass calling converts poorly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Phase 1: 3,954 calls per month at 4.8%; ρ = −0.67 between volume and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Call the model's top 20% to 30% instead of everyone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Share of subscribers reached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5. Economic effects do not carry forward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Phase-3 AUC 0.60-0.70 vs 0.80 on random test; </w:t>
            </w:r>
            <w:r w:rsidDel="00000000" w:rsidR="00000000" w:rsidRPr="00000000">
              <w:rPr>
                <w:rFonts w:ascii="Consolas" w:cs="Consolas" w:eastAsia="Consolas" w:hAnsi="Consolas"/>
                <w:color w:val="1a1a1a"/>
                <w:sz w:val="15"/>
                <w:szCs w:val="15"/>
                <w:rtl w:val="0"/>
              </w:rPr>
              <w:t xml:space="preserve">nr.employed</w:t>
            </w:r>
            <w:r w:rsidDel="00000000" w:rsidR="00000000" w:rsidRPr="00000000">
              <w:rPr>
                <w:rFonts w:ascii="Calibri" w:cs="Calibri" w:eastAsia="Calibri" w:hAnsi="Calibri"/>
                <w:color w:val="1a1a1a"/>
                <w:sz w:val="17"/>
                <w:szCs w:val="17"/>
                <w:rtl w:val="0"/>
              </w:rPr>
              <w:t xml:space="preserve"> outside training 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Refit before each campaign; check AUC monthly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AUC on the latest month</w:t>
            </w:r>
            <w:r w:rsidDel="00000000" w:rsidR="00000000" w:rsidRPr="00000000">
              <w:rPr>
                <w:rtl w:val="0"/>
              </w:rPr>
            </w:r>
          </w:p>
        </w:tc>
      </w:tr>
    </w:tbl>
    <w:p w:rsidR="00000000" w:rsidDel="00000000" w:rsidP="00000000" w:rsidRDefault="00000000" w:rsidRPr="00000000" w14:paraId="000000F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rPr>
          <w:rFonts w:ascii="Calibri" w:cs="Calibri" w:eastAsia="Calibri" w:hAnsi="Calibri"/>
        </w:rPr>
      </w:pPr>
      <w:bookmarkStart w:colFirst="0" w:colLast="0" w:name="_37p22o535299" w:id="11"/>
      <w:bookmarkEnd w:id="11"/>
      <w:r w:rsidDel="00000000" w:rsidR="00000000" w:rsidRPr="00000000">
        <w:rPr>
          <w:rFonts w:ascii="Calibri" w:cs="Calibri" w:eastAsia="Calibri" w:hAnsi="Calibri"/>
          <w:rtl w:val="0"/>
        </w:rPr>
        <w:t xml:space="preserve">Ethics, privacy and Indigenous data sovereignty</w:t>
      </w:r>
    </w:p>
    <w:p w:rsidR="00000000" w:rsidDel="00000000" w:rsidP="00000000" w:rsidRDefault="00000000" w:rsidRPr="00000000" w14:paraId="000000FC">
      <w:pPr>
        <w:pStyle w:val="Heading2"/>
        <w:rPr/>
      </w:pPr>
      <w:bookmarkStart w:colFirst="0" w:colLast="0" w:name="_b3gscnr3m3bc" w:id="12"/>
      <w:bookmarkEnd w:id="12"/>
      <w:r w:rsidDel="00000000" w:rsidR="00000000" w:rsidRPr="00000000">
        <w:rPr>
          <w:rtl w:val="0"/>
        </w:rPr>
        <w:t xml:space="preserve">Consent and privacy</w:t>
      </w:r>
    </w:p>
    <w:p w:rsidR="00000000" w:rsidDel="00000000" w:rsidP="00000000" w:rsidRDefault="00000000" w:rsidRPr="00000000" w14:paraId="000000FD">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The data links personal and credit details to call outcomes, so APP 7 applies: direct marketing needs customer consent or a reasonable expectation, and each campaign needs a simple opt-out (OAIC, 2019). The dataset has no consent or opt-out record, so the company cannot show that customers agreed. From 10 December 2026, privacy policies must also disclose programs that substantially and directly support decisions that significantly affect individuals (Privacy and Other Legislation Amendment Act 2024). A model that decides who receives offers may meet this test.</w:t>
      </w:r>
    </w:p>
    <w:p w:rsidR="00000000" w:rsidDel="00000000" w:rsidP="00000000" w:rsidRDefault="00000000" w:rsidRPr="00000000" w14:paraId="000000FE">
      <w:pPr>
        <w:pStyle w:val="Heading2"/>
        <w:rPr/>
      </w:pPr>
      <w:bookmarkStart w:colFirst="0" w:colLast="0" w:name="_h9v0iikayzj5" w:id="13"/>
      <w:bookmarkEnd w:id="13"/>
      <w:r w:rsidDel="00000000" w:rsidR="00000000" w:rsidRPr="00000000">
        <w:rPr>
          <w:rtl w:val="0"/>
        </w:rPr>
        <w:t xml:space="preserve">Fairness, value and risk</w:t>
      </w:r>
    </w:p>
    <w:p w:rsidR="00000000" w:rsidDel="00000000" w:rsidP="00000000" w:rsidRDefault="00000000" w:rsidRPr="00000000" w14:paraId="000000FF">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Both models put 98.6% of test customers aged 65+ on the top-20% call list, so a group that makes up 1.8% of customers would receive 8.7% of calls. A high response rate does not show that the plan suits them, and older customers can be more exposed to pressure on the phone. The model also reduces harm: calling the top 30% avoids 70% of calls, mostly to people who would say no. Default status adds little accuracy (importance 0.002), so I recommend removing it.</w:t>
      </w:r>
    </w:p>
    <w:p w:rsidR="00000000" w:rsidDel="00000000" w:rsidP="00000000" w:rsidRDefault="00000000" w:rsidRPr="00000000" w14:paraId="00000100">
      <w:pPr>
        <w:pStyle w:val="Heading2"/>
        <w:rPr/>
      </w:pPr>
      <w:bookmarkStart w:colFirst="0" w:colLast="0" w:name="_y5difq1wt9o7" w:id="14"/>
      <w:bookmarkEnd w:id="14"/>
      <w:r w:rsidDel="00000000" w:rsidR="00000000" w:rsidRPr="00000000">
        <w:rPr>
          <w:rtl w:val="0"/>
        </w:rPr>
        <w:t xml:space="preserve">Indigenous data sovereignty</w:t>
      </w:r>
    </w:p>
    <w:p w:rsidR="00000000" w:rsidDel="00000000" w:rsidP="00000000" w:rsidRDefault="00000000" w:rsidRPr="00000000" w14:paraId="00000101">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The data has no field identifying Aboriginal and Torres Strait Islander customers, so nobody can check how the model treats them. About 43% of 1,545 remote First Nations communities and homelands have no mobile service (RMIT University, 2023). A model that favours cellular contact would rank them low without anyone noticing.</w:t>
      </w:r>
    </w:p>
    <w:p w:rsidR="00000000" w:rsidDel="00000000" w:rsidP="00000000" w:rsidRDefault="00000000" w:rsidRPr="00000000" w14:paraId="00000102">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Adding an identifier would not fix this on its own. The Maiam nayri Wingara principles give Aboriginal and Torres Strait Islander people control of the data ecosystem and the right to data that support self-determination (Maiam nayri Wingara &amp; AIGI, 2018). The CARE principles add collective benefit and authority to control (Carroll et al., 2020). Such data should be collected only with free, prior and informed consent, governed with Aboriginal community-controlled organisations, and reported back to communities (Table 7). I would also avoid building proxies for Indigeneity from location or contact type, because group-level inferences can harm a community even when individuals are anonymous.</w:t>
      </w:r>
    </w:p>
    <w:p w:rsidR="00000000" w:rsidDel="00000000" w:rsidP="00000000" w:rsidRDefault="00000000" w:rsidRPr="00000000" w14:paraId="00000103">
      <w:pPr>
        <w:keepNext w:val="1"/>
        <w:spacing w:after="80" w:before="16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Table 7. Ethical risks and recommended controls for business stakeholders and end users</w:t>
      </w:r>
      <w:r w:rsidDel="00000000" w:rsidR="00000000" w:rsidRPr="00000000">
        <w:rPr>
          <w:rtl w:val="0"/>
        </w:rPr>
      </w:r>
    </w:p>
    <w:tbl>
      <w:tblPr>
        <w:tblStyle w:val="Table7"/>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9"/>
        <w:gridCol w:w="2141"/>
        <w:gridCol w:w="3493"/>
        <w:gridCol w:w="1521"/>
        <w:tblGridChange w:id="0">
          <w:tblGrid>
            <w:gridCol w:w="1859"/>
            <w:gridCol w:w="2141"/>
            <w:gridCol w:w="3493"/>
            <w:gridCol w:w="152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4">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5">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6">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7">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Owner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No consent or opt-out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Dataset has no consent 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Record consent and opt-outs; remove opted-out customers before scoring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Privacy officer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Automated decision not disclosed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Model ranks who receives offers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Describe the model in the privacy policy before 10 December 2026; keep model documentation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Legal and analytics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Over-targeting older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98.6% of customers aged 65+ selected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Cap the share of calls per age band; cooling-off period; track complaints and cancellations by 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Marketing manager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Unneeded financial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5">
            <w:pPr>
              <w:spacing w:line="240" w:lineRule="auto"/>
              <w:rPr>
                <w:rFonts w:ascii="Calibri" w:cs="Calibri" w:eastAsia="Calibri" w:hAnsi="Calibri"/>
                <w:color w:val="1a1a1a"/>
              </w:rPr>
            </w:pPr>
            <w:r w:rsidDel="00000000" w:rsidR="00000000" w:rsidRPr="00000000">
              <w:rPr>
                <w:rFonts w:ascii="Consolas" w:cs="Consolas" w:eastAsia="Consolas" w:hAnsi="Consolas"/>
                <w:color w:val="1a1a1a"/>
                <w:sz w:val="15"/>
                <w:szCs w:val="15"/>
                <w:rtl w:val="0"/>
              </w:rPr>
              <w:t xml:space="preserve">default_unk</w:t>
            </w:r>
            <w:r w:rsidDel="00000000" w:rsidR="00000000" w:rsidRPr="00000000">
              <w:rPr>
                <w:rFonts w:ascii="Calibri" w:cs="Calibri" w:eastAsia="Calibri" w:hAnsi="Calibri"/>
                <w:color w:val="1a1a1a"/>
                <w:sz w:val="17"/>
                <w:szCs w:val="17"/>
                <w:rtl w:val="0"/>
              </w:rPr>
              <w:t xml:space="preserve"> importance 0.002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Remove from the deployed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Analytics team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First Nations customers invisible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No identifier; 43% of remote communities have no mobile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Do not infer Indigeneity; co-design any data collection with community-controlled organisations under Maiam nayri Wingara and CARE; report results back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Executive sponsor</w:t>
            </w:r>
            <w:r w:rsidDel="00000000" w:rsidR="00000000" w:rsidRPr="00000000">
              <w:rPr>
                <w:rtl w:val="0"/>
              </w:rPr>
            </w:r>
          </w:p>
        </w:tc>
      </w:tr>
    </w:tbl>
    <w:p w:rsidR="00000000" w:rsidDel="00000000" w:rsidP="00000000" w:rsidRDefault="00000000" w:rsidRPr="00000000" w14:paraId="0000011C">
      <w:pPr>
        <w:spacing w:after="160" w:line="240" w:lineRule="auto"/>
        <w:rPr>
          <w:rFonts w:ascii="Calibri" w:cs="Calibri" w:eastAsia="Calibri" w:hAnsi="Calibri"/>
          <w:b w:val="1"/>
          <w:bCs w:val="1"/>
          <w:color w:val="1f3a5f"/>
          <w:sz w:val="25"/>
          <w:szCs w:val="25"/>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rFonts w:ascii="Calibri" w:cs="Calibri" w:eastAsia="Calibri" w:hAnsi="Calibri"/>
        </w:rPr>
      </w:pPr>
      <w:bookmarkStart w:colFirst="0" w:colLast="0" w:name="_lld4nnbwwfwi" w:id="15"/>
      <w:bookmarkEnd w:id="15"/>
      <w:r w:rsidDel="00000000" w:rsidR="00000000" w:rsidRPr="00000000">
        <w:rPr>
          <w:rFonts w:ascii="Calibri" w:cs="Calibri" w:eastAsia="Calibri" w:hAnsi="Calibri"/>
          <w:rtl w:val="0"/>
        </w:rPr>
        <w:t xml:space="preserve">Limitation and conclusion</w:t>
      </w:r>
    </w:p>
    <w:p w:rsidR="00000000" w:rsidDel="00000000" w:rsidP="00000000" w:rsidRDefault="00000000" w:rsidRPr="00000000" w14:paraId="0000011F">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The variables match public bank telemarketing data collected in Portugal from 2008 to 2010 (Moro et al., 2014), so results may not transfer to current Australian customers. The models predict who says yes on a call; they cannot show that the call caused the subscription.</w:t>
      </w:r>
    </w:p>
    <w:p w:rsidR="00000000" w:rsidDel="00000000" w:rsidP="00000000" w:rsidRDefault="00000000" w:rsidRPr="00000000" w14:paraId="00000120">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The most responsive segments are previous subscribers, customers under 25 or over 65, and customers reached by mobile (RQ1; Table 5). A logistic model ranks customers before a call with test AUC 0.80, but accuracy falls to 0.67 in a new phase (RQ2). The next step is a one-month trial that calls a model-ranked list and an equal random list, then compares subscription and complaint rates by age band (RQ3).</w:t>
      </w:r>
    </w:p>
    <w:p w:rsidR="00000000" w:rsidDel="00000000" w:rsidP="00000000" w:rsidRDefault="00000000" w:rsidRPr="00000000" w14:paraId="00000121">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59nlokpfhrrv" w:id="16"/>
      <w:bookmarkEnd w:id="16"/>
      <w:r w:rsidDel="00000000" w:rsidR="00000000" w:rsidRPr="00000000">
        <w:rPr>
          <w:rFonts w:ascii="Calibri" w:cs="Calibri" w:eastAsia="Calibri" w:hAnsi="Calibri"/>
          <w:b w:val="1"/>
          <w:bCs w:val="1"/>
          <w:color w:val="1f3a5f"/>
          <w:sz w:val="30"/>
          <w:szCs w:val="30"/>
          <w:rtl w:val="0"/>
        </w:rPr>
        <w:t xml:space="preserve">References</w:t>
      </w:r>
    </w:p>
    <w:p w:rsidR="00000000" w:rsidDel="00000000" w:rsidP="00000000" w:rsidRDefault="00000000" w:rsidRPr="00000000" w14:paraId="00000123">
      <w:pPr>
        <w:spacing w:after="120" w:line="264" w:lineRule="auto"/>
        <w:ind w:left="720"/>
        <w:rPr>
          <w:rFonts w:ascii="Calibri" w:cs="Calibri" w:eastAsia="Calibri" w:hAnsi="Calibri"/>
          <w:color w:val="1a1a1a"/>
        </w:rPr>
      </w:pPr>
      <w:r w:rsidDel="00000000" w:rsidR="00000000" w:rsidRPr="00000000">
        <w:rPr>
          <w:rFonts w:ascii="Calibri" w:cs="Calibri" w:eastAsia="Calibri" w:hAnsi="Calibri"/>
          <w:color w:val="1a1a1a"/>
          <w:sz w:val="21"/>
          <w:szCs w:val="21"/>
          <w:rtl w:val="0"/>
        </w:rPr>
        <w:t xml:space="preserve">Carroll, S. R., Garba, I., Figueroa-Rodríguez, O. L., Holbrook, J., Lovett, R., Materechera, S., Parsons, M., Raseroka, K., Rodriguez-Lonebear, D., Rowe, R., Sara, R., Walker, J. D., Anderson, J., &amp; Hudson, M. (2020). The CARE principles for Indigenous data governance. </w:t>
      </w:r>
      <w:r w:rsidDel="00000000" w:rsidR="00000000" w:rsidRPr="00000000">
        <w:rPr>
          <w:rFonts w:ascii="Calibri" w:cs="Calibri" w:eastAsia="Calibri" w:hAnsi="Calibri"/>
          <w:i w:val="1"/>
          <w:iCs w:val="1"/>
          <w:color w:val="1a1a1a"/>
          <w:sz w:val="21"/>
          <w:szCs w:val="21"/>
          <w:rtl w:val="0"/>
        </w:rPr>
        <w:t xml:space="preserve">Data Science Journal, 19</w:t>
      </w:r>
      <w:r w:rsidDel="00000000" w:rsidR="00000000" w:rsidRPr="00000000">
        <w:rPr>
          <w:rFonts w:ascii="Calibri" w:cs="Calibri" w:eastAsia="Calibri" w:hAnsi="Calibri"/>
          <w:color w:val="1a1a1a"/>
          <w:sz w:val="21"/>
          <w:szCs w:val="21"/>
          <w:rtl w:val="0"/>
        </w:rPr>
        <w:t xml:space="preserve">(1), 43. https://doi.org/10.5334/dsj-2020-043</w:t>
      </w:r>
      <w:r w:rsidDel="00000000" w:rsidR="00000000" w:rsidRPr="00000000">
        <w:rPr>
          <w:rtl w:val="0"/>
        </w:rPr>
      </w:r>
    </w:p>
    <w:p w:rsidR="00000000" w:rsidDel="00000000" w:rsidP="00000000" w:rsidRDefault="00000000" w:rsidRPr="00000000" w14:paraId="00000124">
      <w:pPr>
        <w:spacing w:after="120" w:line="264" w:lineRule="auto"/>
        <w:ind w:left="720"/>
        <w:rPr>
          <w:rFonts w:ascii="Calibri" w:cs="Calibri" w:eastAsia="Calibri" w:hAnsi="Calibri"/>
          <w:color w:val="1a1a1a"/>
        </w:rPr>
      </w:pPr>
      <w:r w:rsidDel="00000000" w:rsidR="00000000" w:rsidRPr="00000000">
        <w:rPr>
          <w:rFonts w:ascii="Calibri" w:cs="Calibri" w:eastAsia="Calibri" w:hAnsi="Calibri"/>
          <w:color w:val="1a1a1a"/>
          <w:sz w:val="21"/>
          <w:szCs w:val="21"/>
          <w:rtl w:val="0"/>
        </w:rPr>
        <w:t xml:space="preserve">Gelman, A., Carlin, J. B., Stern, H. S., Dunson, D. B., Vehtari, A., &amp; Rubin, D. B. (2013). </w:t>
      </w:r>
      <w:r w:rsidDel="00000000" w:rsidR="00000000" w:rsidRPr="00000000">
        <w:rPr>
          <w:rFonts w:ascii="Calibri" w:cs="Calibri" w:eastAsia="Calibri" w:hAnsi="Calibri"/>
          <w:i w:val="1"/>
          <w:iCs w:val="1"/>
          <w:color w:val="1a1a1a"/>
          <w:sz w:val="21"/>
          <w:szCs w:val="21"/>
          <w:rtl w:val="0"/>
        </w:rPr>
        <w:t xml:space="preserve">Bayesian data analysis</w:t>
      </w:r>
      <w:r w:rsidDel="00000000" w:rsidR="00000000" w:rsidRPr="00000000">
        <w:rPr>
          <w:rFonts w:ascii="Calibri" w:cs="Calibri" w:eastAsia="Calibri" w:hAnsi="Calibri"/>
          <w:color w:val="1a1a1a"/>
          <w:sz w:val="21"/>
          <w:szCs w:val="21"/>
          <w:rtl w:val="0"/>
        </w:rPr>
        <w:t xml:space="preserve"> (3rd ed.). Chapman and Hall/CRC.</w:t>
      </w:r>
      <w:r w:rsidDel="00000000" w:rsidR="00000000" w:rsidRPr="00000000">
        <w:rPr>
          <w:rtl w:val="0"/>
        </w:rPr>
      </w:r>
    </w:p>
    <w:p w:rsidR="00000000" w:rsidDel="00000000" w:rsidP="00000000" w:rsidRDefault="00000000" w:rsidRPr="00000000" w14:paraId="00000125">
      <w:pPr>
        <w:spacing w:after="120" w:line="264" w:lineRule="auto"/>
        <w:ind w:left="720"/>
        <w:rPr>
          <w:rFonts w:ascii="Calibri" w:cs="Calibri" w:eastAsia="Calibri" w:hAnsi="Calibri"/>
          <w:color w:val="1a1a1a"/>
        </w:rPr>
      </w:pPr>
      <w:r w:rsidDel="00000000" w:rsidR="00000000" w:rsidRPr="00000000">
        <w:rPr>
          <w:rFonts w:ascii="Calibri" w:cs="Calibri" w:eastAsia="Calibri" w:hAnsi="Calibri"/>
          <w:color w:val="1a1a1a"/>
          <w:sz w:val="21"/>
          <w:szCs w:val="21"/>
          <w:rtl w:val="0"/>
        </w:rPr>
        <w:t xml:space="preserve">James, G., Witten, D., Hastie, T., &amp; Tibshirani, R. (2021). </w:t>
      </w:r>
      <w:r w:rsidDel="00000000" w:rsidR="00000000" w:rsidRPr="00000000">
        <w:rPr>
          <w:rFonts w:ascii="Calibri" w:cs="Calibri" w:eastAsia="Calibri" w:hAnsi="Calibri"/>
          <w:i w:val="1"/>
          <w:iCs w:val="1"/>
          <w:color w:val="1a1a1a"/>
          <w:sz w:val="21"/>
          <w:szCs w:val="21"/>
          <w:rtl w:val="0"/>
        </w:rPr>
        <w:t xml:space="preserve">An introduction to statistical learning: With applications in R</w:t>
      </w:r>
      <w:r w:rsidDel="00000000" w:rsidR="00000000" w:rsidRPr="00000000">
        <w:rPr>
          <w:rFonts w:ascii="Calibri" w:cs="Calibri" w:eastAsia="Calibri" w:hAnsi="Calibri"/>
          <w:color w:val="1a1a1a"/>
          <w:sz w:val="21"/>
          <w:szCs w:val="21"/>
          <w:rtl w:val="0"/>
        </w:rPr>
        <w:t xml:space="preserve"> (2nd ed.). Springer. https://doi.org/10.1007/978-1-0716-1418-1</w:t>
      </w:r>
      <w:r w:rsidDel="00000000" w:rsidR="00000000" w:rsidRPr="00000000">
        <w:rPr>
          <w:rtl w:val="0"/>
        </w:rPr>
      </w:r>
    </w:p>
    <w:p w:rsidR="00000000" w:rsidDel="00000000" w:rsidP="00000000" w:rsidRDefault="00000000" w:rsidRPr="00000000" w14:paraId="00000126">
      <w:pPr>
        <w:spacing w:after="120" w:line="264" w:lineRule="auto"/>
        <w:ind w:left="720"/>
        <w:rPr>
          <w:rFonts w:ascii="Calibri" w:cs="Calibri" w:eastAsia="Calibri" w:hAnsi="Calibri"/>
          <w:color w:val="1a1a1a"/>
        </w:rPr>
      </w:pPr>
      <w:r w:rsidDel="00000000" w:rsidR="00000000" w:rsidRPr="00000000">
        <w:rPr>
          <w:rFonts w:ascii="Calibri" w:cs="Calibri" w:eastAsia="Calibri" w:hAnsi="Calibri"/>
          <w:color w:val="1a1a1a"/>
          <w:sz w:val="21"/>
          <w:szCs w:val="21"/>
          <w:rtl w:val="0"/>
        </w:rPr>
        <w:t xml:space="preserve">Maiam nayri Wingara Indigenous Data Sovereignty Collective, &amp; Australian Indigenous Governance Institute. (2018). </w:t>
      </w:r>
      <w:r w:rsidDel="00000000" w:rsidR="00000000" w:rsidRPr="00000000">
        <w:rPr>
          <w:rFonts w:ascii="Calibri" w:cs="Calibri" w:eastAsia="Calibri" w:hAnsi="Calibri"/>
          <w:i w:val="1"/>
          <w:iCs w:val="1"/>
          <w:color w:val="1a1a1a"/>
          <w:sz w:val="21"/>
          <w:szCs w:val="21"/>
          <w:rtl w:val="0"/>
        </w:rPr>
        <w:t xml:space="preserve">Indigenous data sovereignty communique: Indigenous Data Sovereignty Summit, 20 June 2018, Canberra</w:t>
      </w:r>
      <w:r w:rsidDel="00000000" w:rsidR="00000000" w:rsidRPr="00000000">
        <w:rPr>
          <w:rFonts w:ascii="Calibri" w:cs="Calibri" w:eastAsia="Calibri" w:hAnsi="Calibri"/>
          <w:color w:val="1a1a1a"/>
          <w:sz w:val="21"/>
          <w:szCs w:val="21"/>
          <w:rtl w:val="0"/>
        </w:rPr>
        <w:t xml:space="preserve">. https://www.aigi.org.au/wp-content/uploads/2022/01/Communique-Indigenous-Data-Sovereignty-Summit-1.pdf</w:t>
      </w:r>
      <w:r w:rsidDel="00000000" w:rsidR="00000000" w:rsidRPr="00000000">
        <w:rPr>
          <w:rtl w:val="0"/>
        </w:rPr>
      </w:r>
    </w:p>
    <w:p w:rsidR="00000000" w:rsidDel="00000000" w:rsidP="00000000" w:rsidRDefault="00000000" w:rsidRPr="00000000" w14:paraId="00000127">
      <w:pPr>
        <w:spacing w:after="120" w:line="264" w:lineRule="auto"/>
        <w:ind w:left="720"/>
        <w:rPr>
          <w:rFonts w:ascii="Calibri" w:cs="Calibri" w:eastAsia="Calibri" w:hAnsi="Calibri"/>
          <w:color w:val="1a1a1a"/>
        </w:rPr>
      </w:pPr>
      <w:r w:rsidDel="00000000" w:rsidR="00000000" w:rsidRPr="00000000">
        <w:rPr>
          <w:rFonts w:ascii="Calibri" w:cs="Calibri" w:eastAsia="Calibri" w:hAnsi="Calibri"/>
          <w:color w:val="1a1a1a"/>
          <w:sz w:val="21"/>
          <w:szCs w:val="21"/>
          <w:rtl w:val="0"/>
        </w:rPr>
        <w:t xml:space="preserve">Moro, S., Cortez, P., &amp; Rita, P. (2014). A data-driven approach to predict the success of bank telemarketing. </w:t>
      </w:r>
      <w:r w:rsidDel="00000000" w:rsidR="00000000" w:rsidRPr="00000000">
        <w:rPr>
          <w:rFonts w:ascii="Calibri" w:cs="Calibri" w:eastAsia="Calibri" w:hAnsi="Calibri"/>
          <w:i w:val="1"/>
          <w:iCs w:val="1"/>
          <w:color w:val="1a1a1a"/>
          <w:sz w:val="21"/>
          <w:szCs w:val="21"/>
          <w:rtl w:val="0"/>
        </w:rPr>
        <w:t xml:space="preserve">Decision Support Systems, 62</w:t>
      </w:r>
      <w:r w:rsidDel="00000000" w:rsidR="00000000" w:rsidRPr="00000000">
        <w:rPr>
          <w:rFonts w:ascii="Calibri" w:cs="Calibri" w:eastAsia="Calibri" w:hAnsi="Calibri"/>
          <w:color w:val="1a1a1a"/>
          <w:sz w:val="21"/>
          <w:szCs w:val="21"/>
          <w:rtl w:val="0"/>
        </w:rPr>
        <w:t xml:space="preserve">, 22-31. https://doi.org/10.1016/j.dss.2014.03.001</w:t>
      </w:r>
      <w:r w:rsidDel="00000000" w:rsidR="00000000" w:rsidRPr="00000000">
        <w:rPr>
          <w:rtl w:val="0"/>
        </w:rPr>
      </w:r>
    </w:p>
    <w:p w:rsidR="00000000" w:rsidDel="00000000" w:rsidP="00000000" w:rsidRDefault="00000000" w:rsidRPr="00000000" w14:paraId="00000128">
      <w:pPr>
        <w:spacing w:after="120" w:line="264" w:lineRule="auto"/>
        <w:ind w:left="720"/>
        <w:rPr>
          <w:rFonts w:ascii="Calibri" w:cs="Calibri" w:eastAsia="Calibri" w:hAnsi="Calibri"/>
          <w:color w:val="1a1a1a"/>
        </w:rPr>
      </w:pPr>
      <w:r w:rsidDel="00000000" w:rsidR="00000000" w:rsidRPr="00000000">
        <w:rPr>
          <w:rFonts w:ascii="Calibri" w:cs="Calibri" w:eastAsia="Calibri" w:hAnsi="Calibri"/>
          <w:color w:val="1a1a1a"/>
          <w:sz w:val="21"/>
          <w:szCs w:val="21"/>
          <w:rtl w:val="0"/>
        </w:rPr>
        <w:t xml:space="preserve">Office of the Australian Information Commissioner. (2019). </w:t>
      </w:r>
      <w:r w:rsidDel="00000000" w:rsidR="00000000" w:rsidRPr="00000000">
        <w:rPr>
          <w:rFonts w:ascii="Calibri" w:cs="Calibri" w:eastAsia="Calibri" w:hAnsi="Calibri"/>
          <w:i w:val="1"/>
          <w:iCs w:val="1"/>
          <w:color w:val="1a1a1a"/>
          <w:sz w:val="21"/>
          <w:szCs w:val="21"/>
          <w:rtl w:val="0"/>
        </w:rPr>
        <w:t xml:space="preserve">Chapter 7: APP 7 Direct marketing</w:t>
      </w:r>
      <w:r w:rsidDel="00000000" w:rsidR="00000000" w:rsidRPr="00000000">
        <w:rPr>
          <w:rFonts w:ascii="Calibri" w:cs="Calibri" w:eastAsia="Calibri" w:hAnsi="Calibri"/>
          <w:color w:val="1a1a1a"/>
          <w:sz w:val="21"/>
          <w:szCs w:val="21"/>
          <w:rtl w:val="0"/>
        </w:rPr>
        <w:t xml:space="preserve"> (Australian Privacy Principles guidelines, Version 1.1). https://www.oaic.gov.au/privacy/australian-privacy-principles/australian-privacy-principles-guidelines/chapter-7-app-7-direct-marketing</w:t>
      </w:r>
      <w:r w:rsidDel="00000000" w:rsidR="00000000" w:rsidRPr="00000000">
        <w:rPr>
          <w:rtl w:val="0"/>
        </w:rPr>
      </w:r>
    </w:p>
    <w:p w:rsidR="00000000" w:rsidDel="00000000" w:rsidP="00000000" w:rsidRDefault="00000000" w:rsidRPr="00000000" w14:paraId="00000129">
      <w:pPr>
        <w:spacing w:after="120" w:line="264" w:lineRule="auto"/>
        <w:ind w:left="720"/>
        <w:rPr>
          <w:rFonts w:ascii="Calibri" w:cs="Calibri" w:eastAsia="Calibri" w:hAnsi="Calibri"/>
          <w:color w:val="1a1a1a"/>
        </w:rPr>
      </w:pPr>
      <w:r w:rsidDel="00000000" w:rsidR="00000000" w:rsidRPr="00000000">
        <w:rPr>
          <w:rFonts w:ascii="Calibri" w:cs="Calibri" w:eastAsia="Calibri" w:hAnsi="Calibri"/>
          <w:color w:val="1a1a1a"/>
          <w:sz w:val="21"/>
          <w:szCs w:val="21"/>
          <w:rtl w:val="0"/>
        </w:rPr>
        <w:t xml:space="preserve">Pedregosa, F., Varoquaux, G., Gramfort, A., Michel, V., Thirion, B., Grisel, O., Blondel, M., Prettenhofer, P., Weiss, R., Dubourg, V., Vanderplas, J., Passos, A., Cournapeau, D., Brucher, M., Perrot, M., &amp; Duchesnay, É. (2011). Scikit-learn: Machine learning in Python. </w:t>
      </w:r>
      <w:r w:rsidDel="00000000" w:rsidR="00000000" w:rsidRPr="00000000">
        <w:rPr>
          <w:rFonts w:ascii="Calibri" w:cs="Calibri" w:eastAsia="Calibri" w:hAnsi="Calibri"/>
          <w:i w:val="1"/>
          <w:iCs w:val="1"/>
          <w:color w:val="1a1a1a"/>
          <w:sz w:val="21"/>
          <w:szCs w:val="21"/>
          <w:rtl w:val="0"/>
        </w:rPr>
        <w:t xml:space="preserve">Journal of Machine Learning Research, 12</w:t>
      </w:r>
      <w:r w:rsidDel="00000000" w:rsidR="00000000" w:rsidRPr="00000000">
        <w:rPr>
          <w:rFonts w:ascii="Calibri" w:cs="Calibri" w:eastAsia="Calibri" w:hAnsi="Calibri"/>
          <w:color w:val="1a1a1a"/>
          <w:sz w:val="21"/>
          <w:szCs w:val="21"/>
          <w:rtl w:val="0"/>
        </w:rPr>
        <w:t xml:space="preserve">, 2825-2830.</w:t>
      </w:r>
      <w:r w:rsidDel="00000000" w:rsidR="00000000" w:rsidRPr="00000000">
        <w:rPr>
          <w:rtl w:val="0"/>
        </w:rPr>
      </w:r>
    </w:p>
    <w:p w:rsidR="00000000" w:rsidDel="00000000" w:rsidP="00000000" w:rsidRDefault="00000000" w:rsidRPr="00000000" w14:paraId="0000012A">
      <w:pPr>
        <w:spacing w:after="120" w:line="264" w:lineRule="auto"/>
        <w:ind w:left="720"/>
        <w:rPr>
          <w:rFonts w:ascii="Calibri" w:cs="Calibri" w:eastAsia="Calibri" w:hAnsi="Calibri"/>
          <w:color w:val="1a1a1a"/>
        </w:rPr>
      </w:pPr>
      <w:r w:rsidDel="00000000" w:rsidR="00000000" w:rsidRPr="00000000">
        <w:rPr>
          <w:rFonts w:ascii="Calibri" w:cs="Calibri" w:eastAsia="Calibri" w:hAnsi="Calibri"/>
          <w:i w:val="1"/>
          <w:iCs w:val="1"/>
          <w:color w:val="1a1a1a"/>
          <w:sz w:val="21"/>
          <w:szCs w:val="21"/>
          <w:rtl w:val="0"/>
        </w:rPr>
        <w:t xml:space="preserve">Privacy Act 1988</w:t>
      </w:r>
      <w:r w:rsidDel="00000000" w:rsidR="00000000" w:rsidRPr="00000000">
        <w:rPr>
          <w:rFonts w:ascii="Calibri" w:cs="Calibri" w:eastAsia="Calibri" w:hAnsi="Calibri"/>
          <w:color w:val="1a1a1a"/>
          <w:sz w:val="21"/>
          <w:szCs w:val="21"/>
          <w:rtl w:val="0"/>
        </w:rPr>
        <w:t xml:space="preserve"> (Cth).</w:t>
      </w:r>
      <w:r w:rsidDel="00000000" w:rsidR="00000000" w:rsidRPr="00000000">
        <w:rPr>
          <w:rtl w:val="0"/>
        </w:rPr>
      </w:r>
    </w:p>
    <w:p w:rsidR="00000000" w:rsidDel="00000000" w:rsidP="00000000" w:rsidRDefault="00000000" w:rsidRPr="00000000" w14:paraId="0000012B">
      <w:pPr>
        <w:spacing w:after="120" w:line="264" w:lineRule="auto"/>
        <w:ind w:left="720"/>
        <w:rPr>
          <w:rFonts w:ascii="Calibri" w:cs="Calibri" w:eastAsia="Calibri" w:hAnsi="Calibri"/>
          <w:color w:val="1a1a1a"/>
        </w:rPr>
      </w:pPr>
      <w:r w:rsidDel="00000000" w:rsidR="00000000" w:rsidRPr="00000000">
        <w:rPr>
          <w:rFonts w:ascii="Calibri" w:cs="Calibri" w:eastAsia="Calibri" w:hAnsi="Calibri"/>
          <w:i w:val="1"/>
          <w:iCs w:val="1"/>
          <w:color w:val="1a1a1a"/>
          <w:sz w:val="21"/>
          <w:szCs w:val="21"/>
          <w:rtl w:val="0"/>
        </w:rPr>
        <w:t xml:space="preserve">Privacy and Other Legislation Amendment Act 2024</w:t>
      </w:r>
      <w:r w:rsidDel="00000000" w:rsidR="00000000" w:rsidRPr="00000000">
        <w:rPr>
          <w:rFonts w:ascii="Calibri" w:cs="Calibri" w:eastAsia="Calibri" w:hAnsi="Calibri"/>
          <w:color w:val="1a1a1a"/>
          <w:sz w:val="21"/>
          <w:szCs w:val="21"/>
          <w:rtl w:val="0"/>
        </w:rPr>
        <w:t xml:space="preserve"> (Cth).</w:t>
      </w:r>
      <w:r w:rsidDel="00000000" w:rsidR="00000000" w:rsidRPr="00000000">
        <w:rPr>
          <w:rtl w:val="0"/>
        </w:rPr>
      </w:r>
    </w:p>
    <w:p w:rsidR="00000000" w:rsidDel="00000000" w:rsidP="00000000" w:rsidRDefault="00000000" w:rsidRPr="00000000" w14:paraId="0000012C">
      <w:pPr>
        <w:spacing w:after="120" w:line="264" w:lineRule="auto"/>
        <w:ind w:left="720"/>
        <w:rPr>
          <w:rFonts w:ascii="Calibri" w:cs="Calibri" w:eastAsia="Calibri" w:hAnsi="Calibri"/>
          <w:color w:val="1a1a1a"/>
        </w:rPr>
      </w:pPr>
      <w:r w:rsidDel="00000000" w:rsidR="00000000" w:rsidRPr="00000000">
        <w:rPr>
          <w:rFonts w:ascii="Calibri" w:cs="Calibri" w:eastAsia="Calibri" w:hAnsi="Calibri"/>
          <w:color w:val="1a1a1a"/>
          <w:sz w:val="21"/>
          <w:szCs w:val="21"/>
          <w:rtl w:val="0"/>
        </w:rPr>
        <w:t xml:space="preserve">RMIT University. (2023, September 27). </w:t>
      </w:r>
      <w:r w:rsidDel="00000000" w:rsidR="00000000" w:rsidRPr="00000000">
        <w:rPr>
          <w:rFonts w:ascii="Calibri" w:cs="Calibri" w:eastAsia="Calibri" w:hAnsi="Calibri"/>
          <w:i w:val="1"/>
          <w:iCs w:val="1"/>
          <w:color w:val="1a1a1a"/>
          <w:sz w:val="21"/>
          <w:szCs w:val="21"/>
          <w:rtl w:val="0"/>
        </w:rPr>
        <w:t xml:space="preserve">Remote First Nations communities are among the most digitally excluded people in Australia: Report</w:t>
      </w:r>
      <w:r w:rsidDel="00000000" w:rsidR="00000000" w:rsidRPr="00000000">
        <w:rPr>
          <w:rFonts w:ascii="Calibri" w:cs="Calibri" w:eastAsia="Calibri" w:hAnsi="Calibri"/>
          <w:color w:val="1a1a1a"/>
          <w:sz w:val="21"/>
          <w:szCs w:val="21"/>
          <w:rtl w:val="0"/>
        </w:rPr>
        <w:t xml:space="preserve"> [Media release]. https://www.rmit.edu.au/news/all-news/2023/sep/mapping-digital-gap</w:t>
      </w:r>
      <w:r w:rsidDel="00000000" w:rsidR="00000000" w:rsidRPr="00000000">
        <w:rPr>
          <w:rtl w:val="0"/>
        </w:rPr>
      </w:r>
    </w:p>
    <w:p w:rsidR="00000000" w:rsidDel="00000000" w:rsidP="00000000" w:rsidRDefault="00000000" w:rsidRPr="00000000" w14:paraId="0000012D">
      <w:pPr>
        <w:spacing w:after="120" w:line="264" w:lineRule="auto"/>
        <w:ind w:left="720"/>
        <w:rPr>
          <w:rFonts w:ascii="Calibri" w:cs="Calibri" w:eastAsia="Calibri" w:hAnsi="Calibri"/>
          <w:color w:val="1a1a1a"/>
        </w:rPr>
      </w:pPr>
      <w:r w:rsidDel="00000000" w:rsidR="00000000" w:rsidRPr="00000000">
        <w:rPr>
          <w:rFonts w:ascii="Calibri" w:cs="Calibri" w:eastAsia="Calibri" w:hAnsi="Calibri"/>
          <w:color w:val="1a1a1a"/>
          <w:sz w:val="21"/>
          <w:szCs w:val="21"/>
          <w:rtl w:val="0"/>
        </w:rPr>
        <w:t xml:space="preserve">Seabold, S., &amp; Perktold, J. (2010). Statsmodels: Econometric and statistical modeling with Python. In </w:t>
      </w:r>
      <w:r w:rsidDel="00000000" w:rsidR="00000000" w:rsidRPr="00000000">
        <w:rPr>
          <w:rFonts w:ascii="Calibri" w:cs="Calibri" w:eastAsia="Calibri" w:hAnsi="Calibri"/>
          <w:i w:val="1"/>
          <w:iCs w:val="1"/>
          <w:color w:val="1a1a1a"/>
          <w:sz w:val="21"/>
          <w:szCs w:val="21"/>
          <w:rtl w:val="0"/>
        </w:rPr>
        <w:t xml:space="preserve">Proceedings of the 9th Python in Science Conference</w:t>
      </w:r>
      <w:r w:rsidDel="00000000" w:rsidR="00000000" w:rsidRPr="00000000">
        <w:rPr>
          <w:rFonts w:ascii="Calibri" w:cs="Calibri" w:eastAsia="Calibri" w:hAnsi="Calibri"/>
          <w:color w:val="1a1a1a"/>
          <w:sz w:val="21"/>
          <w:szCs w:val="21"/>
          <w:rtl w:val="0"/>
        </w:rPr>
        <w:t xml:space="preserve"> (pp. 92-96). https://doi.org/10.25080/Majora-92bf1922-011</w:t>
      </w: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color w:val="1a1a1a"/>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xyi8cxic4fem" w:id="17"/>
      <w:bookmarkEnd w:id="17"/>
      <w:r w:rsidDel="00000000" w:rsidR="00000000" w:rsidRPr="00000000">
        <w:rPr>
          <w:rFonts w:ascii="Calibri" w:cs="Calibri" w:eastAsia="Calibri" w:hAnsi="Calibri"/>
          <w:b w:val="1"/>
          <w:bCs w:val="1"/>
          <w:color w:val="1f3a5f"/>
          <w:sz w:val="30"/>
          <w:szCs w:val="30"/>
          <w:rtl w:val="0"/>
        </w:rPr>
        <w:t xml:space="preserve">Appendix A. Tests of association with subscription</w:t>
      </w:r>
    </w:p>
    <w:p w:rsidR="00000000" w:rsidDel="00000000" w:rsidP="00000000" w:rsidRDefault="00000000" w:rsidRPr="00000000" w14:paraId="00000130">
      <w:pPr>
        <w:keepNext w:val="1"/>
        <w:spacing w:after="80" w:before="16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Table A1. Chi-square tests (Cramér's V) and Mann-Whitney U tests (rank-biserial r), full cleaned data (n = 41,168)</w:t>
      </w:r>
      <w:r w:rsidDel="00000000" w:rsidR="00000000" w:rsidRPr="00000000">
        <w:rPr>
          <w:rtl w:val="0"/>
        </w:rPr>
      </w:r>
    </w:p>
    <w:tbl>
      <w:tblPr>
        <w:tblStyle w:val="Table8"/>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3"/>
        <w:gridCol w:w="1923"/>
        <w:gridCol w:w="1803"/>
        <w:gridCol w:w="721"/>
        <w:gridCol w:w="1322"/>
        <w:gridCol w:w="1322"/>
        <w:tblGridChange w:id="0">
          <w:tblGrid>
            <w:gridCol w:w="1923"/>
            <w:gridCol w:w="1923"/>
            <w:gridCol w:w="1803"/>
            <w:gridCol w:w="721"/>
            <w:gridCol w:w="1322"/>
            <w:gridCol w:w="1322"/>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1">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2">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3">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Statistic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4">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5">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p-value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6">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Effect size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poutcome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Chi-square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4217.7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0.32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Chi-square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3103.7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0.275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job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Chi-square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960.0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0.153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Chi-square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860.8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0.145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default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Chi-square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406.2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0.099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education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Chi-square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192.4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0.068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marital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Chi-square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123.2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0.055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day_of_week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Chi-square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0.025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housing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Chi-square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loan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Chi-square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0.584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Mann-Whitney 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82,840,420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0.022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Mann-Whitney 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75,347,760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0.11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euribor3m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Mann-Whitney 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43,474,104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0.487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nr.employed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Mann-Whitney 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42,537,496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0.498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cons.price.idx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Mann-Whitney 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65,941,150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0.221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cons.conf.idx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Mann-Whitney 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91,039,638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0.075</w:t>
            </w:r>
            <w:r w:rsidDel="00000000" w:rsidR="00000000" w:rsidRPr="00000000">
              <w:rPr>
                <w:rtl w:val="0"/>
              </w:rPr>
            </w:r>
          </w:p>
        </w:tc>
      </w:tr>
    </w:tbl>
    <w:p w:rsidR="00000000" w:rsidDel="00000000" w:rsidP="00000000" w:rsidRDefault="00000000" w:rsidRPr="00000000" w14:paraId="00000197">
      <w:pPr>
        <w:spacing w:after="160" w:line="240"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198">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uscyrvvu09jn" w:id="18"/>
      <w:bookmarkEnd w:id="18"/>
      <w:r w:rsidDel="00000000" w:rsidR="00000000" w:rsidRPr="00000000">
        <w:rPr>
          <w:rFonts w:ascii="Calibri" w:cs="Calibri" w:eastAsia="Calibri" w:hAnsi="Calibri"/>
          <w:b w:val="1"/>
          <w:bCs w:val="1"/>
          <w:color w:val="1f3a5f"/>
          <w:sz w:val="30"/>
          <w:szCs w:val="30"/>
          <w:rtl w:val="0"/>
        </w:rPr>
        <w:t xml:space="preserve">Appendix B. Logistic regression model selection</w:t>
      </w:r>
    </w:p>
    <w:p w:rsidR="00000000" w:rsidDel="00000000" w:rsidP="00000000" w:rsidRDefault="00000000" w:rsidRPr="00000000" w14:paraId="00000199">
      <w:pPr>
        <w:keepNext w:val="1"/>
        <w:spacing w:after="80" w:before="16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Table B1. Nested logistic models fitted by maximum likelihood on the training set (n = 32,934)</w:t>
      </w:r>
      <w:r w:rsidDel="00000000" w:rsidR="00000000" w:rsidRPr="00000000">
        <w:rPr>
          <w:rtl w:val="0"/>
        </w:rPr>
      </w:r>
    </w:p>
    <w:tbl>
      <w:tblPr>
        <w:tblStyle w:val="Table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5"/>
        <w:gridCol w:w="1071"/>
        <w:gridCol w:w="1296"/>
        <w:gridCol w:w="1183"/>
        <w:gridCol w:w="1183"/>
        <w:gridCol w:w="1127"/>
        <w:tblGridChange w:id="0">
          <w:tblGrid>
            <w:gridCol w:w="3155"/>
            <w:gridCol w:w="1071"/>
            <w:gridCol w:w="1296"/>
            <w:gridCol w:w="1183"/>
            <w:gridCol w:w="1183"/>
            <w:gridCol w:w="112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A">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B">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Parameters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C">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Log-likelihood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D">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AIC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E">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BIC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F">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McFadden R²</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M1 customer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-10,953.6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21,961.2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22,188.1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0.055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M2 + contact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-10,040.2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20,142.5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20,402.9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0.134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M3 + economy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-9,374.2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18,816.4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19,102.1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0.191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M4 + timing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-9,195.2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18,484.4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18,879.3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0.207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M4 using euribor3m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-9,205.2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18,504.4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18,899.3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0.206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M5 + contact x previous 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-9,195.1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18,488.3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18,900.0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0.207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M6 + contact x age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-9,191.6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18,487.1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18,924.1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0.207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M4 without 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-9,202.0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18,488.0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18,840.9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0.206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M4 with linear 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-9,202.0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18,489.9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18,851.2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0.206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M4 with age + age^2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-9,195.3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18,478.5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18,848.2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0.207</w:t>
            </w:r>
            <w:r w:rsidDel="00000000" w:rsidR="00000000" w:rsidRPr="00000000">
              <w:rPr>
                <w:rtl w:val="0"/>
              </w:rPr>
            </w:r>
          </w:p>
        </w:tc>
      </w:tr>
    </w:tbl>
    <w:p w:rsidR="00000000" w:rsidDel="00000000" w:rsidP="00000000" w:rsidRDefault="00000000" w:rsidRPr="00000000" w14:paraId="000001DC">
      <w:pPr>
        <w:spacing w:after="160" w:line="240"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1DD">
      <w:pPr>
        <w:keepNext w:val="1"/>
        <w:spacing w:after="80" w:before="16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Table B2. Likelihood-ratio tests</w:t>
      </w:r>
      <w:r w:rsidDel="00000000" w:rsidR="00000000" w:rsidRPr="00000000">
        <w:rPr>
          <w:rtl w:val="0"/>
        </w:rPr>
      </w:r>
    </w:p>
    <w:tbl>
      <w:tblPr>
        <w:tblStyle w:val="Table1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0"/>
        <w:gridCol w:w="1127"/>
        <w:gridCol w:w="676"/>
        <w:gridCol w:w="1352"/>
        <w:tblGridChange w:id="0">
          <w:tblGrid>
            <w:gridCol w:w="5860"/>
            <w:gridCol w:w="1127"/>
            <w:gridCol w:w="676"/>
            <w:gridCol w:w="1352"/>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DE">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DF">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LR χ²</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E0">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E1">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p-value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M1 customer profile → M2 + contact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1826.8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M2 + contact history → M3 + economy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1332.1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M3 + economy → M4 + timing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358.0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M4 + timing → M5 + contact x previous 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0.940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M4 + timing → M6 + contact x age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0.201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M4 without age → M4 + timing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M4 with linear age → M4 with age + age^2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&lt; 0.001</w:t>
            </w:r>
            <w:r w:rsidDel="00000000" w:rsidR="00000000" w:rsidRPr="00000000">
              <w:rPr>
                <w:rtl w:val="0"/>
              </w:rPr>
            </w:r>
          </w:p>
        </w:tc>
      </w:tr>
    </w:tbl>
    <w:p w:rsidR="00000000" w:rsidDel="00000000" w:rsidP="00000000" w:rsidRDefault="00000000" w:rsidRPr="00000000" w14:paraId="000001FE">
      <w:pPr>
        <w:spacing w:after="160" w:line="240"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1F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dmq41nxob0u2" w:id="19"/>
      <w:bookmarkEnd w:id="19"/>
      <w:r w:rsidDel="00000000" w:rsidR="00000000" w:rsidRPr="00000000">
        <w:rPr>
          <w:rFonts w:ascii="Calibri" w:cs="Calibri" w:eastAsia="Calibri" w:hAnsi="Calibri"/>
          <w:b w:val="1"/>
          <w:bCs w:val="1"/>
          <w:color w:val="1f3a5f"/>
          <w:sz w:val="30"/>
          <w:szCs w:val="30"/>
          <w:rtl w:val="0"/>
        </w:rPr>
        <w:t xml:space="preserve">Appendix C. Decision tree segments</w:t>
      </w:r>
    </w:p>
    <w:p w:rsidR="00000000" w:rsidDel="00000000" w:rsidP="00000000" w:rsidRDefault="00000000" w:rsidRPr="00000000" w14:paraId="00000200">
      <w:pPr>
        <w:keepNext w:val="1"/>
        <w:spacing w:after="80" w:before="16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Table C1. Leaves of a depth-3 decision tree (minimum 300 customers per leaf), training set</w:t>
      </w: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82"/>
        <w:gridCol w:w="1071"/>
        <w:gridCol w:w="1183"/>
        <w:gridCol w:w="1240"/>
        <w:gridCol w:w="1240"/>
        <w:tblGridChange w:id="0">
          <w:tblGrid>
            <w:gridCol w:w="4282"/>
            <w:gridCol w:w="1071"/>
            <w:gridCol w:w="1183"/>
            <w:gridCol w:w="1240"/>
            <w:gridCol w:w="124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1">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Segment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2">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3">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Share of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4">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Subscription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5">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Share of subscribers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nr.employed &lt;= 5,087.7 and poutcome = success and cons.price.idx &gt; 93.2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523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76.7%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nr.employed &lt;= 5,087.7 and poutcome = success and cons.price.idx &lt;= 93.2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64.2%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6.6%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nr.employed &lt;= 5,087.7 and poutcome != success and contact = cellular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2,602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27.0%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nr.employed &gt; 5,087.7 and cons.conf.idx &lt;= -46.6 and poutcome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1,673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nr.employed &lt;= 5,087.7 and poutcome != success and contact != cellular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nr.employed &gt; 5,087.7 and cons.conf.idx &lt;= -46.6 and poutcome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nr.employed &gt; 5,087.7 and cons.conf.idx &gt; -46.6 and cons.price.idx &lt;= 94.0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17,096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51.9%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31.3%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nr.employed &gt; 5,087.7 and cons.conf.idx &gt; -46.6 and cons.price.idx &gt; 94.0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9,682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9.3%</w:t>
            </w:r>
            <w:r w:rsidDel="00000000" w:rsidR="00000000" w:rsidRPr="00000000">
              <w:rPr>
                <w:rtl w:val="0"/>
              </w:rPr>
            </w:r>
          </w:p>
        </w:tc>
      </w:tr>
    </w:tbl>
    <w:p w:rsidR="00000000" w:rsidDel="00000000" w:rsidP="00000000" w:rsidRDefault="00000000" w:rsidRPr="00000000" w14:paraId="0000022E">
      <w:pPr>
        <w:spacing w:after="160" w:line="240"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22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n9u6x3rt2t8s" w:id="20"/>
      <w:bookmarkEnd w:id="20"/>
      <w:r w:rsidDel="00000000" w:rsidR="00000000" w:rsidRPr="00000000">
        <w:rPr>
          <w:rFonts w:ascii="Calibri" w:cs="Calibri" w:eastAsia="Calibri" w:hAnsi="Calibri"/>
          <w:b w:val="1"/>
          <w:bCs w:val="1"/>
          <w:color w:val="1f3a5f"/>
          <w:sz w:val="30"/>
          <w:szCs w:val="30"/>
          <w:rtl w:val="0"/>
        </w:rPr>
        <w:t xml:space="preserve">Appendix D. Bayesian segment estimates</w:t>
      </w:r>
    </w:p>
    <w:p w:rsidR="00000000" w:rsidDel="00000000" w:rsidP="00000000" w:rsidRDefault="00000000" w:rsidRPr="00000000" w14:paraId="00000230">
      <w:pPr>
        <w:keepNext w:val="1"/>
        <w:spacing w:after="80" w:before="16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Table D1. Posterior subscription rates (prior Beta(2.25, 17.75)); last column uses the uniform prior Beta(1, 1)</w:t>
      </w:r>
      <w:r w:rsidDel="00000000" w:rsidR="00000000" w:rsidRPr="00000000">
        <w:rPr>
          <w:rtl w:val="0"/>
        </w:rPr>
      </w:r>
    </w:p>
    <w:tbl>
      <w:tblPr>
        <w:tblStyle w:val="Table12"/>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1"/>
        <w:gridCol w:w="795"/>
        <w:gridCol w:w="902"/>
        <w:gridCol w:w="1061"/>
        <w:gridCol w:w="1538"/>
        <w:gridCol w:w="1061"/>
        <w:gridCol w:w="1538"/>
        <w:tblGridChange w:id="0">
          <w:tblGrid>
            <w:gridCol w:w="2121"/>
            <w:gridCol w:w="795"/>
            <w:gridCol w:w="902"/>
            <w:gridCol w:w="1061"/>
            <w:gridCol w:w="1538"/>
            <w:gridCol w:w="1061"/>
            <w:gridCol w:w="15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1">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Segment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2">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3">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Observed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4">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Posterior mean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5">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95% credible interval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6">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P(rate &gt; 11.3%)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7">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Uniform prior 95% CrI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Age: 17-24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21.3% to 26.3%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0.215 to 0.266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Age: 25-34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13,684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11.6% to 12.7%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0.116 to 0.127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Age: 35-44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13,492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8.2% to 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0.082 to 0.091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Age: 45-54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8,701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8.1% to 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0.081 to 0.093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Age: 55-64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3,563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12.4% to 14.7%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0.125 to 0.147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Age: 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661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42.6% to 50.0%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0.436 to 0.512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Job: blue-collar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9,252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6.4% to 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0.064 to 0.074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Job: retired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1,716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23.1% to 27.1%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0.232 to 0.273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Job: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875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28.0% to 34.0%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0.284 to 0.346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Education: illiterate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6.6% to 29.6%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0.802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0.091 to 0.456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Education: university.degree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12,162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13.1% to 14.3%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0.131 to 0.143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Previous outcome: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4,250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13.2% to 15.3%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0.132 to 0.153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Previous outcome: nonexistent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35,547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8.5% to 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0.085 to 0.091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Previous outcome: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65.1%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64.3%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61.8% to 66.8%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0.625 to 0.675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Contact: cellular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26,131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14.3% to 15.2%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0.143 to 0.152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Contact: telephone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15,037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4.9% to 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0.049 to 0.056</w:t>
            </w:r>
            <w:r w:rsidDel="00000000" w:rsidR="00000000" w:rsidRPr="00000000">
              <w:rPr>
                <w:rtl w:val="0"/>
              </w:rPr>
            </w:r>
          </w:p>
        </w:tc>
      </w:tr>
    </w:tbl>
    <w:p w:rsidR="00000000" w:rsidDel="00000000" w:rsidP="00000000" w:rsidRDefault="00000000" w:rsidRPr="00000000" w14:paraId="000002A8">
      <w:pPr>
        <w:spacing w:after="160" w:line="240"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2A9">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yv4w9i8wh7x1" w:id="21"/>
      <w:bookmarkEnd w:id="21"/>
      <w:r w:rsidDel="00000000" w:rsidR="00000000" w:rsidRPr="00000000">
        <w:rPr>
          <w:rFonts w:ascii="Calibri" w:cs="Calibri" w:eastAsia="Calibri" w:hAnsi="Calibri"/>
          <w:b w:val="1"/>
          <w:bCs w:val="1"/>
          <w:color w:val="1f3a5f"/>
          <w:sz w:val="30"/>
          <w:szCs w:val="30"/>
          <w:rtl w:val="0"/>
        </w:rPr>
        <w:t xml:space="preserve">Appendix E. Full odds ratio table (model M4)</w:t>
      </w:r>
    </w:p>
    <w:p w:rsidR="00000000" w:rsidDel="00000000" w:rsidP="00000000" w:rsidRDefault="00000000" w:rsidRPr="00000000" w14:paraId="000002AA">
      <w:pPr>
        <w:keepNext w:val="1"/>
        <w:spacing w:after="80" w:before="16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Table E1. Odds ratios with 95% confidence intervals (reference levels: age 35-44, admin., divorced, university.degree, cellular, nonexistent, May, Friday)</w:t>
      </w: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6"/>
        <w:gridCol w:w="1127"/>
        <w:gridCol w:w="2254"/>
        <w:gridCol w:w="1409"/>
        <w:tblGridChange w:id="0">
          <w:tblGrid>
            <w:gridCol w:w="4226"/>
            <w:gridCol w:w="1127"/>
            <w:gridCol w:w="2254"/>
            <w:gridCol w:w="140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B">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6"/>
                <w:szCs w:val="16"/>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C">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6"/>
                <w:szCs w:val="16"/>
                <w:rtl w:val="0"/>
              </w:rPr>
              <w:t xml:space="preserve">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D">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6"/>
                <w:szCs w:val="16"/>
                <w:rtl w:val="0"/>
              </w:rPr>
              <w:t xml:space="preserve">95% CI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E">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6"/>
                <w:szCs w:val="16"/>
                <w:rtl w:val="0"/>
              </w:rPr>
              <w:t xml:space="preserve">p-value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Age 17-24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1.302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1.034 to 1.639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0.025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Age 25-34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1.134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1.023 to 1.258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0.017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Age 45-54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1.094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0.972 to 1.231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0.135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Age 55-64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1.179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1.004 to 1.386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0.045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Age 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1.480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1.112 to 1.968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0.007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Job: blue-collar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0.758 to 1.024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0.100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Job: entrepreneur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0.798 to 1.269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0.955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Job: housemaid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0.701 to 1.225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0.592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Job: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0.830 to 1.151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0.788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Job: retired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1.170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0.928 to 1.476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0.185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Job: self-employed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0.747 to 1.169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0.552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Job: services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0.753 to 1.043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0.146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Job: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1.146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0.907 to 1.448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0.255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Job: technician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0.870 to 1.139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0.950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Job: unemployed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0.676 to 1.121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0.284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Job: unknown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0.729 to 1.746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0.590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Marital: married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1.084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0.950 to 1.237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0.233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Marital: single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1.107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0.953 to 1.286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0.185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Marital: unknown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1.373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0.635 to 2.967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0.420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Education: basic.4y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0.753 to 1.071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0.230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Education: basic.6y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1.056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0.856 to 1.302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Education: basic.9y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0.729 to 0.995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0.044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Education: high.school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0.834 to 1.050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0.257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Education: professional.course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0.813 to 1.084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0.387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Education: unknown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1.058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0.867 to 1.291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0.581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Contact: telephone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0.541 to 0.704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Previous outcome: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0.559 to 0.711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Previous outcome: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3.684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3.166 to 4.287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Month: apr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1.997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1.730 to 2.305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Month: aug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1.650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1.397 to 1.948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Month: dec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2.296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1.585 to 3.324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Month: jul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2.319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1.990 to 2.701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Month: jun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2.478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2.142 to 2.869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Month: mar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4.315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3.445 to 5.407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Month: nov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1.389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1.182 to 1.632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Month: oct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1.592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1.274 to 1.990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Month: sep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1.154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0.901 to 1.477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0.256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Day: mon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0.727 to 0.933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0.002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Day: thu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0.901 to 1.148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0.787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Day: tue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0.881 to 1.133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0.989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Day: 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1.123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0.993 to 1.271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0.065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default_unk (default not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0.788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0.695 to 0.893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log2(campaign)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0.891 to 0.971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nr.employed (per 1 unit)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0.989 to 0.990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cons.price.idx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0.904 to 1.067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0.667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cons.conf.idx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1.009 to 1.030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6"/>
                <w:szCs w:val="16"/>
                <w:rtl w:val="0"/>
              </w:rPr>
              <w:t xml:space="preserve">&lt; 0.001</w:t>
            </w:r>
            <w:r w:rsidDel="00000000" w:rsidR="00000000" w:rsidRPr="00000000">
              <w:rPr>
                <w:rtl w:val="0"/>
              </w:rPr>
            </w:r>
          </w:p>
        </w:tc>
      </w:tr>
    </w:tbl>
    <w:p w:rsidR="00000000" w:rsidDel="00000000" w:rsidP="00000000" w:rsidRDefault="00000000" w:rsidRPr="00000000" w14:paraId="00000367">
      <w:pPr>
        <w:spacing w:after="160" w:line="240"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368">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62wqfges0qy9" w:id="22"/>
      <w:bookmarkEnd w:id="22"/>
      <w:r w:rsidDel="00000000" w:rsidR="00000000" w:rsidRPr="00000000">
        <w:rPr>
          <w:rFonts w:ascii="Calibri" w:cs="Calibri" w:eastAsia="Calibri" w:hAnsi="Calibri"/>
          <w:b w:val="1"/>
          <w:bCs w:val="1"/>
          <w:color w:val="1f3a5f"/>
          <w:sz w:val="30"/>
          <w:szCs w:val="30"/>
          <w:rtl w:val="0"/>
        </w:rPr>
        <w:t xml:space="preserve">Appendix F. Code</w:t>
      </w:r>
    </w:p>
    <w:p w:rsidR="00000000" w:rsidDel="00000000" w:rsidP="00000000" w:rsidRDefault="00000000" w:rsidRPr="00000000" w14:paraId="00000369">
      <w:pPr>
        <w:spacing w:after="1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All analysis code is in the notebook QuangTrungNguyen_Assessment3_Code_01112026.ipynb, submitted with this report. It runs from top to bottom with data.csv in the same folder (random seed 42) and recreates every table and figure. Sections: 1 setup and loading; 2 data checks and cleaning; 3 tests of association; 4 train/test split; 5 logistic regression (MLE, model selection, assumptions, odds ratios); 6 non-parametric models and tuning; 7 model comparison (CV, test, bootstrap, calibration, phase-3 test); 8 permutation importance, partial dependence and tree segments; 9 Bayesian estimation (segment rates; logistic regression by MCMC with diagnostics and prior sensitivity); 10 business insight calculations; 11 fairness check; 12 hypothesis summary.</w:t>
      </w:r>
    </w:p>
    <w:p w:rsidR="00000000" w:rsidDel="00000000" w:rsidP="00000000" w:rsidRDefault="00000000" w:rsidRPr="00000000" w14:paraId="0000036A">
      <w:pPr>
        <w:spacing w:line="240" w:lineRule="auto"/>
        <w:rPr>
          <w:rFonts w:ascii="Calibri" w:cs="Calibri" w:eastAsia="Calibri" w:hAnsi="Calibri"/>
          <w:color w:val="1a1a1a"/>
        </w:rPr>
      </w:pPr>
      <w:r w:rsidDel="00000000" w:rsidR="00000000" w:rsidRPr="00000000">
        <w:br w:type="page"/>
      </w:r>
      <w:r w:rsidDel="00000000" w:rsidR="00000000" w:rsidRPr="00000000">
        <w:rPr>
          <w:rtl w:val="0"/>
        </w:rPr>
      </w:r>
    </w:p>
    <w:p w:rsidR="00000000" w:rsidDel="00000000" w:rsidP="00000000" w:rsidRDefault="00000000" w:rsidRPr="00000000" w14:paraId="0000036B">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jijxx3h1yo38" w:id="23"/>
      <w:bookmarkEnd w:id="23"/>
      <w:r w:rsidDel="00000000" w:rsidR="00000000" w:rsidRPr="00000000">
        <w:rPr>
          <w:rFonts w:ascii="Calibri" w:cs="Calibri" w:eastAsia="Calibri" w:hAnsi="Calibri"/>
          <w:b w:val="1"/>
          <w:bCs w:val="1"/>
          <w:color w:val="1f3a5f"/>
          <w:sz w:val="30"/>
          <w:szCs w:val="30"/>
          <w:rtl w:val="0"/>
        </w:rPr>
        <w:t xml:space="preserve">Appendix G. Bayesian logistic regression compared with maximum likelihood</w:t>
      </w:r>
    </w:p>
    <w:p w:rsidR="00000000" w:rsidDel="00000000" w:rsidP="00000000" w:rsidRDefault="00000000" w:rsidRPr="00000000" w14:paraId="0000036C">
      <w:pPr>
        <w:keepNext w:val="1"/>
        <w:spacing w:after="80" w:before="16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9"/>
          <w:szCs w:val="19"/>
          <w:rtl w:val="0"/>
        </w:rPr>
        <w:t xml:space="preserve">Table G1. Odds ratios from maximum likelihood (95% CI) and from the Bayesian model (posterior median and 95% credible interval), with MCMC diagnostics</w:t>
      </w:r>
      <w:r w:rsidDel="00000000" w:rsidR="00000000" w:rsidRPr="00000000">
        <w:rPr>
          <w:rtl w:val="0"/>
        </w:rPr>
      </w:r>
    </w:p>
    <w:tbl>
      <w:tblPr>
        <w:tblStyle w:val="Table1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902"/>
        <w:gridCol w:w="1521"/>
        <w:gridCol w:w="958"/>
        <w:gridCol w:w="1521"/>
        <w:gridCol w:w="732"/>
        <w:gridCol w:w="789"/>
        <w:tblGridChange w:id="0">
          <w:tblGrid>
            <w:gridCol w:w="2592"/>
            <w:gridCol w:w="902"/>
            <w:gridCol w:w="1521"/>
            <w:gridCol w:w="958"/>
            <w:gridCol w:w="1521"/>
            <w:gridCol w:w="732"/>
            <w:gridCol w:w="78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D">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E">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MLE 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F">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95% CI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0">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Bayes 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1">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95% CrI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2">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R-hat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3">
            <w:pPr>
              <w:spacing w:line="240" w:lineRule="auto"/>
              <w:rPr>
                <w:rFonts w:ascii="Calibri" w:cs="Calibri" w:eastAsia="Calibri" w:hAnsi="Calibri"/>
                <w:color w:val="1a1a1a"/>
              </w:rPr>
            </w:pPr>
            <w:r w:rsidDel="00000000" w:rsidR="00000000" w:rsidRPr="00000000">
              <w:rPr>
                <w:rFonts w:ascii="Calibri" w:cs="Calibri" w:eastAsia="Calibri" w:hAnsi="Calibri"/>
                <w:b w:val="1"/>
                <w:bCs w:val="1"/>
                <w:color w:val="1a1a1a"/>
                <w:sz w:val="17"/>
                <w:szCs w:val="17"/>
                <w:rtl w:val="0"/>
              </w:rPr>
              <w:t xml:space="preserve">ESS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Previous outcome: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3.684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3.166 to 4.287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3.686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3.170 to 4.326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1,356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Previous outcome: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0.631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0.559 to 0.711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0.627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0.556 to 0.709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1,498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Contact: telephone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0.618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0.541 to 0.704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0.614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0.536 to 0.700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1,483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Age 17-24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1.034 to 1.639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1.301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1.032 to 1.637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1,619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Age 25-34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1.134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1.023 to 1.258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1.133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1.022 to 1.250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1,663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Age 45-54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0.972 to 1.231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0.968 to 1.226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1,537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Age 55-64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1.179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1.004 to 1.386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1.177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0.994 to 1.380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1,424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Age 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1.480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1.112 to 1.968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1.477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1.114 to 1.974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1,682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Job: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1.146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0.907 to 1.448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1.152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0.908 to 1.442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1,596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Job: retired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1.170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0.928 to 1.476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1.169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0.926 to 1.475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1,512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Job: blue-collar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0.881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0.758 to 1.024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0.882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0.757 to 1.034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1,418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default_unk (default not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0.788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0.695 to 0.893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0.790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0.695 to 0.893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1,538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log2(campaign)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0.930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0.891 to 0.971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0.929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0.890 to 0.970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1,574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nr.employed (per 1 unit)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0.990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0.989 to 0.990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0.990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0.989 to 0.990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4">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5">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1,500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6">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Month: mar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7">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4.315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8">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3.445 to 5.407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9">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4.310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A">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3.403 to 5.448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B">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C">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1,574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D">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Day: mon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E">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0.824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F">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0.727 to 0.933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0">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0.823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1">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0.729 to 0.937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2">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3">
            <w:pPr>
              <w:spacing w:line="240" w:lineRule="auto"/>
              <w:rPr>
                <w:rFonts w:ascii="Calibri" w:cs="Calibri" w:eastAsia="Calibri" w:hAnsi="Calibri"/>
                <w:color w:val="1a1a1a"/>
              </w:rPr>
            </w:pPr>
            <w:r w:rsidDel="00000000" w:rsidR="00000000" w:rsidRPr="00000000">
              <w:rPr>
                <w:rFonts w:ascii="Calibri" w:cs="Calibri" w:eastAsia="Calibri" w:hAnsi="Calibri"/>
                <w:color w:val="1a1a1a"/>
                <w:sz w:val="17"/>
                <w:szCs w:val="17"/>
                <w:rtl w:val="0"/>
              </w:rPr>
              <w:t xml:space="preserve">1,618</w:t>
            </w:r>
            <w:r w:rsidDel="00000000" w:rsidR="00000000" w:rsidRPr="00000000">
              <w:rPr>
                <w:rtl w:val="0"/>
              </w:rPr>
            </w:r>
          </w:p>
        </w:tc>
      </w:tr>
    </w:tbl>
    <w:p w:rsidR="00000000" w:rsidDel="00000000" w:rsidP="00000000" w:rsidRDefault="00000000" w:rsidRPr="00000000" w14:paraId="000003E4">
      <w:pPr>
        <w:spacing w:after="200" w:before="60" w:line="240" w:lineRule="auto"/>
        <w:rPr>
          <w:rFonts w:ascii="Calibri" w:cs="Calibri" w:eastAsia="Calibri" w:hAnsi="Calibri"/>
          <w:color w:val="1a1a1a"/>
        </w:rPr>
      </w:pPr>
      <w:r w:rsidDel="00000000" w:rsidR="00000000" w:rsidRPr="00000000">
        <w:rPr>
          <w:rFonts w:ascii="Calibri" w:cs="Calibri" w:eastAsia="Calibri" w:hAnsi="Calibri"/>
          <w:i w:val="1"/>
          <w:iCs w:val="1"/>
          <w:color w:val="555555"/>
          <w:sz w:val="17"/>
          <w:szCs w:val="17"/>
          <w:rtl w:val="0"/>
        </w:rPr>
        <w:t xml:space="preserve">Note. Normal(0, 2.5²) priors; 4 chains, 4,400 retained draws. All 46 terms are in tables/bayes_logit_vs_mle.csv. With the tighter Normal(0, 0.5²) prior the largest shift in a posterior mean is 1.1 standard errors (median 0.24); for the terms in Table 6 it is 0.6 or less.</w:t>
      </w:r>
      <w:r w:rsidDel="00000000" w:rsidR="00000000" w:rsidRPr="00000000">
        <w:rPr>
          <w:rtl w:val="0"/>
        </w:rPr>
      </w:r>
    </w:p>
    <w:p w:rsidR="00000000" w:rsidDel="00000000" w:rsidP="00000000" w:rsidRDefault="00000000" w:rsidRPr="00000000" w14:paraId="000003E5">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ung Nguyễn Quang" w:id="1" w:date="2026-10-30T09:55:18Z">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hơi phô</w:t>
      </w:r>
    </w:p>
  </w:comment>
  <w:comment w:author="Trung Nguyễn Quang" w:id="4" w:date="2026-10-30T11:41:24Z">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rất kỳ</w:t>
      </w:r>
    </w:p>
  </w:comment>
  <w:comment w:author="Trung Nguyễn Quang" w:id="0" w:date="2026-10-30T09:23:34Z">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câu này hơi kỳ, bỏ đi</w:t>
      </w:r>
    </w:p>
  </w:comment>
  <w:comment w:author="Trung Nguyễn Quang" w:id="2" w:date="2026-10-30T10:57:43Z">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block này là gì? chưa định nghĩa</w:t>
      </w:r>
    </w:p>
  </w:comment>
  <w:comment w:author="Trung Nguyễn Quang" w:id="3" w:date="2026-10-30T11:11:42Z">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6group này là gì</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E6" w15:done="0"/>
  <w15:commentEx w15:paraId="000003E7" w15:done="0"/>
  <w15:commentEx w15:paraId="000003E8" w15:done="0"/>
  <w15:commentEx w15:paraId="000003E9" w15:done="0"/>
  <w15:commentEx w15:paraId="000003EA"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30T09:55:18Z"/>
  <w16cex:commentExtensible w16cex:durableId="00000002" w16cex:dateUtc="2026-10-30T11:41:24Z"/>
  <w16cex:commentExtensible w16cex:durableId="00000003" w16cex:dateUtc="2026-10-30T09:23:34Z"/>
  <w16cex:commentExtensible w16cex:durableId="00000004" w16cex:dateUtc="2026-10-30T10:57:43Z"/>
  <w16cex:commentExtensible w16cex:durableId="00000005" w16cex:dateUtc="2026-10-30T11:11:4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3E6" w16cid:durableId="00000001"/>
  <w16cid:commentId w16cid:paraId="000003E7" w16cid:durableId="00000002"/>
  <w16cid:commentId w16cid:paraId="000003E8" w16cid:durableId="00000003"/>
  <w16cid:commentId w16cid:paraId="000003E9" w16cid:durableId="00000004"/>
  <w16cid:commentId w16cid:paraId="000003EA" w16cid:durableId="00000005"/>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image" Target="media/image5.png"/><Relationship Id="rId14"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