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6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20"/>
        <w:jc w:val="center"/>
      </w:pPr>
      <w:r>
        <w:rPr>
          <w:rFonts w:ascii="Times New Roman" w:cs="Times New Roman" w:eastAsia="Times New Roman" w:hAnsi="Times New Roman"/>
          <w:b/>
          <w:bCs/>
          <w:i w:val="false"/>
          <w:iCs w:val="false"/>
          <w:sz w:val="32"/>
          <w:szCs w:val="32"/>
        </w:rPr>
        <w:t xml:space="preserve">BÁO CÁO NGHIÊN CỨU VÀ ĐỀ XUẤT</w:t>
      </w:r>
    </w:p>
    <w:p>
      <w:pPr>
        <w:spacing w:after="120"/>
        <w:jc w:val="center"/>
      </w:pPr>
      <w:r>
        <w:rPr>
          <w:rFonts w:ascii="Times New Roman" w:cs="Times New Roman" w:eastAsia="Times New Roman" w:hAnsi="Times New Roman"/>
          <w:b/>
          <w:bCs/>
          <w:i w:val="false"/>
          <w:iCs w:val="false"/>
          <w:color w:val="1F3864"/>
          <w:sz w:val="32"/>
          <w:szCs w:val="32"/>
        </w:rPr>
        <w:t xml:space="preserve">ĐỊNH HƯỚNG PHÁT TRIỂN SẢN PHẨM</w:t>
      </w:r>
    </w:p>
    <w:p>
      <w:pPr>
        <w:spacing w:after="60"/>
        <w:jc w:val="center"/>
      </w:pPr>
      <w:r>
        <w:rPr>
          <w:rFonts w:ascii="Times New Roman" w:cs="Times New Roman" w:eastAsia="Times New Roman" w:hAnsi="Times New Roman"/>
          <w:b/>
          <w:bCs/>
          <w:i w:val="false"/>
          <w:iCs w:val="false"/>
          <w:sz w:val="28"/>
          <w:szCs w:val="28"/>
        </w:rPr>
        <w:t xml:space="preserve">ĐỂ THAM DỰ CUỘC THI TÌM KIẾM TÀI NĂNG</w:t>
      </w:r>
    </w:p>
    <w:p>
      <w:pPr>
        <w:spacing w:after="400"/>
        <w:jc w:val="center"/>
      </w:pPr>
      <w:r>
        <w:rPr>
          <w:rFonts w:ascii="Times New Roman" w:cs="Times New Roman" w:eastAsia="Times New Roman" w:hAnsi="Times New Roman"/>
          <w:b/>
          <w:bCs/>
          <w:i w:val="false"/>
          <w:iCs w:val="false"/>
          <w:sz w:val="28"/>
          <w:szCs w:val="28"/>
        </w:rPr>
        <w:t xml:space="preserve">KHỞI NGHIỆP SÁNG TẠO THÀNH PHỐ HẢI PHÒNG NĂM 2026</w:t>
      </w:r>
    </w:p>
    <w:p>
      <w:pPr>
        <w:spacing w:after="600"/>
        <w:jc w:val="center"/>
      </w:pPr>
      <w:r>
        <w:rPr>
          <w:rFonts w:ascii="Times New Roman" w:cs="Times New Roman" w:eastAsia="Times New Roman" w:hAnsi="Times New Roman"/>
          <w:b w:val="false"/>
          <w:bCs w:val="false"/>
          <w:i/>
          <w:iCs/>
          <w:sz w:val="26"/>
          <w:szCs w:val="26"/>
        </w:rPr>
        <w:t xml:space="preserve">Chủ đề: "Smart City Operations" – Vận hành thành phố thông minh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Sản phẩm dự thi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Nền tảng số hóa và trích xuất dữ liệu tự động từ hồ sơ, tài liệu giấy bằng AI (tên đề xuất: DocuFlow HP)</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Lĩnh vực đăng ký</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Lĩnh vực 3 – Quản trị đô thị thông minh</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Đơn vị chủ trì</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Trường Đại học Quản lý và Công nghệ Hải Phòng (HPU)</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Trạng thái sản phẩm</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Đã triển khai và vận hành thực tế (Pilot nội bộ)</w:t>
            </w:r>
          </w:p>
        </w:tc>
      </w:tr>
      <w:tr>
        <w:trPr>
          <w:tblHeader w:val="false"/>
        </w:trPr>
        <w:tc>
          <w:tcPr>
            <w:tcW w:type="dxa" w:w="24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Định hướng kỹ thuật trọng tâm</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Chuyển sang kiến trúc hai chế độ thông qua lớp trừu tượng hóa mô hình: mô hình mở chạy tại chỗ cho tài liệu nhạy cảm; mô hình đám mây cho tài liệu công khai. Công cụ phục vụ mô hình tại chỗ là hạng mục lựa chọn được, không phải ràng buộc kiến trúc</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Người lập báo cáo</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Nhóm dự án – SCEI, HPU</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Tháng 7/2026</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 TÓM TẮT ĐIỀU HÀNH</w:t>
      </w:r>
    </w:p>
    <w:p>
      <w:pPr>
        <w:spacing w:after="120" w:line="300"/>
        <w:jc w:val="both"/>
      </w:pPr>
      <w:r>
        <w:rPr>
          <w:rFonts w:ascii="Times New Roman" w:cs="Times New Roman" w:eastAsia="Times New Roman" w:hAnsi="Times New Roman"/>
          <w:b/>
          <w:bCs/>
          <w:sz w:val="26"/>
          <w:szCs w:val="26"/>
        </w:rPr>
        <w:t xml:space="preserve">Kết luận chính: </w:t>
      </w:r>
      <w:r>
        <w:rPr>
          <w:rFonts w:ascii="Times New Roman" w:cs="Times New Roman" w:eastAsia="Times New Roman" w:hAnsi="Times New Roman"/>
          <w:b w:val="false"/>
          <w:bCs w:val="false"/>
          <w:i w:val="false"/>
          <w:iCs w:val="false"/>
          <w:sz w:val="26"/>
          <w:szCs w:val="26"/>
        </w:rPr>
        <w:t xml:space="preserve">Phần mềm OCR và biên mục tự động sử dụng AI do Trung tâm Thông tin Thư viện HPU xây dựng năm 2025 là một sản phẩm công nghệ hoàn chỉnh, đã vận hành thực tế và có lõi kỹ thuật đủ mạnh. Tuy nhiên, ở nguyên trạng, sản phẩm </w:t>
      </w:r>
      <w:r>
        <w:rPr>
          <w:rFonts w:ascii="Times New Roman" w:cs="Times New Roman" w:eastAsia="Times New Roman" w:hAnsi="Times New Roman"/>
          <w:b/>
          <w:bCs/>
          <w:sz w:val="26"/>
          <w:szCs w:val="26"/>
        </w:rPr>
        <w:t xml:space="preserve">không phù hợp với chủ đề và ba lĩnh vực dự thi</w:t>
      </w:r>
      <w:r>
        <w:rPr>
          <w:rFonts w:ascii="Times New Roman" w:cs="Times New Roman" w:eastAsia="Times New Roman" w:hAnsi="Times New Roman"/>
          <w:b w:val="false"/>
          <w:bCs w:val="false"/>
          <w:i w:val="false"/>
          <w:iCs w:val="false"/>
          <w:sz w:val="26"/>
          <w:szCs w:val="26"/>
        </w:rPr>
        <w:t xml:space="preserve"> của Cuộc thi Tìm kiếm tài năng khởi nghiệp sáng tạo thành phố Hải Phòng năm 2026.</w:t>
      </w:r>
    </w:p>
    <w:p>
      <w:pPr>
        <w:spacing w:after="120" w:line="300"/>
        <w:jc w:val="both"/>
      </w:pPr>
      <w:r>
        <w:rPr>
          <w:rFonts w:ascii="Times New Roman" w:cs="Times New Roman" w:eastAsia="Times New Roman" w:hAnsi="Times New Roman"/>
          <w:b/>
          <w:bCs/>
          <w:sz w:val="26"/>
          <w:szCs w:val="26"/>
        </w:rPr>
        <w:t xml:space="preserve">Khuyến nghị: </w:t>
      </w:r>
      <w:r>
        <w:rPr>
          <w:rFonts w:ascii="Times New Roman" w:cs="Times New Roman" w:eastAsia="Times New Roman" w:hAnsi="Times New Roman"/>
          <w:b w:val="false"/>
          <w:bCs w:val="false"/>
          <w:i w:val="false"/>
          <w:iCs w:val="false"/>
          <w:sz w:val="26"/>
          <w:szCs w:val="26"/>
        </w:rPr>
        <w:t xml:space="preserve">Tái định vị (re-positioning) sản phẩm từ "phần mềm biên mục thư viện" thành </w:t>
      </w:r>
      <w:r>
        <w:rPr>
          <w:rFonts w:ascii="Times New Roman" w:cs="Times New Roman" w:eastAsia="Times New Roman" w:hAnsi="Times New Roman"/>
          <w:b/>
          <w:bCs/>
          <w:sz w:val="26"/>
          <w:szCs w:val="26"/>
        </w:rPr>
        <w:t xml:space="preserve">"nền tảng số hóa và trích xuất dữ liệu tự động từ hồ sơ giấy phục vụ quản trị đô thị"</w:t>
      </w:r>
      <w:r>
        <w:rPr>
          <w:rFonts w:ascii="Times New Roman" w:cs="Times New Roman" w:eastAsia="Times New Roman" w:hAnsi="Times New Roman"/>
          <w:b w:val="false"/>
          <w:bCs w:val="false"/>
          <w:i w:val="false"/>
          <w:iCs w:val="false"/>
          <w:sz w:val="26"/>
          <w:szCs w:val="26"/>
        </w:rPr>
        <w:t xml:space="preserve">, dự thi Lĩnh vực 3. Lõi công nghệ giữ nguyên; thay đổi nằm ở lớp cấu hình lược đồ dữ liệu (schema), lớp tích hợp và cách trình bày giá trị.</w:t>
      </w:r>
    </w:p>
    <w:p>
      <w:pPr>
        <w:pStyle w:val="Heading2"/>
        <w:spacing w:after="140" w:before="240"/>
      </w:pPr>
      <w:r>
        <w:rPr>
          <w:rFonts w:ascii="Times New Roman" w:cs="Times New Roman" w:eastAsia="Times New Roman" w:hAnsi="Times New Roman"/>
          <w:b/>
          <w:bCs/>
          <w:color w:val="2E5496"/>
          <w:sz w:val="27"/>
          <w:szCs w:val="27"/>
        </w:rPr>
        <w:t xml:space="preserve">1.1. Ba lý do phải tái định vị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600"/>
        <w:gridCol w:w="3300"/>
        <w:gridCol w:w="4100"/>
      </w:tblGrid>
      <w:tr>
        <w:trPr>
          <w:tblHeader/>
        </w:trPr>
        <w:tc>
          <w:tcPr>
            <w:tcW w:type="dxa" w:w="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STT</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Rào cản</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Hệ quả nếu giữ nguyên</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Lệch lĩnh vực dự thi</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 lĩnh vực của cuộc thi là cảng/logistics, khu công nghiệp/nhà máy, quản trị đô thị. "Thư viện đại học" không thuộc lĩnh vực nào — nguy cơ bị loại ngay vòng sơ tuyển vì lý do hình thức, không phải vì chất lượng.</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Lệch phạm vi tác động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Ban tổ chức tìm giải pháp cho "hạ tầng trọng yếu của thành phố". Một hệ thống phục vụ ~2.000 sinh viên của một trường không thể hiện được quy mô tác động đô thị.</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Thiếu mô hình nhân rộng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Mẫu 01 yêu cầu thị trường, khách hàng mục tiêu, mô hình kinh doanh, dự báo tài chính 3 năm. Biên mục sách nội bộ không sinh ra được các nội dung này một cách thuyết phục.</w:t>
            </w:r>
          </w:p>
        </w:tc>
      </w:tr>
    </w:tbl>
    <w:p>
      <w:pPr>
        <w:pStyle w:val="Heading2"/>
        <w:spacing w:after="140" w:before="240"/>
      </w:pPr>
      <w:r>
        <w:rPr>
          <w:rFonts w:ascii="Times New Roman" w:cs="Times New Roman" w:eastAsia="Times New Roman" w:hAnsi="Times New Roman"/>
          <w:b/>
          <w:bCs/>
          <w:color w:val="2E5496"/>
          <w:sz w:val="27"/>
          <w:szCs w:val="27"/>
        </w:rPr>
        <w:t xml:space="preserve">1.2. Ba lợi thế cần khai thác tối đa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600"/>
        <w:gridCol w:w="3300"/>
        <w:gridCol w:w="4100"/>
      </w:tblGrid>
      <w:tr>
        <w:trPr>
          <w:tblHeader/>
        </w:trPr>
        <w:tc>
          <w:tcPr>
            <w:tcW w:type="dxa" w:w="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STT</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Lợi thế</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Cách khai thác trong hồ sơ</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Đã chạy thật, không phải ý tưởng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Ban tổ chức tuyên bố rõ: không tìm ý tưởng trên giấy, tìm giải pháp thực chiến. Đây là điểm khác biệt lớn nhất so với phần lớn đội thi (thường ở mức ý tưởng/prototype).</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Có log vận hành và số liệu so sánh trước/sau</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Cho phép định lượng hiệu quả bằng dữ liệu thật thay vì ước tính — nâng hạng mục "bằng chứng thử nghiệm" từ trung bình lên xuất sắc.</w:t>
            </w:r>
          </w:p>
        </w:tc>
      </w:tr>
      <w:tr>
        <w:trPr>
          <w:tblHeader w:val="false"/>
        </w:trPr>
        <w:tc>
          <w:tcPr>
            <w:tcW w:type="dxa" w:w="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ngũ có năng lực triển khai lẫn quản trị</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gồm người ra quyết định cấp trường và người trực tiếp code — giải quyết được nghi vấn thường gặp của giám khảo: "ai sẽ triển khai khi mở rộng?"</w:t>
            </w:r>
          </w:p>
        </w:tc>
      </w:tr>
    </w:tbl>
    <w:p>
      <w:pPr>
        <w:pStyle w:val="Heading2"/>
        <w:spacing w:after="140" w:before="240"/>
      </w:pPr>
      <w:r>
        <w:rPr>
          <w:rFonts w:ascii="Times New Roman" w:cs="Times New Roman" w:eastAsia="Times New Roman" w:hAnsi="Times New Roman"/>
          <w:b/>
          <w:bCs/>
          <w:color w:val="2E5496"/>
          <w:sz w:val="27"/>
          <w:szCs w:val="27"/>
        </w:rPr>
        <w:t xml:space="preserve">1.3. Đề xuất kỹ thuật trọng tâm: chủ động hóa lõi AI</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Toàn bộ Mục 1.3 dưới đây là ĐỀ XUẤT, chưa có hạng mục nào được kiểm chứng. </w:t>
      </w:r>
      <w:r>
        <w:rPr>
          <w:rFonts w:ascii="Times New Roman" w:cs="Times New Roman" w:eastAsia="Times New Roman" w:hAnsi="Times New Roman"/>
          <w:sz w:val="26"/>
          <w:szCs w:val="26"/>
        </w:rPr>
        <w:t xml:space="preserve">Cần đọc như một hướng đi cần thử, không phải một kết quả đã đạt. Mục 3.4 và 3.5 trình bày chi tiết; Mục VI nêu cách kiểm chứng trong hai tuần.</w:t>
      </w:r>
    </w:p>
    <w:p>
      <w:pPr>
        <w:spacing w:after="120" w:line="300"/>
        <w:jc w:val="both"/>
      </w:pPr>
      <w:r>
        <w:rPr>
          <w:rFonts w:ascii="Times New Roman" w:cs="Times New Roman" w:eastAsia="Times New Roman" w:hAnsi="Times New Roman"/>
          <w:b/>
          <w:bCs/>
          <w:sz w:val="26"/>
          <w:szCs w:val="26"/>
        </w:rPr>
        <w:t xml:space="preserve">Bối cảnh: </w:t>
      </w:r>
      <w:r>
        <w:rPr>
          <w:rFonts w:ascii="Times New Roman" w:cs="Times New Roman" w:eastAsia="Times New Roman" w:hAnsi="Times New Roman"/>
          <w:b w:val="false"/>
          <w:bCs w:val="false"/>
          <w:i w:val="false"/>
          <w:iCs w:val="false"/>
          <w:sz w:val="26"/>
          <w:szCs w:val="26"/>
        </w:rPr>
        <w:t xml:space="preserve">Phiên bản đang vận hành gọi mô hình ngôn ngữ qua API của nhà cung cấp bên ngoài. Điều này tạo ra hai rủi ro đã được nhận diện: (a) </w:t>
      </w:r>
      <w:r>
        <w:rPr>
          <w:rFonts w:ascii="Times New Roman" w:cs="Times New Roman" w:eastAsia="Times New Roman" w:hAnsi="Times New Roman"/>
          <w:b/>
          <w:bCs/>
          <w:sz w:val="26"/>
          <w:szCs w:val="26"/>
        </w:rPr>
        <w:t xml:space="preserve">rào cản pháp lý</w:t>
      </w:r>
      <w:r>
        <w:rPr>
          <w:rFonts w:ascii="Times New Roman" w:cs="Times New Roman" w:eastAsia="Times New Roman" w:hAnsi="Times New Roman"/>
          <w:b w:val="false"/>
          <w:bCs w:val="false"/>
          <w:i w:val="false"/>
          <w:iCs w:val="false"/>
          <w:sz w:val="26"/>
          <w:szCs w:val="26"/>
        </w:rPr>
        <w:t xml:space="preserve"> — dữ liệu hành chính rời khỏi hạ tầng của đơn vị, có thể vướng quy định về bảo vệ dữ liệu cá nhân và bảo vệ bí mật nhà nước; (b) </w:t>
      </w:r>
      <w:r>
        <w:rPr>
          <w:rFonts w:ascii="Times New Roman" w:cs="Times New Roman" w:eastAsia="Times New Roman" w:hAnsi="Times New Roman"/>
          <w:b/>
          <w:bCs/>
          <w:sz w:val="26"/>
          <w:szCs w:val="26"/>
        </w:rPr>
        <w:t xml:space="preserve">rào cản tự chủ</w:t>
      </w:r>
      <w:r>
        <w:rPr>
          <w:rFonts w:ascii="Times New Roman" w:cs="Times New Roman" w:eastAsia="Times New Roman" w:hAnsi="Times New Roman"/>
          <w:b w:val="false"/>
          <w:bCs w:val="false"/>
          <w:i w:val="false"/>
          <w:iCs w:val="false"/>
          <w:sz w:val="26"/>
          <w:szCs w:val="26"/>
        </w:rPr>
        <w:t xml:space="preserve"> — toàn bộ giá trị khác biệt của sản phẩm nằm ở lớp trích xuất, mà lớp đó phụ thuộc hoàn toàn vào một nhà cung cấp duy nhất.</w:t>
      </w:r>
    </w:p>
    <w:p>
      <w:pPr>
        <w:spacing w:after="120" w:line="300"/>
        <w:jc w:val="both"/>
      </w:pPr>
      <w:r>
        <w:rPr>
          <w:rFonts w:ascii="Times New Roman" w:cs="Times New Roman" w:eastAsia="Times New Roman" w:hAnsi="Times New Roman"/>
          <w:b/>
          <w:bCs/>
          <w:sz w:val="26"/>
          <w:szCs w:val="26"/>
        </w:rPr>
        <w:t xml:space="preserve">Đề xuất: </w:t>
      </w:r>
      <w:r>
        <w:rPr>
          <w:rFonts w:ascii="Times New Roman" w:cs="Times New Roman" w:eastAsia="Times New Roman" w:hAnsi="Times New Roman"/>
          <w:b w:val="false"/>
          <w:bCs w:val="false"/>
          <w:i w:val="false"/>
          <w:iCs w:val="false"/>
          <w:sz w:val="26"/>
          <w:szCs w:val="26"/>
        </w:rPr>
        <w:t xml:space="preserve">Chuyển sang </w:t>
      </w:r>
      <w:r>
        <w:rPr>
          <w:rFonts w:ascii="Times New Roman" w:cs="Times New Roman" w:eastAsia="Times New Roman" w:hAnsi="Times New Roman"/>
          <w:b/>
          <w:bCs/>
          <w:sz w:val="26"/>
          <w:szCs w:val="26"/>
        </w:rPr>
        <w:t xml:space="preserve">kiến trúc hai chế độ (dual-mode)</w:t>
      </w:r>
      <w:r>
        <w:rPr>
          <w:rFonts w:ascii="Times New Roman" w:cs="Times New Roman" w:eastAsia="Times New Roman" w:hAnsi="Times New Roman"/>
          <w:b w:val="false"/>
          <w:bCs w:val="false"/>
          <w:i w:val="false"/>
          <w:iCs w:val="false"/>
          <w:sz w:val="26"/>
          <w:szCs w:val="26"/>
        </w:rPr>
        <w:t xml:space="preserve">, cho phép toàn bộ quá trình xử lý diễn ra trong hạ tầng của đơn vị sử dụng khi cần, không có dữ liệu nào rời khỏi mạng nội bộ.</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3050"/>
        <w:gridCol w:w="3050"/>
      </w:tblGrid>
      <w:tr>
        <w:trPr>
          <w:tblHeader/>
        </w:trPr>
        <w:tc>
          <w:tcPr>
            <w:tcW w:type="dxa" w:w="1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Khía cạnh</w:t>
            </w:r>
          </w:p>
        </w:tc>
        <w:tc>
          <w:tcPr>
            <w:tcW w:type="dxa" w:w="305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Chế độ Đám mây</w:t>
            </w:r>
          </w:p>
        </w:tc>
        <w:tc>
          <w:tcPr>
            <w:tcW w:type="dxa" w:w="305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Chế độ Tại chỗ (đề xuất)</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Lõi mô hình</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API mô hình thương mại bên ngoài</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Mô hình mở, chạy trên máy chủ của đơn vị</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Đường đi của dữ liệu</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Nội dung tài liệu gửi ra máy chủ nhà cung cấp</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Dữ liệu không rời khỏi mạng nội bộ — kể cả khi mất kết nối Internet hệ thống vẫn chạy</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Đối tượng áp dụng</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Tài liệu công khai, không nhạy cảm</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Tài liệu nội bộ, hồ sơ chứa dữ liệu cá nhân, văn bản có độ mật</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biến đổi</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Theo số trang xử lý — tăng tuyến tính theo khối lượng</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Bằng không sau đầu tư phần cứng ban đầu</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Rủi ro phụ thuộc</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 — nhà cung cấp đổi giá, đổi điều khoản, ngừng phiên bản mô hình</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Thấp hơn — mô hình lưu tại chỗ, phiên bản do đơn vị kiểm soát</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Độ chính xác</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 hơn (đã vận hành, có cơ sở đối chiếu)</w:t>
            </w:r>
          </w:p>
        </w:tc>
        <w:tc>
          <w:tcPr>
            <w:tcW w:type="dxa" w:w="3050"/>
            <w:shd w:fill="FDE4E1"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CHƯA BIẾT — bắt buộc phải đo trước khi tuyên bố bất cứ điều gì</w:t>
            </w:r>
          </w:p>
        </w:tc>
      </w:tr>
      <w:tr>
        <w:trPr>
          <w:tblHeader w:val="false"/>
        </w:trPr>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Yêu cầu hạ tầng</w:t>
            </w:r>
          </w:p>
        </w:tc>
        <w:tc>
          <w:tcPr>
            <w:tcW w:type="dxa" w:w="305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Không đáng kể</w:t>
            </w:r>
          </w:p>
        </w:tc>
        <w:tc>
          <w:tcPr>
            <w:tcW w:type="dxa" w:w="3050"/>
            <w:shd w:fill="FDE4E1"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CHƯA BIẾT — phụ thuộc mô hình được chọn, cần đo trên phần cứng thật</w:t>
            </w:r>
          </w:p>
        </w:tc>
      </w:tr>
    </w:tbl>
    <w:p>
      <w:pPr>
        <w:pStyle w:val="Heading3"/>
        <w:spacing w:after="100" w:before="180"/>
      </w:pPr>
      <w:r>
        <w:rPr>
          <w:rFonts w:ascii="Times New Roman" w:cs="Times New Roman" w:eastAsia="Times New Roman" w:hAnsi="Times New Roman"/>
          <w:b/>
          <w:bCs/>
          <w:i/>
          <w:iCs/>
          <w:color w:val="333333"/>
          <w:sz w:val="26"/>
          <w:szCs w:val="26"/>
        </w:rPr>
        <w:t xml:space="preserve">1.3.1. Ba lớp cần phân biệt — tránh nhầm lẫn phổ biến</w:t>
      </w:r>
    </w:p>
    <w:p>
      <w:pPr>
        <w:spacing w:after="120" w:line="300"/>
        <w:jc w:val="both"/>
      </w:pPr>
      <w:r>
        <w:rPr>
          <w:rFonts w:ascii="Times New Roman" w:cs="Times New Roman" w:eastAsia="Times New Roman" w:hAnsi="Times New Roman"/>
          <w:b/>
          <w:bCs/>
          <w:sz w:val="26"/>
          <w:szCs w:val="26"/>
        </w:rPr>
        <w:t xml:space="preserve">Khi nói "chạy AI tại chỗ", thực chất có ba lớp độc lập nhau. Nhầm lẫn giữa chúng dẫn tới quyết định sai và tới việc tự khóa mình vào một lựa chọn.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2600"/>
        <w:gridCol w:w="3900"/>
      </w:tblGrid>
      <w:tr>
        <w:trPr>
          <w:tblHeader/>
        </w:trPr>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Lớp</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Là gì</w:t>
            </w:r>
          </w:p>
        </w:tc>
        <w:tc>
          <w:tcPr>
            <w:tcW w:type="dxa" w:w="3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Có lựa chọn thay thế nào</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1: Mô hình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Tệp trọng số — thứ thực sự làm việc trích xuất</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Nhiều họ mô hình mở khác nhau. Đây là lớp có rủi ro giấy phép cao nhất và cần rà kỹ nhất.</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2: Công cụ phục vụ mô hình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Phần mềm nạp mô hình vào bộ nhớ và cung cấp giao diện gọi</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Có nhiều lựa chọn: Ollama, vLLM, llama.cpp, LocalAI, và các công cụ khác. Đây chỉ là hạ tầng — thay được tương đối dễ, giấy phép thường đơn giản hơn nhiều so với mô hình.</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3: Lớp trừu tượng hóa của hệ thống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Mã nguồn của DocuFlow HP gọi xuống lớp 2</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Đây là phần đội tự viết. Nếu viết đúng, cả lớp 1 và lớp 2 đều thay được bằng cấu hình. Đây mới là hạng mục quan trọng nhất.</w:t>
            </w:r>
          </w:p>
        </w:tc>
      </w:tr>
    </w:tbl>
    <w:p>
      <w:pPr>
        <w:spacing w:after="120" w:line="300"/>
        <w:jc w:val="both"/>
      </w:pPr>
      <w:r>
        <w:rPr>
          <w:rFonts w:ascii="Times New Roman" w:cs="Times New Roman" w:eastAsia="Times New Roman" w:hAnsi="Times New Roman"/>
          <w:b/>
          <w:bCs/>
          <w:sz w:val="26"/>
          <w:szCs w:val="26"/>
        </w:rPr>
        <w:t xml:space="preserve">Hệ quả của cách nhìn này: </w:t>
      </w:r>
      <w:r>
        <w:rPr>
          <w:rFonts w:ascii="Times New Roman" w:cs="Times New Roman" w:eastAsia="Times New Roman" w:hAnsi="Times New Roman"/>
          <w:b w:val="false"/>
          <w:bCs w:val="false"/>
          <w:i w:val="false"/>
          <w:iCs w:val="false"/>
          <w:sz w:val="26"/>
          <w:szCs w:val="26"/>
        </w:rPr>
        <w:t xml:space="preserve">Việc chọn công cụ phục vụ mô hình (lớp 2) </w:t>
      </w:r>
      <w:r>
        <w:rPr>
          <w:rFonts w:ascii="Times New Roman" w:cs="Times New Roman" w:eastAsia="Times New Roman" w:hAnsi="Times New Roman"/>
          <w:b/>
          <w:bCs/>
          <w:sz w:val="26"/>
          <w:szCs w:val="26"/>
        </w:rPr>
        <w:t xml:space="preserve">không phải quyết định chiến lược</w:t>
      </w:r>
      <w:r>
        <w:rPr>
          <w:rFonts w:ascii="Times New Roman" w:cs="Times New Roman" w:eastAsia="Times New Roman" w:hAnsi="Times New Roman"/>
          <w:b w:val="false"/>
          <w:bCs w:val="false"/>
          <w:i w:val="false"/>
          <w:iCs w:val="false"/>
          <w:sz w:val="26"/>
          <w:szCs w:val="26"/>
        </w:rPr>
        <w:t xml:space="preserve"> — nó là quyết định kỹ thuật có thể đảo ngược. Quyết định chiến lược nằm ở lớp 3: thiết kế lớp trừu tượng hóa đủ tốt để không bị khóa vào bất kỳ lựa chọn nào ở lớp 1 và lớp 2. </w:t>
      </w:r>
      <w:r>
        <w:rPr>
          <w:rFonts w:ascii="Times New Roman" w:cs="Times New Roman" w:eastAsia="Times New Roman" w:hAnsi="Times New Roman"/>
          <w:b/>
          <w:bCs/>
          <w:sz w:val="26"/>
          <w:szCs w:val="26"/>
        </w:rPr>
        <w:t xml:space="preserve">Nếu hồ sơ khóa cứng vào một công cụ cụ thể, đội chỉ đổi tên nhà cung cấp mà mình phụ thuộc — không giải quyết được vấn đề gốc.</w:t>
      </w:r>
    </w:p>
    <w:p>
      <w:pPr>
        <w:pStyle w:val="Heading3"/>
        <w:spacing w:after="100" w:before="180"/>
      </w:pPr>
      <w:r>
        <w:rPr>
          <w:rFonts w:ascii="Times New Roman" w:cs="Times New Roman" w:eastAsia="Times New Roman" w:hAnsi="Times New Roman"/>
          <w:b/>
          <w:bCs/>
          <w:i/>
          <w:iCs/>
          <w:color w:val="333333"/>
          <w:sz w:val="26"/>
          <w:szCs w:val="26"/>
        </w:rPr>
        <w:t xml:space="preserve">1.3.2. Các phương án cho lớp công cụ phục vụ mô hình</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sz w:val="26"/>
          <w:szCs w:val="26"/>
        </w:rPr>
        <w:t xml:space="preserve">Bảng dưới là khảo sát định hướng để lập kế hoạch thử nghiệm. Chưa có phương án nào được đội kiểm chứng trên hạ tầng thật. Các nhận định về đặc điểm là dựa trên tài liệu công bố, cần xác minh bằng thực nghiệm.</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2600"/>
        <w:gridCol w:w="3800"/>
      </w:tblGrid>
      <w:tr>
        <w:trPr>
          <w:tblHeader/>
        </w:trPr>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Phương án</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Đặc điểm theo tài liệu công bố</w:t>
            </w:r>
          </w:p>
        </w:tc>
        <w:tc>
          <w:tcPr>
            <w:tcW w:type="dxa" w:w="3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Phù hợp với giai đoạn nào</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Ollama</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Dựng nhanh, chạy trong container, quản lý mô hình bằng lệnh đơn giản, có REST API</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Đề xuất cho giai đoạn kiểm chứng: mục tiêu lúc này là có số liệu nhanh nhất, không phải tối ưu. Chọn vì chi phí dựng thấp nhất.</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vLLM</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Được thiết kế cho thông lượng cao và xử lý nhiều yêu cầu song song</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Cân nhắc cho giai đoạn vận hành thật nếu khối lượng lớn và đo thấy Ollama nghẽn</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llama.cpp</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Nhẹ, tối ưu cho chạy trên CPU, ít phụ thuộc</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Cân nhắc nếu đơn vị sử dụng không có GPU — kịch bản rất có khả năng xảy ra với đơn vị sự nghiệp</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công cụ khác</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Thị trường thay đổi nhanh, liên tục có lựa chọn mới</w:t>
            </w:r>
          </w:p>
        </w:tc>
        <w:tc>
          <w:tcPr>
            <w:tcW w:type="dxa" w:w="3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lại định kỳ. Lớp trừu tượng hóa cho phép thử mà không sửa hệ thống</w:t>
            </w:r>
          </w:p>
        </w:tc>
      </w:tr>
    </w:tbl>
    <w:p>
      <w:pPr>
        <w:spacing w:after="120" w:line="300"/>
        <w:jc w:val="both"/>
      </w:pPr>
      <w:r>
        <w:rPr>
          <w:rFonts w:ascii="Times New Roman" w:cs="Times New Roman" w:eastAsia="Times New Roman" w:hAnsi="Times New Roman"/>
          <w:b/>
          <w:bCs/>
          <w:sz w:val="26"/>
          <w:szCs w:val="26"/>
        </w:rPr>
        <w:t xml:space="preserve">Tiêu chí để chuyển đổi công cụ — quyết định bằng số liệu, không bằng cảm tính: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Thời gian xử lý đo được không đáp ứng nhu cầu thực tế của đơn vị.</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tận dụng được phần cứng sẵn có (ví dụ: đơn vị chỉ có CPU, công cụ hiện tại kém hiệu quả trên CPU).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hỗ trợ mô hình mà đội muốn dùng sau khi rà giấy phép.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Phát sinh vấn đề vận hành mà đội không xử lý được.</w:t>
      </w:r>
    </w:p>
    <w:p>
      <w:pPr>
        <w:spacing w:after="120" w:line="300"/>
        <w:jc w:val="both"/>
      </w:pPr>
      <w:r>
        <w:rPr>
          <w:rFonts w:ascii="Times New Roman" w:cs="Times New Roman" w:eastAsia="Times New Roman" w:hAnsi="Times New Roman"/>
          <w:b/>
          <w:bCs/>
          <w:sz w:val="26"/>
          <w:szCs w:val="26"/>
        </w:rPr>
        <w:t xml:space="preserve">Nếu không có tiêu chí nào bị vi phạm, giữ nguyên. </w:t>
      </w:r>
      <w:r>
        <w:rPr>
          <w:rFonts w:ascii="Times New Roman" w:cs="Times New Roman" w:eastAsia="Times New Roman" w:hAnsi="Times New Roman"/>
          <w:b w:val="false"/>
          <w:bCs w:val="false"/>
          <w:i w:val="false"/>
          <w:iCs w:val="false"/>
          <w:sz w:val="26"/>
          <w:szCs w:val="26"/>
        </w:rPr>
        <w:t xml:space="preserve">Đổi công cụ vì thấy công cụ khác "hiện đại hơn" là lãng phí nguồn lực mà đội không có.</w:t>
      </w:r>
    </w:p>
    <w:p>
      <w:pPr>
        <w:pStyle w:val="Heading3"/>
        <w:spacing w:after="100" w:before="180"/>
      </w:pPr>
      <w:r>
        <w:rPr>
          <w:rFonts w:ascii="Times New Roman" w:cs="Times New Roman" w:eastAsia="Times New Roman" w:hAnsi="Times New Roman"/>
          <w:b/>
          <w:bCs/>
          <w:i/>
          <w:iCs/>
          <w:color w:val="333333"/>
          <w:sz w:val="26"/>
          <w:szCs w:val="26"/>
        </w:rPr>
        <w:t xml:space="preserve">1.3.3. Vì sao đề xuất này quan trọng hơn mọi tính năng khác</w:t>
      </w:r>
    </w:p>
    <w:p>
      <w:pPr>
        <w:spacing w:after="120" w:line="300"/>
        <w:jc w:val="both"/>
      </w:pPr>
      <w:r>
        <w:rPr>
          <w:rFonts w:ascii="Times New Roman" w:cs="Times New Roman" w:eastAsia="Times New Roman" w:hAnsi="Times New Roman"/>
          <w:b/>
          <w:bCs/>
          <w:sz w:val="26"/>
          <w:szCs w:val="26"/>
        </w:rPr>
        <w:t xml:space="preserve">Bản phản biện đã chỉ ra ba rào cản nghiêm trọng nhất, trong đó rào cản pháp lý về dữ liệu là rào cản duy nhất </w:t>
      </w:r>
      <w:r>
        <w:rPr>
          <w:rFonts w:ascii="Times New Roman" w:cs="Times New Roman" w:eastAsia="Times New Roman" w:hAnsi="Times New Roman"/>
          <w:b/>
          <w:bCs/>
          <w:sz w:val="26"/>
          <w:szCs w:val="26"/>
        </w:rPr>
        <w:t xml:space="preserve">không thể vượt qua bằng cách trình bày hay hơn</w:t>
      </w:r>
      <w:r>
        <w:rPr>
          <w:rFonts w:ascii="Times New Roman" w:cs="Times New Roman" w:eastAsia="Times New Roman" w:hAnsi="Times New Roman"/>
          <w:b w:val="false"/>
          <w:bCs w:val="false"/>
          <w:i w:val="false"/>
          <w:iCs w:val="false"/>
          <w:sz w:val="26"/>
          <w:szCs w:val="26"/>
        </w:rPr>
        <w:t xml:space="preserve">. Chế độ tại chỗ không phải là một tính năng bổ sung — nó là điều kiện tiên quyết để sản phẩm có thể được nói tới trong bối cảnh quản trị đô thị.</w:t>
      </w:r>
    </w:p>
    <w:p>
      <w:pPr>
        <w:spacing w:after="120" w:line="300"/>
        <w:jc w:val="both"/>
      </w:pPr>
      <w:r>
        <w:rPr>
          <w:rFonts w:ascii="Times New Roman" w:cs="Times New Roman" w:eastAsia="Times New Roman" w:hAnsi="Times New Roman"/>
          <w:b/>
          <w:bCs/>
          <w:sz w:val="26"/>
          <w:szCs w:val="26"/>
        </w:rPr>
        <w:t xml:space="preserve">Nhưng cần thừa nhận thẳng một giới hạn: </w:t>
      </w:r>
      <w:r>
        <w:rPr>
          <w:rFonts w:ascii="Times New Roman" w:cs="Times New Roman" w:eastAsia="Times New Roman" w:hAnsi="Times New Roman"/>
          <w:b w:val="false"/>
          <w:bCs w:val="false"/>
          <w:i w:val="false"/>
          <w:iCs w:val="false"/>
          <w:sz w:val="26"/>
          <w:szCs w:val="26"/>
        </w:rPr>
        <w:t xml:space="preserve">đây hiện là </w:t>
      </w:r>
      <w:r>
        <w:rPr>
          <w:rFonts w:ascii="Times New Roman" w:cs="Times New Roman" w:eastAsia="Times New Roman" w:hAnsi="Times New Roman"/>
          <w:b/>
          <w:bCs/>
          <w:sz w:val="26"/>
          <w:szCs w:val="26"/>
        </w:rPr>
        <w:t xml:space="preserve">lập luận, chưa phải bằng chứng</w:t>
      </w:r>
      <w:r>
        <w:rPr>
          <w:rFonts w:ascii="Times New Roman" w:cs="Times New Roman" w:eastAsia="Times New Roman" w:hAnsi="Times New Roman"/>
          <w:b w:val="false"/>
          <w:bCs w:val="false"/>
          <w:i w:val="false"/>
          <w:iCs w:val="false"/>
          <w:sz w:val="26"/>
          <w:szCs w:val="26"/>
        </w:rPr>
        <w:t xml:space="preserve">. Cho tới khi có số liệu đo thật, đội chỉ có một giả thuyết hợp lý. Hai tuần tới quyết định giả thuyết này có trở thành bằng chứng hay không.</w:t>
      </w:r>
    </w:p>
    <w:p>
      <w:r>
        <w:br w:type="page"/>
      </w:r>
    </w:p>
    <w:p>
      <w:pPr>
        <w:pStyle w:val="Heading1"/>
        <w:spacing w:after="180" w:before="320"/>
      </w:pPr>
      <w:r>
        <w:rPr>
          <w:rFonts w:ascii="Times New Roman" w:cs="Times New Roman" w:eastAsia="Times New Roman" w:hAnsi="Times New Roman"/>
          <w:b/>
          <w:bCs/>
          <w:color w:val="1F3864"/>
          <w:sz w:val="30"/>
          <w:szCs w:val="30"/>
        </w:rPr>
        <w:t xml:space="preserve">II. PHÂN TÍCH ĐỘ PHÙ HỢP VỚI CUỘC THI</w:t>
      </w:r>
    </w:p>
    <w:p>
      <w:pPr>
        <w:pStyle w:val="Heading2"/>
        <w:spacing w:after="140" w:before="240"/>
      </w:pPr>
      <w:r>
        <w:rPr>
          <w:rFonts w:ascii="Times New Roman" w:cs="Times New Roman" w:eastAsia="Times New Roman" w:hAnsi="Times New Roman"/>
          <w:b/>
          <w:bCs/>
          <w:color w:val="2E5496"/>
          <w:sz w:val="27"/>
          <w:szCs w:val="27"/>
        </w:rPr>
        <w:t xml:space="preserve">2.1. Yêu cầu của cuộc thi</w:t>
      </w:r>
    </w:p>
    <w:p>
      <w:pPr>
        <w:spacing w:after="120" w:line="300"/>
        <w:jc w:val="both"/>
      </w:pPr>
      <w:r>
        <w:rPr>
          <w:rFonts w:ascii="Times New Roman" w:cs="Times New Roman" w:eastAsia="Times New Roman" w:hAnsi="Times New Roman"/>
          <w:b w:val="false"/>
          <w:bCs w:val="false"/>
          <w:i w:val="false"/>
          <w:iCs w:val="false"/>
          <w:sz w:val="26"/>
          <w:szCs w:val="26"/>
        </w:rPr>
        <w:t xml:space="preserve">Trên cơ sở thông tin công bố chính thức của Ban tổ chức (Sở Khoa học và Công nghệ thành phố Hải Phòng) và Cổng thông tin cuộc thi, các yêu cầu cốt lõi được tổng hợp như sau: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Tiêu chí</w:t>
            </w:r>
          </w:p>
        </w:tc>
        <w:tc>
          <w:tcPr>
            <w:tcW w:type="dxa" w:w="5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4"/>
                <w:szCs w:val="24"/>
              </w:rPr>
              <w:t xml:space="preserve">Yêu cầu</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Chủ đề</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"Smart City Operations" – Vận hành thành phố thông minh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Lĩnh vực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 Vận hành cảng và logistics thông minh; (2) Vận hành khu công nghiệp và nhà máy thông minh; (3) Quản trị đô thị thông minh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Đối tượng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Cá nhân, nhóm cá nhân, tổ chức, doanh nghiệp; không giới hạn địa lý hay độ tuổi, với điều kiện: trong nhóm cá nhân có tác giả quê quán tại Hải Phòng, hoặc có trụ sở doanh nghiệp / dự kiến đăng ký thành lập doanh nghiệp tại Hải Phòng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Định hướng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Ứng dụng dữ liệu và công nghệ để giải quyết bài toán thực tiễn trong vận hành hạ tầng trọng yếu của thành phố; ưu tiên giải pháp thực chiến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Hồ sơ</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01 bộ, tiếng Việt, Times New Roman cỡ 13–14, khổ A4: đăng ký qua Google Form, Bản mô tả dự án (Mẫu 01), Bản cam kết (Mẫu 02), tài liệu minh chứng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Cam kết bắt buộc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Nếu đạt giải: triển khai và ứng dụng giải pháp thực tiễn tại Hải Phòng tối thiểu 06 tháng kể từ ngày nhận giải</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Mốc 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Hạn đăng ký: 30/7/2026 · Bán kết: tháng 9/2026 · Chung kết và trao giải: tháng 11/2026</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Giải thưởng</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10 giải; giải Nhất trị giá 70 triệu đồng; kèm ươm tạo, kết nối đầu tư, hỗ trợ pháp lý và sở hữu trí tuệ, hỗ trợ truyền thông</w:t>
            </w:r>
          </w:p>
        </w:tc>
      </w:tr>
    </w:tbl>
    <w:p>
      <w:pPr>
        <w:spacing w:after="120" w:line="300"/>
        <w:jc w:val="both"/>
      </w:pPr>
      <w:r>
        <w:rPr>
          <w:rFonts w:ascii="Times New Roman" w:cs="Times New Roman" w:eastAsia="Times New Roman" w:hAnsi="Times New Roman"/>
          <w:b/>
          <w:bCs/>
          <w:sz w:val="26"/>
          <w:szCs w:val="26"/>
        </w:rPr>
        <w:t xml:space="preserve">Lưu ý về mốc thời gian: </w:t>
      </w:r>
      <w:r>
        <w:rPr>
          <w:rFonts w:ascii="Times New Roman" w:cs="Times New Roman" w:eastAsia="Times New Roman" w:hAnsi="Times New Roman"/>
          <w:b w:val="false"/>
          <w:bCs w:val="false"/>
          <w:i w:val="false"/>
          <w:iCs w:val="false"/>
          <w:sz w:val="26"/>
          <w:szCs w:val="26"/>
        </w:rPr>
        <w:t xml:space="preserve">Tính đến thời điểm lập báo cáo (giữa tháng 7/2026), thời gian còn lại đến hạn nộp hồ sơ là </w:t>
      </w:r>
      <w:r>
        <w:rPr>
          <w:rFonts w:ascii="Times New Roman" w:cs="Times New Roman" w:eastAsia="Times New Roman" w:hAnsi="Times New Roman"/>
          <w:b/>
          <w:bCs/>
          <w:sz w:val="26"/>
          <w:szCs w:val="26"/>
        </w:rPr>
        <w:t xml:space="preserve">khoảng hai tuần</w:t>
      </w:r>
      <w:r>
        <w:rPr>
          <w:rFonts w:ascii="Times New Roman" w:cs="Times New Roman" w:eastAsia="Times New Roman" w:hAnsi="Times New Roman"/>
          <w:b w:val="false"/>
          <w:bCs w:val="false"/>
          <w:i w:val="false"/>
          <w:iCs w:val="false"/>
          <w:sz w:val="26"/>
          <w:szCs w:val="26"/>
        </w:rPr>
        <w:t xml:space="preserve">. Đây là ràng buộc chi phối toàn bộ kế hoạch dưới đây: mọi hạng mục đề xuất phải khả thi trong khung thời gian này, hoặc phải được đưa vào lộ trình sau khi nộp hồ sơ.</w:t>
      </w:r>
    </w:p>
    <w:p>
      <w:pPr>
        <w:pStyle w:val="Heading2"/>
        <w:spacing w:after="140" w:before="240"/>
      </w:pPr>
      <w:r>
        <w:rPr>
          <w:rFonts w:ascii="Times New Roman" w:cs="Times New Roman" w:eastAsia="Times New Roman" w:hAnsi="Times New Roman"/>
          <w:b/>
          <w:bCs/>
          <w:color w:val="2E5496"/>
          <w:sz w:val="27"/>
          <w:szCs w:val="27"/>
        </w:rPr>
        <w:t xml:space="preserve">2.2. Ma trận đối chiếu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800"/>
        <w:gridCol w:w="1000"/>
        <w:gridCol w:w="20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Tiêu chí cuộc thi</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Sản phẩm hiện tại</w:t>
            </w:r>
          </w:p>
        </w:tc>
        <w:tc>
          <w:tcPr>
            <w:tcW w:type="dxa" w:w="1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Mức phù hợp</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Sau tái định vị</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Thuộc 1 trong 3 lĩnh vực</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 viện đại học</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 – Lĩnh vực 3</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Giải quyết bài toán vận hành hạ tầng thành phố</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Bài toán nội bộ một trường</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Yếu</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Đạt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Giải pháp thực chiến, không phải ý tưởng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Đã vận hành, có log</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Ứng dụng dữ liệu và AI</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LLM trích xuất metadata</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Mạnh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tích hợp hệ thống sẵn có</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Tích hợp DSpace REST API</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bổ sung kết nối hệ thống hành chính</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Bảo mật dữ liệu khu vực công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Gửi dữ liệu ra API bên ngoài</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Có phương án: chế độ tại chỗ (đề xuất, chưa kiểm chứng)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Tự chủ công nghệ, không phụ thuộc nhà cung cấp</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Phụ thuộc hoàn toàn một API</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Có phương án: mô hình mở lưu tại chỗ (đề xuất, chưa kiểm chứng)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Thị trường và mô hình kinh doanh</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có</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Không đạt</w:t>
            </w:r>
          </w:p>
        </w:tc>
        <w:tc>
          <w:tcPr>
            <w:tcW w:type="dxa" w:w="2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xây dựng (Mục IV)</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nhân rộng tại Hải Phòng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thể hiện</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Yếu</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Đạt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Điều kiện dự thi (quê quán/trụ sở)</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thành viên quê Hải Phòng</w:t>
            </w:r>
          </w:p>
        </w:tc>
        <w:tc>
          <w:tcPr>
            <w:tcW w:type="dxa" w:w="1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w:t>
            </w:r>
          </w:p>
        </w:tc>
        <w:tc>
          <w:tcPr>
            <w:tcW w:type="dxa" w:w="2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Đạt</w:t>
            </w:r>
          </w:p>
        </w:tc>
      </w:tr>
    </w:tbl>
    <w:p>
      <w:pPr>
        <w:spacing w:after="120" w:line="300"/>
        <w:jc w:val="both"/>
      </w:pPr>
      <w:r>
        <w:rPr>
          <w:rFonts w:ascii="Times New Roman" w:cs="Times New Roman" w:eastAsia="Times New Roman" w:hAnsi="Times New Roman"/>
          <w:b/>
          <w:bCs/>
          <w:sz w:val="26"/>
          <w:szCs w:val="26"/>
        </w:rPr>
        <w:t xml:space="preserve">Đọc ma trận: </w:t>
      </w:r>
      <w:r>
        <w:rPr>
          <w:rFonts w:ascii="Times New Roman" w:cs="Times New Roman" w:eastAsia="Times New Roman" w:hAnsi="Times New Roman"/>
          <w:b w:val="false"/>
          <w:bCs w:val="false"/>
          <w:i w:val="false"/>
          <w:iCs w:val="false"/>
          <w:sz w:val="26"/>
          <w:szCs w:val="26"/>
        </w:rPr>
        <w:t xml:space="preserve">Sản phẩm mạnh ở phần khó nhất (công nghệ đã chạy thật) và yếu ở phần dễ sửa nhất (định vị và cách trình bày). Đây là tình huống thuận lợi — phần lớn đội thi gặp tình huống ngược lại.</w:t>
      </w:r>
    </w:p>
    <w:p>
      <w:r>
        <w:br w:type="page"/>
      </w:r>
    </w:p>
    <w:p>
      <w:pPr>
        <w:pStyle w:val="Heading1"/>
        <w:spacing w:after="180" w:before="320"/>
      </w:pPr>
      <w:r>
        <w:rPr>
          <w:rFonts w:ascii="Times New Roman" w:cs="Times New Roman" w:eastAsia="Times New Roman" w:hAnsi="Times New Roman"/>
          <w:b/>
          <w:bCs/>
          <w:color w:val="1F3864"/>
          <w:sz w:val="30"/>
          <w:szCs w:val="30"/>
        </w:rPr>
        <w:t xml:space="preserve">III. ĐỀ XUẤT TÁI ĐỊNH VỊ SẢN PHẨM</w:t>
      </w:r>
    </w:p>
    <w:p>
      <w:pPr>
        <w:pStyle w:val="Heading2"/>
        <w:spacing w:after="140" w:before="240"/>
      </w:pPr>
      <w:r>
        <w:rPr>
          <w:rFonts w:ascii="Times New Roman" w:cs="Times New Roman" w:eastAsia="Times New Roman" w:hAnsi="Times New Roman"/>
          <w:b/>
          <w:bCs/>
          <w:color w:val="2E5496"/>
          <w:sz w:val="27"/>
          <w:szCs w:val="27"/>
        </w:rPr>
        <w:t xml:space="preserve">3.1. Bài toán đô thị được lựa chọn</w:t>
      </w:r>
    </w:p>
    <w:p>
      <w:pPr>
        <w:spacing w:after="120" w:line="300"/>
        <w:jc w:val="both"/>
      </w:pPr>
      <w:r>
        <w:rPr>
          <w:rFonts w:ascii="Times New Roman" w:cs="Times New Roman" w:eastAsia="Times New Roman" w:hAnsi="Times New Roman"/>
          <w:b w:val="false"/>
          <w:bCs w:val="false"/>
          <w:i w:val="false"/>
          <w:iCs w:val="false"/>
          <w:sz w:val="26"/>
          <w:szCs w:val="26"/>
        </w:rPr>
        <w:t xml:space="preserve">Quản trị đô thị thông minh đòi hỏi dữ liệu số. Nhưng một khối lượng rất lớn dữ liệu của khu vực hành chính công và doanh nghiệp tại Hải Phòng hiện vẫn tồn tại dưới dạng giấy hoặc file scan không có lớp văn bản — công văn, quyết định, hồ sơ thủ tục hành chính, hồ sơ lưu trữ, chứng từ, hợp đồng. Đây là "vùng tối dữ liệu" (dark data) nằm ngoài mọi hệ thống phân tích.</w:t>
      </w:r>
    </w:p>
    <w:p>
      <w:pPr>
        <w:spacing w:after="120" w:line="300"/>
        <w:jc w:val="both"/>
      </w:pPr>
      <w:r>
        <w:rPr>
          <w:rFonts w:ascii="Times New Roman" w:cs="Times New Roman" w:eastAsia="Times New Roman" w:hAnsi="Times New Roman"/>
          <w:b/>
          <w:bCs/>
          <w:sz w:val="26"/>
          <w:szCs w:val="26"/>
        </w:rPr>
        <w:t xml:space="preserve">Định vị lại: </w:t>
      </w:r>
      <w:r>
        <w:rPr>
          <w:rFonts w:ascii="Times New Roman" w:cs="Times New Roman" w:eastAsia="Times New Roman" w:hAnsi="Times New Roman"/>
          <w:b w:val="false"/>
          <w:bCs w:val="false"/>
          <w:i w:val="false"/>
          <w:iCs w:val="false"/>
          <w:sz w:val="26"/>
          <w:szCs w:val="26"/>
        </w:rPr>
        <w:t xml:space="preserve">Sản phẩm không phải là "phần mềm biên mục thư viện". Sản phẩm là </w:t>
      </w:r>
      <w:r>
        <w:rPr>
          <w:rFonts w:ascii="Times New Roman" w:cs="Times New Roman" w:eastAsia="Times New Roman" w:hAnsi="Times New Roman"/>
          <w:b/>
          <w:bCs/>
          <w:sz w:val="26"/>
          <w:szCs w:val="26"/>
        </w:rPr>
        <w:t xml:space="preserve">lớp chuyển đổi (conversion layer) biến hồ sơ giấy thành dữ liệu có cấu trúc, sẵn sàng đưa vào các hệ thống vận hành đô thị</w:t>
      </w:r>
      <w:r>
        <w:rPr>
          <w:rFonts w:ascii="Times New Roman" w:cs="Times New Roman" w:eastAsia="Times New Roman" w:hAnsi="Times New Roman"/>
          <w:b w:val="false"/>
          <w:bCs w:val="false"/>
          <w:i w:val="false"/>
          <w:iCs w:val="false"/>
          <w:sz w:val="26"/>
          <w:szCs w:val="26"/>
        </w:rPr>
        <w:t xml:space="preserve">. Thư viện HPU chỉ là môi trường pilot đầu tiên — nơi đã chứng minh công nghệ hoạt động.</w:t>
      </w:r>
    </w:p>
    <w:p>
      <w:pPr>
        <w:pStyle w:val="Heading2"/>
        <w:spacing w:after="140" w:before="240"/>
      </w:pPr>
      <w:r>
        <w:rPr>
          <w:rFonts w:ascii="Times New Roman" w:cs="Times New Roman" w:eastAsia="Times New Roman" w:hAnsi="Times New Roman"/>
          <w:b/>
          <w:bCs/>
          <w:color w:val="2E5496"/>
          <w:sz w:val="27"/>
          <w:szCs w:val="27"/>
        </w:rPr>
        <w:t xml:space="preserve">3.2. So sánh hai cách định vị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3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Khía cạnh</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Định vị cũ</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Định vị mới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Tên gọi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Phần mềm OCR và biên mục tự động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DocuFlow HP – Nền tảng số hóa và trích xuất dữ liệu tự động từ hồ sơ giấy</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Bài toán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Cán bộ thư viện nhập metadata thủ công, chậm và sai sót</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Dữ liệu hành chính đô thị bị "khóa" trong giấy, không đưa được vào hệ thống số</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Khách hàng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 viện đại học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Cơ quan hành chính, đơn vị sự nghiệp, ban quản lý khu công nghiệp, doanh nghiệp cảng/logistics, trường học</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Lõi kỹ thuật</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AI trích xuất Dublin Core + đẩy DSpace</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 + AI trích xuất theo lược đồ cấu hình được + đẩy vào hệ thống đích qua API (giữ nguyên toàn bộ)</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dữ liệu</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Dublin Core (ISO 15836)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Đa lược đồ: Dublin Core cho tài liệu; lược đồ văn bản hành chính; lược đồ chứng từ</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Tác động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Một trường đại học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Hạ tầng dữ liệu cấp thành phố</w:t>
            </w:r>
          </w:p>
        </w:tc>
      </w:tr>
    </w:tbl>
    <w:p>
      <w:pPr>
        <w:spacing w:after="120" w:line="300"/>
        <w:jc w:val="both"/>
      </w:pPr>
      <w:r>
        <w:rPr>
          <w:rFonts w:ascii="Times New Roman" w:cs="Times New Roman" w:eastAsia="Times New Roman" w:hAnsi="Times New Roman"/>
          <w:b/>
          <w:bCs/>
          <w:sz w:val="26"/>
          <w:szCs w:val="26"/>
        </w:rPr>
        <w:t xml:space="preserve">Điểm mấu chốt cần nhấn mạnh với giám khảo: </w:t>
      </w:r>
      <w:r>
        <w:rPr>
          <w:rFonts w:ascii="Times New Roman" w:cs="Times New Roman" w:eastAsia="Times New Roman" w:hAnsi="Times New Roman"/>
          <w:b w:val="false"/>
          <w:bCs w:val="false"/>
          <w:i w:val="false"/>
          <w:iCs w:val="false"/>
          <w:sz w:val="26"/>
          <w:szCs w:val="26"/>
        </w:rPr>
        <w:t xml:space="preserve">Đây không phải là "đổi tên để hợp cuộc thi". Việc mở rộng sang công văn hành chính đã nằm sẵn trong Roadmap Giai đoạn 1 của báo cáo kỹ thuật gốc — nghĩa là hướng đi này được xác định từ trước, độc lập với cuộc thi. Cuộc thi chỉ là cơ hội để đẩy nhanh.</w:t>
      </w:r>
    </w:p>
    <w:p>
      <w:pPr>
        <w:pStyle w:val="Heading2"/>
        <w:spacing w:after="140" w:before="240"/>
      </w:pPr>
      <w:r>
        <w:rPr>
          <w:rFonts w:ascii="Times New Roman" w:cs="Times New Roman" w:eastAsia="Times New Roman" w:hAnsi="Times New Roman"/>
          <w:b/>
          <w:bCs/>
          <w:color w:val="2E5496"/>
          <w:sz w:val="27"/>
          <w:szCs w:val="27"/>
        </w:rPr>
        <w:t xml:space="preserve">3.3. Kiến trúc sau tái định vị</w:t>
      </w:r>
    </w:p>
    <w:p>
      <w:pPr>
        <w:spacing w:after="120" w:line="300"/>
        <w:jc w:val="both"/>
      </w:pPr>
      <w:r>
        <w:rPr>
          <w:rFonts w:ascii="Times New Roman" w:cs="Times New Roman" w:eastAsia="Times New Roman" w:hAnsi="Times New Roman"/>
          <w:b w:val="false"/>
          <w:bCs w:val="false"/>
          <w:i w:val="false"/>
          <w:iCs w:val="false"/>
          <w:sz w:val="26"/>
          <w:szCs w:val="26"/>
        </w:rPr>
        <w:t xml:space="preserve">Kiến trúc hiện tại đã là microservices trên Docker Compose. Thay đổi cần thiết mang tính bổ sung, không phải viết lại: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3100"/>
        <w:gridCol w:w="3100"/>
      </w:tblGrid>
      <w:tr>
        <w:trPr>
          <w:tblHeader/>
        </w:trPr>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Tầng</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Hiện có</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Bổ sung đề xuất</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Tiếp nhận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Upload PDF qua web, kéo thả, hàng loạt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Thêm đầu vào từ thư mục giám sát (watch folder) và từ máy scan mạng</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Xử lý ảnh</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Ghostscript nén hai pha (150 DPI → 120 DPI)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Giữ nguyên; bổ sung tiền xử lý làm thẳng trang (deskew) cho công văn scan lệch</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OCRmyPDF/Tesseract, tiếng Việt + tiếng Anh, xuất PDF/A-2b</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Giữ nguyên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Trích xuất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Claude API trả về 16 trường Dublin Core cố định</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Thay đổi quan trọng nhất: chuyển sang lược đồ cấu hình được (schema-driven). Người quản trị định nghĩa trường cần trích xuất qua giao diện, không cần sửa mã nguồn.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Kiểm soát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Người dùng xem, sửa metadata trước khi xác nhận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Bổ sung điểm tin cậy (confidence score) từng trường và cơ chế "chỉ duyệt trường có điểm thấp" để tăng năng suất</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Tích hợp</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DSpace 7.x REST API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Trừu tượng hóa thành lớp kết nối (connector) đa hệ thống; DSpace là một connector</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Quản trị</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Phân quyền Admin/Biên mục viên, nhật ký PostgreSQL</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Bổ sung nhật ký kiểm toán (audit log) bất biến — bắt buộc khi xử lý hồ sơ hành chính</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3.4. Kiến trúc hai chế độ với mô hình mở chạy tại chỗ</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Toàn bộ Mục 3.4 là thiết kế đề xuất. </w:t>
      </w:r>
      <w:r>
        <w:rPr>
          <w:rFonts w:ascii="Times New Roman" w:cs="Times New Roman" w:eastAsia="Times New Roman" w:hAnsi="Times New Roman"/>
          <w:sz w:val="26"/>
          <w:szCs w:val="26"/>
        </w:rPr>
        <w:t xml:space="preserve">Chưa có dòng mã nào được viết, chưa có phép đo nào được thực hiện, chưa có công cụ nào được chọn. Đây là bản thiết kế để bắt đầu, không phải mô tả hệ thống hiện có. Mọi tên công cụ và mô hình xuất hiện dưới đây đều ở dạng nhóm phương án cần khảo sát.</w:t>
      </w:r>
    </w:p>
    <w:p>
      <w:pPr>
        <w:pStyle w:val="Heading3"/>
        <w:spacing w:after="100" w:before="180"/>
      </w:pPr>
      <w:r>
        <w:rPr>
          <w:rFonts w:ascii="Times New Roman" w:cs="Times New Roman" w:eastAsia="Times New Roman" w:hAnsi="Times New Roman"/>
          <w:b/>
          <w:bCs/>
          <w:i/>
          <w:iCs/>
          <w:color w:val="333333"/>
          <w:sz w:val="26"/>
          <w:szCs w:val="26"/>
        </w:rPr>
        <w:t xml:space="preserve">3.4.1. Nguyên tắc thiết kế</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thay đổi được thiết kế theo nguyên tắc bổ sung, không viết lại. Lõi xử lý hiện tại (OCRmyPDF, Ghostscript, hàng đợi, giao diện, tích hợp) giữ nguyên. Thay đổi tập trung vào một điểm duy nhất: lớp gọi mô hình được trừu tượng hóa thành một giao diện chung, phía sau đó có thể là API đám mây hoặc một công cụ phục vụ mô hình chạy tại chỗ.</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Lớp trừu tượng hóa mô hình (Model Provider Interface): </w:t>
      </w:r>
      <w:r>
        <w:rPr>
          <w:rFonts w:ascii="Times New Roman" w:cs="Times New Roman" w:eastAsia="Times New Roman" w:hAnsi="Times New Roman"/>
          <w:sz w:val="26"/>
          <w:szCs w:val="26"/>
        </w:rPr>
        <w:t xml:space="preserve">Định nghĩa một giao diện thống nhất với các phương thức trích xuất trường và tạo embedding. Các lớp hiện thực phía sau: một cho API đám mây, một cho mỗi công cụ phục vụ mô hình tại chỗ được thử. Phần còn lại của hệ thống không biết đang dùng lớp nào.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Định tuyến theo độ nhạy cảm: </w:t>
      </w:r>
      <w:r>
        <w:rPr>
          <w:rFonts w:ascii="Times New Roman" w:cs="Times New Roman" w:eastAsia="Times New Roman" w:hAnsi="Times New Roman"/>
          <w:sz w:val="26"/>
          <w:szCs w:val="26"/>
        </w:rPr>
        <w:t xml:space="preserve">Mỗi loại tài liệu được gắn nhãn độ nhạy cảm khi cấu hình lược đồ. Hệ thống tự động định tuyến tài liệu tới chế độ phù hợp, không phụ thuộc vào thao tác thủ công của người dùng.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Chế độ tại chỗ là mặc định an toàn: </w:t>
      </w:r>
      <w:r>
        <w:rPr>
          <w:rFonts w:ascii="Times New Roman" w:cs="Times New Roman" w:eastAsia="Times New Roman" w:hAnsi="Times New Roman"/>
          <w:sz w:val="26"/>
          <w:szCs w:val="26"/>
        </w:rPr>
        <w:t xml:space="preserve">Khi không xác định được độ nhạy cảm, hệ thống mặc định dùng chế độ tại chỗ. Nguyên tắc: an toàn trước, tối ưu sau.</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Cấu hình được, không cần lập trình lại: </w:t>
      </w:r>
      <w:r>
        <w:rPr>
          <w:rFonts w:ascii="Times New Roman" w:cs="Times New Roman" w:eastAsia="Times New Roman" w:hAnsi="Times New Roman"/>
          <w:sz w:val="26"/>
          <w:szCs w:val="26"/>
        </w:rPr>
        <w:t xml:space="preserve">Việc chọn mô hình, chọn chế độ, gắn nhãn độ nhạy cảm đều thực hiện qua tệp cấu hình và giao diện quản trị.</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Công cụ phục vụ mô hình là thành phần thay thế được: </w:t>
      </w:r>
      <w:r>
        <w:rPr>
          <w:rFonts w:ascii="Times New Roman" w:cs="Times New Roman" w:eastAsia="Times New Roman" w:hAnsi="Times New Roman"/>
          <w:sz w:val="26"/>
          <w:szCs w:val="26"/>
        </w:rPr>
        <w:t xml:space="preserve">Lớp trừu tượng hóa không chỉ tách sản phẩm khỏi nhà cung cấp API đám mây, mà còn tách khỏi công cụ phục vụ mô hình tại chỗ. Đổi từ công cụ này sang công cụ khác chỉ cần một lớp hiện thực mới phía sau cùng giao diện — phần còn lại của hệ thống không đổi. </w:t>
      </w:r>
      <w:r>
        <w:rPr>
          <w:rFonts w:ascii="Times New Roman" w:cs="Times New Roman" w:eastAsia="Times New Roman" w:hAnsi="Times New Roman"/>
          <w:b/>
          <w:bCs/>
          <w:sz w:val="26"/>
          <w:szCs w:val="26"/>
        </w:rPr>
        <w:t xml:space="preserve">Đây là điểm phải giữ: nếu gắn chặt vào một công cụ, đội chỉ đổi một phụ thuộc lấy một phụ thuộc khác.</w:t>
      </w:r>
    </w:p>
    <w:p>
      <w:pPr>
        <w:pStyle w:val="Heading3"/>
        <w:spacing w:after="100" w:before="180"/>
      </w:pPr>
      <w:r>
        <w:rPr>
          <w:rFonts w:ascii="Times New Roman" w:cs="Times New Roman" w:eastAsia="Times New Roman" w:hAnsi="Times New Roman"/>
          <w:b/>
          <w:bCs/>
          <w:i/>
          <w:iCs/>
          <w:color w:val="333333"/>
          <w:sz w:val="26"/>
          <w:szCs w:val="26"/>
        </w:rPr>
        <w:t xml:space="preserve">3.4.2. Lựa chọn công cụ phục vụ mô hình — khảo sát, không cam kết</w:t>
      </w:r>
    </w:p>
    <w:p>
      <w:pPr>
        <w:spacing w:after="120" w:line="300"/>
        <w:jc w:val="both"/>
      </w:pPr>
      <w:r>
        <w:rPr>
          <w:rFonts w:ascii="Times New Roman" w:cs="Times New Roman" w:eastAsia="Times New Roman" w:hAnsi="Times New Roman"/>
          <w:b/>
          <w:bCs/>
          <w:sz w:val="26"/>
          <w:szCs w:val="26"/>
        </w:rPr>
        <w:t xml:space="preserve">Ba lớp cần phân biệt rõ — nhầm lẫn giữa chúng dẫn tới việc tự khóa mình: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2600"/>
        <w:gridCol w:w="3900"/>
      </w:tblGrid>
      <w:tr>
        <w:trPr>
          <w:tblHeader/>
        </w:trPr>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Lớp</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Là gì</w:t>
            </w:r>
          </w:p>
        </w:tc>
        <w:tc>
          <w:tcPr>
            <w:tcW w:type="dxa" w:w="3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Mức độ thay thế được</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1: Mô hình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Tệp trọng số — thứ thực sự làm việc trích xuất</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Thay được, nhưng đây là lớp có rủi ro giấy phép CAO NHẤT, cần rà kỹ nhất</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2: Công cụ phục vụ mô hình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Phần mềm nạp mô hình vào bộ nhớ và cung cấp giao diện gọi</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Thay được tương đối dễ. Giấy phép thường đơn giản hơn nhiều so với mô hình. Đây KHÔNG phải quyết định chiến lược</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Lớp 3: Lớp trừu tượng hóa của hệ thống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Mã nguồn DocuFlow HP gọi xuống lớp 2</w:t>
            </w:r>
          </w:p>
        </w:tc>
        <w:tc>
          <w:tcPr>
            <w:tcW w:type="dxa" w:w="39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Phần đội tự viết. Nếu viết đúng, cả lớp 1 và lớp 2 đều thay được bằng cấu hình. ĐÂY mới là hạng mục quan trọng nhất</w:t>
            </w:r>
          </w:p>
        </w:tc>
      </w:tr>
    </w:tbl>
    <w:p>
      <w:pPr>
        <w:spacing w:after="120" w:line="300"/>
        <w:jc w:val="both"/>
      </w:pPr>
      <w:r>
        <w:rPr>
          <w:rFonts w:ascii="Times New Roman" w:cs="Times New Roman" w:eastAsia="Times New Roman" w:hAnsi="Times New Roman"/>
          <w:b/>
          <w:bCs/>
          <w:sz w:val="26"/>
          <w:szCs w:val="26"/>
        </w:rPr>
        <w:t xml:space="preserve">Hệ quả: </w:t>
      </w:r>
      <w:r>
        <w:rPr>
          <w:rFonts w:ascii="Times New Roman" w:cs="Times New Roman" w:eastAsia="Times New Roman" w:hAnsi="Times New Roman"/>
          <w:b w:val="false"/>
          <w:bCs w:val="false"/>
          <w:i w:val="false"/>
          <w:iCs w:val="false"/>
          <w:sz w:val="26"/>
          <w:szCs w:val="26"/>
        </w:rPr>
        <w:t xml:space="preserve">Quyết định chiến lược nằm ở lớp 3, không phải lớp 2. Nếu hồ sơ khóa cứng vào một công cụ cụ thể, đội chỉ đổi tên nhà cung cấp mà mình phụ thuộc — không giải quyết được vấn đề gốc mà bản phản biện đã chỉ ra.</w:t>
      </w:r>
    </w:p>
    <w:p>
      <w:pPr>
        <w:spacing w:after="120" w:line="300"/>
        <w:jc w:val="both"/>
      </w:pPr>
      <w:r>
        <w:rPr>
          <w:rFonts w:ascii="Times New Roman" w:cs="Times New Roman" w:eastAsia="Times New Roman" w:hAnsi="Times New Roman"/>
          <w:b w:val="false"/>
          <w:bCs w:val="false"/>
          <w:sz w:val="26"/>
          <w:szCs w:val="26"/>
        </w:rPr>
        <w:t xml:space="preserve">Công cụ phục vụ mô hình (model serving) là phần mềm nhận yêu cầu, nạp mô hình vào bộ nhớ và trả về kết quả. Đây là </w:t>
      </w:r>
      <w:r>
        <w:rPr>
          <w:rFonts w:ascii="Times New Roman" w:cs="Times New Roman" w:eastAsia="Times New Roman" w:hAnsi="Times New Roman"/>
          <w:b/>
          <w:bCs/>
          <w:sz w:val="26"/>
          <w:szCs w:val="26"/>
        </w:rPr>
        <w:t xml:space="preserve">hạng mục lựa chọn được, không phải quyết định kiến trúc</w:t>
      </w:r>
      <w:r>
        <w:rPr>
          <w:rFonts w:ascii="Times New Roman" w:cs="Times New Roman" w:eastAsia="Times New Roman" w:hAnsi="Times New Roman"/>
          <w:b w:val="false"/>
          <w:bCs w:val="false"/>
          <w:i w:val="false"/>
          <w:iCs w:val="false"/>
          <w:sz w:val="26"/>
          <w:szCs w:val="26"/>
        </w:rPr>
        <w:t xml:space="preserve">. Việc khảo sát nhiều phương án và chọn theo kết quả đo là cách làm đúng — cam kết trước khi đo là cách làm sai.</w:t>
      </w:r>
    </w:p>
    <w:p>
      <w:pPr>
        <w:spacing w:before="140"/>
        <w:jc w:val="both"/>
      </w:pPr>
      <w:r>
        <w:rPr>
          <w:rFonts w:ascii="Times New Roman" w:cs="Times New Roman" w:eastAsia="Times New Roman" w:hAnsi="Times New Roman"/>
          <w:b/>
          <w:bCs/>
          <w:sz w:val="26"/>
          <w:szCs w:val="26"/>
        </w:rPr>
        <w:t xml:space="preserve">Các nhóm phương án cần khảo sát: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2100"/>
        <w:gridCol w:w="2100"/>
        <w:gridCol w:w="2100"/>
      </w:tblGrid>
      <w:tr>
        <w:trPr>
          <w:tblHeader/>
        </w:trPr>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Nhóm phương án</w:t>
            </w:r>
          </w:p>
        </w:tc>
        <w:tc>
          <w:tcPr>
            <w:tcW w:type="dxa" w:w="2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Đặc điểm</w:t>
            </w:r>
          </w:p>
        </w:tc>
        <w:tc>
          <w:tcPr>
            <w:tcW w:type="dxa" w:w="2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Phù hợp khi</w:t>
            </w:r>
          </w:p>
        </w:tc>
        <w:tc>
          <w:tcPr>
            <w:tcW w:type="dxa" w:w="2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Cần kiểm chứng</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Công cụ phục vụ đơn giản, đóng gói sẵn</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Cài đặt nhanh, quản lý mô hình bằng lệnh đơn giản, chạy được trên máy phổ thông, có REST API</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Chứng minh khái niệm; khối lượng nhỏ và vừa; hạ tầng hạn chế; đội ít người</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Thông lượng khi xử lý hàng loạt; mức tiêu thụ tài nguyên</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Công cụ phục vụ tối ưu thông lượng</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Tối ưu cho xử lý song song nhiều yêu cầu, quản lý bộ nhớ hiệu quả hơn</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Khối lượng lớn; có hạ tầng bộ xử lý đồ họa; cần thông lượng cao</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Yêu cầu hạ tầng tối thiểu; độ phức tạp vận hành; có cần người chuyên trách không</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Thư viện suy luận cấp thấp</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trực tiếp, kiểm soát chi tiết, tiêu thụ tài nguyên thấp, chạy tốt trên chỉ CPU</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Hạ tầng rất hạn chế; cần kiểm soát sâu; nhúng vào ứng dụng</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Khối lượng công việc tích hợp; ai bảo trì</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Nền tảng phục vụ của nhà cung cấp lớn</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Tính năng đầy đủ, hỗ trợ chính thức</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Tổ chức lớn có đội vận hành riêng</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Thường quá nặng so với quy mô của đội và của đơn vị sử dụng — cần cân nhắc kỹ</w:t>
            </w:r>
          </w:p>
        </w:tc>
      </w:tr>
    </w:tbl>
    <w:p>
      <w:pPr>
        <w:spacing w:before="140"/>
        <w:jc w:val="both"/>
      </w:pPr>
      <w:r>
        <w:rPr>
          <w:rFonts w:ascii="Times New Roman" w:cs="Times New Roman" w:eastAsia="Times New Roman" w:hAnsi="Times New Roman"/>
          <w:b/>
          <w:bCs/>
          <w:sz w:val="26"/>
          <w:szCs w:val="26"/>
        </w:rPr>
        <w:t xml:space="preserve">Bốn tiêu chí lựa chọn, xếp theo thứ tự ưu tiên: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000"/>
        <w:gridCol w:w="55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Tiêu chí</w:t>
            </w:r>
          </w:p>
        </w:tc>
        <w:tc>
          <w:tcPr>
            <w:tcW w:type="dxa" w:w="5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Diễn giải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Giấy phép của chính công cụ</w:t>
            </w:r>
          </w:p>
        </w:tc>
        <w:tc>
          <w:tcPr>
            <w:tcW w:type="dxa" w:w="5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Bản thân công cụ phục vụ cũng là phần mềm có giấy phép — cần kiểm tra như mọi thành phần khác. Không được giả định "công cụ nguồn mở thì dùng thoải mái".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Chạy được trên hạ tầng hiện có</w:t>
            </w:r>
          </w:p>
        </w:tc>
        <w:tc>
          <w:tcPr>
            <w:tcW w:type="dxa" w:w="5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Tiêu chí thực tế nhất. Một công cụ mạnh nhưng đòi hỏi phần cứng Nhà trường không có là công cụ không dùng được ở giai đoạn này.</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Độ phức tạp vận hành</w:t>
            </w:r>
          </w:p>
        </w:tc>
        <w:tc>
          <w:tcPr>
            <w:tcW w:type="dxa" w:w="5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Đội là nhân sự kiêm nhiệm. Một công cụ cần người chuyên trách để vận hành là gánh nặng, không phải giải pháp. Cân nhắc cùng rủi ro phụ thuộc cá nhân đã nêu.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Hiệu năng đo được</w:t>
            </w:r>
          </w:p>
        </w:tc>
        <w:tc>
          <w:tcPr>
            <w:tcW w:type="dxa" w:w="5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Xếp cuối cùng — không phải vì không quan trọng, mà vì ba tiêu chí trên là điều kiện loại trừ. Một công cụ nhanh nhưng vướng giấy phép hoặc không chạy được thì hiệu năng vô nghĩa.</w:t>
            </w:r>
          </w:p>
        </w:tc>
      </w:tr>
    </w:tbl>
    <w:p>
      <w:pPr>
        <w:spacing w:after="120" w:line="300"/>
        <w:jc w:val="both"/>
      </w:pPr>
      <w:r>
        <w:rPr>
          <w:rFonts w:ascii="Times New Roman" w:cs="Times New Roman" w:eastAsia="Times New Roman" w:hAnsi="Times New Roman"/>
          <w:b/>
          <w:bCs/>
          <w:sz w:val="26"/>
          <w:szCs w:val="26"/>
        </w:rPr>
        <w:t xml:space="preserve">Khuyến nghị cho Giai đoạn 0: </w:t>
      </w:r>
      <w:r>
        <w:rPr>
          <w:rFonts w:ascii="Times New Roman" w:cs="Times New Roman" w:eastAsia="Times New Roman" w:hAnsi="Times New Roman"/>
          <w:b w:val="false"/>
          <w:bCs w:val="false"/>
          <w:i w:val="false"/>
          <w:iCs w:val="false"/>
          <w:sz w:val="26"/>
          <w:szCs w:val="26"/>
        </w:rPr>
        <w:t xml:space="preserve">Bắt đầu bằng nhóm công cụ đơn giản, đóng gói sẵn — vì mục tiêu của Giai đoạn 0 là </w:t>
      </w:r>
      <w:r>
        <w:rPr>
          <w:rFonts w:ascii="Times New Roman" w:cs="Times New Roman" w:eastAsia="Times New Roman" w:hAnsi="Times New Roman"/>
          <w:b/>
          <w:bCs/>
          <w:sz w:val="26"/>
          <w:szCs w:val="26"/>
        </w:rPr>
        <w:t xml:space="preserve">có số liệu đo, không phải tối ưu hiệu năng</w:t>
      </w:r>
      <w:r>
        <w:rPr>
          <w:rFonts w:ascii="Times New Roman" w:cs="Times New Roman" w:eastAsia="Times New Roman" w:hAnsi="Times New Roman"/>
          <w:b w:val="false"/>
          <w:bCs w:val="false"/>
          <w:i w:val="false"/>
          <w:iCs w:val="false"/>
          <w:sz w:val="26"/>
          <w:szCs w:val="26"/>
        </w:rPr>
        <w:t xml:space="preserve">. Nếu số liệu cho thấy thông lượng không đủ, chuyển sang nhóm tối ưu thông lượng ở Giai đoạn 1. Lớp trừu tượng hóa làm cho việc chuyển đổi này rẻ. Đây là lý do lớp trừu tượng hóa phải làm trước, không phải làm sau.</w:t>
      </w:r>
    </w:p>
    <w:p>
      <w:pPr>
        <w:spacing w:after="120" w:line="300"/>
        <w:jc w:val="both"/>
      </w:pPr>
      <w:r>
        <w:rPr>
          <w:rFonts w:ascii="Times New Roman" w:cs="Times New Roman" w:eastAsia="Times New Roman" w:hAnsi="Times New Roman"/>
          <w:b/>
          <w:bCs/>
          <w:color w:val="C00000"/>
          <w:sz w:val="26"/>
          <w:szCs w:val="26"/>
        </w:rPr>
        <w:t xml:space="preserve">Ghi chú về cách trình bày: </w:t>
      </w:r>
      <w:r>
        <w:rPr>
          <w:rFonts w:ascii="Times New Roman" w:cs="Times New Roman" w:eastAsia="Times New Roman" w:hAnsi="Times New Roman"/>
          <w:i/>
          <w:iCs/>
          <w:color w:val="C00000"/>
          <w:sz w:val="26"/>
          <w:szCs w:val="26"/>
        </w:rPr>
        <w:t xml:space="preserve">Trong hồ sơ dự thi và khi thuyết trình, KHÔNG nêu tên công cụ cụ thể. Nêu "mô hình mở chạy trong hạ tầng của đơn vị thông qua lớp trừu tượng hóa cho phép thay thế công cụ phục vụ". Lý do: (a) công cụ có thể đổi sau khi đo, nêu tên rồi đổi tạo mâu thuẫn với hồ sơ; (b) tên công cụ không tăng sức thuyết phục — điều giám khảo quan tâm là dữ liệu có ra khỏi đơn vị hay không; (c) tránh tạo ấn tượng sản phẩm chỉ là lớp vỏ quanh một công cụ có sẵn.</w:t>
      </w:r>
    </w:p>
    <w:p>
      <w:pPr>
        <w:pStyle w:val="Heading3"/>
        <w:spacing w:after="100" w:before="180"/>
      </w:pPr>
      <w:r>
        <w:rPr>
          <w:rFonts w:ascii="Times New Roman" w:cs="Times New Roman" w:eastAsia="Times New Roman" w:hAnsi="Times New Roman"/>
          <w:b/>
          <w:bCs/>
          <w:i/>
          <w:iCs/>
          <w:color w:val="333333"/>
          <w:sz w:val="26"/>
          <w:szCs w:val="26"/>
        </w:rPr>
        <w:t xml:space="preserve">3.4.3. Lựa chọn mô hình mở — cần kiểm chứng thực tế</w:t>
      </w:r>
    </w:p>
    <w:p>
      <w:pPr>
        <w:spacing w:after="120" w:line="300"/>
        <w:jc w:val="both"/>
      </w:pPr>
      <w:r>
        <w:rPr>
          <w:rFonts w:ascii="Times New Roman" w:cs="Times New Roman" w:eastAsia="Times New Roman" w:hAnsi="Times New Roman"/>
          <w:b/>
          <w:bCs/>
          <w:color w:val="C00000"/>
          <w:sz w:val="26"/>
          <w:szCs w:val="26"/>
        </w:rPr>
        <w:t xml:space="preserve">Cảnh báo quan trọng: </w:t>
      </w:r>
      <w:r>
        <w:rPr>
          <w:rFonts w:ascii="Times New Roman" w:cs="Times New Roman" w:eastAsia="Times New Roman" w:hAnsi="Times New Roman"/>
          <w:i/>
          <w:iCs/>
          <w:color w:val="C00000"/>
          <w:sz w:val="26"/>
          <w:szCs w:val="26"/>
        </w:rPr>
        <w:t xml:space="preserve">Bảng dưới đây là định hướng khảo sát, KHÔNG phải kết luận. Hiệu năng thực tế của mô hình mở trên văn bản hành chính tiếng Việt chưa được kiểm chứng và phải đo bằng thực nghiệm trước khi công bố bất kỳ con số nào. Không được đưa vào hồ sơ dự thi bất kỳ khẳng định nào về độ chính xác của chế độ tại chỗ khi chưa có kết quả đo.</w:t>
      </w:r>
    </w:p>
    <w:p>
      <w:pPr>
        <w:spacing w:before="140"/>
        <w:jc w:val="both"/>
      </w:pPr>
      <w:r>
        <w:rPr>
          <w:rFonts w:ascii="Times New Roman" w:cs="Times New Roman" w:eastAsia="Times New Roman" w:hAnsi="Times New Roman"/>
          <w:b w:val="false"/>
          <w:bCs w:val="false"/>
          <w:i w:val="false"/>
          <w:iCs w:val="false"/>
          <w:sz w:val="26"/>
          <w:szCs w:val="26"/>
        </w:rPr>
        <w:t xml:space="preserve">Các họ mô hình cần khảo sát, phân theo tác vụ:</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2000"/>
        <w:gridCol w:w="2200"/>
        <w:gridCol w:w="2200"/>
      </w:tblGrid>
      <w:tr>
        <w:trPr>
          <w:tblHeader/>
        </w:trPr>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Tác vụ</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mô hình cần thử</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Yêu cầu hạ tầng ước tính</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Lưu ý về giấy phép</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Trích xuất trường từ văn bản (sau OCR)</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mô hình ngôn ngữ mở cỡ vừa (khoảng 7B–14B tham số)</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Chạy được trên CPU nhưng chậm; khuyến nghị GPU từ 12 GB VRAM trở lên</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Ưu tiên mô hình có giấy phép Apache 2.0 hoặc MIT — cho phép sử dụng thương mại không hạn chế</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Xử lý trực tiếp ảnh tài liệu (thị giác)</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mô hình thị giác–ngôn ngữ mở</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Nặng hơn đáng kể; cần đo cụ thể</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Cần kiểm tra riêng — một số mô hình thị giác có giấy phép hạn chế hơn mô hình ngôn ngữ cùng họ</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Tạo embedding cho RAG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mô hình embedding mở hỗ trợ tiếng Việt</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Nhẹ, chạy tốt trên CPU</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Thường có giấy phép cởi mở hơn; vẫn phải kiểm tra từng mô hình</w:t>
            </w:r>
          </w:p>
        </w:tc>
      </w:tr>
    </w:tbl>
    <w:p>
      <w:pPr>
        <w:spacing w:after="120" w:line="300"/>
        <w:jc w:val="both"/>
      </w:pPr>
      <w:r>
        <w:rPr>
          <w:rFonts w:ascii="Times New Roman" w:cs="Times New Roman" w:eastAsia="Times New Roman" w:hAnsi="Times New Roman"/>
          <w:b/>
          <w:bCs/>
          <w:sz w:val="26"/>
          <w:szCs w:val="26"/>
        </w:rPr>
        <w:t xml:space="preserve">Ba nguyên tắc bắt buộc khi chọn mô hình: </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Giấy phép trước, hiệu năng sau. </w:t>
      </w:r>
      <w:r>
        <w:rPr>
          <w:rFonts w:ascii="Times New Roman" w:cs="Times New Roman" w:eastAsia="Times New Roman" w:hAnsi="Times New Roman"/>
          <w:sz w:val="26"/>
          <w:szCs w:val="26"/>
        </w:rPr>
        <w:t xml:space="preserve">Một mô hình mạnh nhưng có giấy phép hạn chế thương mại là mô hình không dùng được. Cần đọc giấy phép gốc trên trang phát hành của từng mô hình, không tin vào mô tả của bên thứ ba.</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Cảnh giác với thuật ngữ "nguồn mở". </w:t>
      </w:r>
      <w:r>
        <w:rPr>
          <w:rFonts w:ascii="Times New Roman" w:cs="Times New Roman" w:eastAsia="Times New Roman" w:hAnsi="Times New Roman"/>
          <w:sz w:val="26"/>
          <w:szCs w:val="26"/>
        </w:rPr>
        <w:t xml:space="preserve">Trong lĩnh vực mô hình ngôn ngữ, cụm từ "open" thường chỉ có nghĩa là "trọng số được công bố", không đồng nghĩa với giấy phép nguồn mở theo nghĩa truyền thống. Nhiều mô hình phổ biến dùng giấy phép riêng của nhà phát hành, kèm điều kiện về quy mô sử dụng, về mục đích sử dụng, hoặc yêu cầu ghi nhận nguồn. Có mô hình còn cấm hẳn sử dụng thương mại đối với một số biến thể trong cùng một họ.</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Giấy phép mô hình phái sinh kế thừa giấy phép gốc. </w:t>
      </w:r>
      <w:r>
        <w:rPr>
          <w:rFonts w:ascii="Times New Roman" w:cs="Times New Roman" w:eastAsia="Times New Roman" w:hAnsi="Times New Roman"/>
          <w:sz w:val="26"/>
          <w:szCs w:val="26"/>
        </w:rPr>
        <w:t xml:space="preserve">Một mô hình được tinh chỉnh từ mô hình khác thường phải tuân theo giấy phép của mô hình gốc. Cần truy nguồn tới tận mô hình nền, không dừng ở mô tả của bản tinh chỉnh.</w:t>
      </w:r>
    </w:p>
    <w:p>
      <w:pPr>
        <w:spacing w:after="120" w:line="300"/>
        <w:jc w:val="both"/>
      </w:pPr>
      <w:r>
        <w:rPr>
          <w:rFonts w:ascii="Times New Roman" w:cs="Times New Roman" w:eastAsia="Times New Roman" w:hAnsi="Times New Roman"/>
          <w:b/>
          <w:bCs/>
          <w:color w:val="C00000"/>
          <w:sz w:val="26"/>
          <w:szCs w:val="26"/>
        </w:rPr>
        <w:t xml:space="preserve">Việc cần làm: </w:t>
      </w:r>
      <w:r>
        <w:rPr>
          <w:rFonts w:ascii="Times New Roman" w:cs="Times New Roman" w:eastAsia="Times New Roman" w:hAnsi="Times New Roman"/>
          <w:i/>
          <w:iCs/>
          <w:color w:val="C00000"/>
          <w:sz w:val="26"/>
          <w:szCs w:val="26"/>
        </w:rPr>
        <w:t xml:space="preserve">Lập một bảng đối chiếu giấy phép cho từng mô hình được đưa vào khảo sát, ghi rõ: tên mô hình, phiên bản, nhà phát hành, tên giấy phép, đường dẫn tới văn bản giấy phép gốc, có cho phép sử dụng thương mại không, có điều kiện gì kèm theo. Bảng này là tài liệu bắt buộc trước khi ký Bản cam kết dự thi, vì Bản cam kết yêu cầu khẳng định sản phẩm không vi phạm quyền sở hữu trí tuệ của bất kỳ tổ chức, cá nhân nào.</w:t>
      </w:r>
    </w:p>
    <w:p>
      <w:r>
        <w:br w:type="page"/>
      </w:r>
    </w:p>
    <w:p>
      <w:pPr>
        <w:pStyle w:val="Heading2"/>
        <w:spacing w:after="140" w:before="240"/>
      </w:pPr>
      <w:r>
        <w:rPr>
          <w:rFonts w:ascii="Times New Roman" w:cs="Times New Roman" w:eastAsia="Times New Roman" w:hAnsi="Times New Roman"/>
          <w:b/>
          <w:bCs/>
          <w:color w:val="2E5496"/>
          <w:sz w:val="27"/>
          <w:szCs w:val="27"/>
        </w:rPr>
        <w:t xml:space="preserve">3.5. Chủ động hóa lớp RAG</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Toàn bộ Mục 3.5 là ý tưởng ở giai đoạn sớm nhất trong tài liệu này. </w:t>
      </w:r>
      <w:r>
        <w:rPr>
          <w:rFonts w:ascii="Times New Roman" w:cs="Times New Roman" w:eastAsia="Times New Roman" w:hAnsi="Times New Roman"/>
          <w:sz w:val="26"/>
          <w:szCs w:val="26"/>
        </w:rPr>
        <w:t xml:space="preserve">Lớp RAG chưa có thiết kế chi tiết, chưa có mã, và KHÔNG nằm trong phạm vi hai tuần trước hạn nộp hồ sơ. Mục này tồn tại để thể hiện hướng đi dài hạn, không phải để đưa vào hồ sơ như một tính năng.</w:t>
      </w:r>
    </w:p>
    <w:p>
      <w:pPr>
        <w:pStyle w:val="Heading3"/>
        <w:spacing w:after="100" w:before="180"/>
      </w:pPr>
      <w:r>
        <w:rPr>
          <w:rFonts w:ascii="Times New Roman" w:cs="Times New Roman" w:eastAsia="Times New Roman" w:hAnsi="Times New Roman"/>
          <w:b/>
          <w:bCs/>
          <w:i/>
          <w:iCs/>
          <w:color w:val="333333"/>
          <w:sz w:val="26"/>
          <w:szCs w:val="26"/>
        </w:rPr>
        <w:t xml:space="preserve">3.5.1. Vì sao cần RAG trong sản phẩm này</w:t>
      </w:r>
    </w:p>
    <w:p>
      <w:pPr>
        <w:spacing w:after="120" w:line="300"/>
        <w:jc w:val="both"/>
      </w:pPr>
      <w:r>
        <w:rPr>
          <w:rFonts w:ascii="Times New Roman" w:cs="Times New Roman" w:eastAsia="Times New Roman" w:hAnsi="Times New Roman"/>
          <w:b w:val="false"/>
          <w:bCs w:val="false"/>
          <w:i w:val="false"/>
          <w:iCs w:val="false"/>
          <w:sz w:val="26"/>
          <w:szCs w:val="26"/>
        </w:rPr>
        <w:t xml:space="preserve">Truy hồi tăng cường (RAG) đóng hai vai trò khác nhau trong hệ thống, cần phân biệt rõ:</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RAG phục vụ trích xuất: </w:t>
      </w:r>
      <w:r>
        <w:rPr>
          <w:rFonts w:ascii="Times New Roman" w:cs="Times New Roman" w:eastAsia="Times New Roman" w:hAnsi="Times New Roman"/>
          <w:sz w:val="26"/>
          <w:szCs w:val="26"/>
        </w:rPr>
        <w:t xml:space="preserve">Khi trích xuất trường từ một tài liệu, hệ thống truy hồi các ví dụ tương tự đã được cán bộ duyệt trước đó để đưa vào ngữ cảnh. Điều này giúp mô hình hiểu quy ước riêng của từng đơn vị mà không cần huấn luyện lại. Càng dùng, kết quả càng chính xác — vì kho ví dụ đã duyệt ngày càng lớn.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RAG phục vụ tra cứu: </w:t>
      </w:r>
      <w:r>
        <w:rPr>
          <w:rFonts w:ascii="Times New Roman" w:cs="Times New Roman" w:eastAsia="Times New Roman" w:hAnsi="Times New Roman"/>
          <w:sz w:val="26"/>
          <w:szCs w:val="26"/>
        </w:rPr>
        <w:t xml:space="preserve">Sau khi tài liệu đã được xử lý, người dùng có thể hỏi bằng ngôn ngữ tự nhiên và hệ thống trả lời dựa trên kho tài liệu đã số hóa, kèm dẫn nguồn tới tài liệu gốc. Đây là tính năng chuyển sản phẩm từ "công cụ nhập liệu" thành "hệ thống khai thác dữ liệu".</w:t>
      </w:r>
    </w:p>
    <w:p>
      <w:pPr>
        <w:spacing w:after="120" w:line="300"/>
        <w:jc w:val="both"/>
      </w:pPr>
      <w:r>
        <w:rPr>
          <w:rFonts w:ascii="Times New Roman" w:cs="Times New Roman" w:eastAsia="Times New Roman" w:hAnsi="Times New Roman"/>
          <w:b/>
          <w:bCs/>
          <w:sz w:val="26"/>
          <w:szCs w:val="26"/>
        </w:rPr>
        <w:t xml:space="preserve">Điểm mấu chốt: </w:t>
      </w:r>
      <w:r>
        <w:rPr>
          <w:rFonts w:ascii="Times New Roman" w:cs="Times New Roman" w:eastAsia="Times New Roman" w:hAnsi="Times New Roman"/>
          <w:b w:val="false"/>
          <w:bCs w:val="false"/>
          <w:i w:val="false"/>
          <w:iCs w:val="false"/>
          <w:sz w:val="26"/>
          <w:szCs w:val="26"/>
        </w:rPr>
        <w:t xml:space="preserve">Vai trò thứ hai chính là câu trả lời cho chất vấn nghiêm trọng của nhà đầu tư — "số hóa xong kho tồn đọng thì còn cần gì nữa?". Khi hệ thống trở thành nơi tra cứu thường trực, nó không còn là dự án một lần mà là hạ tầng dùng liên tục.</w:t>
      </w:r>
    </w:p>
    <w:p>
      <w:pPr>
        <w:pStyle w:val="Heading3"/>
        <w:spacing w:after="100" w:before="180"/>
      </w:pPr>
      <w:r>
        <w:rPr>
          <w:rFonts w:ascii="Times New Roman" w:cs="Times New Roman" w:eastAsia="Times New Roman" w:hAnsi="Times New Roman"/>
          <w:b/>
          <w:bCs/>
          <w:i/>
          <w:iCs/>
          <w:color w:val="333333"/>
          <w:sz w:val="26"/>
          <w:szCs w:val="26"/>
        </w:rPr>
        <w:t xml:space="preserve">3.5.2. Kiến trúc RAG tại chỗ</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3100"/>
        <w:gridCol w:w="3100"/>
      </w:tblGrid>
      <w:tr>
        <w:trPr>
          <w:tblHeader/>
        </w:trPr>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Thành phần</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Lựa chọn đề xuất</w:t>
            </w:r>
          </w:p>
        </w:tc>
        <w:tc>
          <w:tcPr>
            <w:tcW w:type="dxa" w:w="3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tạo embedding</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embedding mở chạy tại chỗ</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Nhẹ, chạy tốt trên CPU; giữ toàn bộ nội dung tài liệu trong mạng nội bộ. Có thể dùng chung công cụ phục vụ với lớp trích xuất, hoặc dùng thư viện riêng — quyết định sau khi đo</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sở dữ liệu vector</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Tiện ích mở rộng vector của PostgreSQL</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Quyết định quan trọng: không thêm thành phần mới vào hệ thống. PostgreSQL đã có sẵn — dùng luôn thay vì cài thêm một cơ sở dữ liệu vector chuyên dụng. Giảm độ phức tạp vận hành, giảm rủi ro bảo trì.</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Chiến lược chia đoạn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Chia theo cấu trúc văn bản, không theo số ký tự cố định</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Văn bản hành chính có cấu trúc rõ (phần căn cứ, phần nội dung, phần nơi nhận) — chia theo cấu trúc giữ được ngữ nghĩa</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Truy hồi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Kết hợp tìm kiếm vector và tìm kiếm toàn văn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Tìm kiếm toàn văn bắt chính xác số hiệu văn bản và ngày tháng; tìm kiếm vector bắt ngữ nghĩa. Kết hợp cả hai cho kết quả tốt hơn một trong hai</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sinh câu trả lời</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ngôn ngữ mở chạy tại chỗ</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Dùng chung công cụ phục vụ với lớp trích xuất — không phát sinh thành phần mới</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Dẫn nguồn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Bắt buộc — mọi câu trả lời phải kèm liên kết tới tài liệu gốc và số trang</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Không thương lượng. Một câu trả lời không dẫn nguồn là một câu trả lời không kiểm chứng được — không dùng được trong công tác hành chính.</w:t>
            </w:r>
          </w:p>
        </w:tc>
      </w:tr>
    </w:tbl>
    <w:p>
      <w:pPr>
        <w:spacing w:after="120" w:line="300"/>
        <w:jc w:val="both"/>
      </w:pPr>
      <w:r>
        <w:rPr>
          <w:rFonts w:ascii="Times New Roman" w:cs="Times New Roman" w:eastAsia="Times New Roman" w:hAnsi="Times New Roman"/>
          <w:b/>
          <w:bCs/>
          <w:sz w:val="26"/>
          <w:szCs w:val="26"/>
        </w:rPr>
        <w:t xml:space="preserve">Lưu ý kỹ thuật quan trọng: </w:t>
      </w:r>
      <w:r>
        <w:rPr>
          <w:rFonts w:ascii="Times New Roman" w:cs="Times New Roman" w:eastAsia="Times New Roman" w:hAnsi="Times New Roman"/>
          <w:b w:val="false"/>
          <w:bCs w:val="false"/>
          <w:i w:val="false"/>
          <w:iCs w:val="false"/>
          <w:sz w:val="26"/>
          <w:szCs w:val="26"/>
        </w:rPr>
        <w:t xml:space="preserve">Bản phản biện đã chỉ ra một lỗ hổng cụ thể — quy tắc lấy 8 trang đầu và 2 trang cuối làm ngữ cảnh là hằng số cứng trong mã nguồn, vô nghĩa với công văn 1–3 trang. Việc chuyển sang RAG </w:t>
      </w:r>
      <w:r>
        <w:rPr>
          <w:rFonts w:ascii="Times New Roman" w:cs="Times New Roman" w:eastAsia="Times New Roman" w:hAnsi="Times New Roman"/>
          <w:b/>
          <w:bCs/>
          <w:sz w:val="26"/>
          <w:szCs w:val="26"/>
        </w:rPr>
        <w:t xml:space="preserve">giải quyết luôn lỗ hổng này</w:t>
      </w:r>
      <w:r>
        <w:rPr>
          <w:rFonts w:ascii="Times New Roman" w:cs="Times New Roman" w:eastAsia="Times New Roman" w:hAnsi="Times New Roman"/>
          <w:b w:val="false"/>
          <w:bCs w:val="false"/>
          <w:i w:val="false"/>
          <w:iCs w:val="false"/>
          <w:sz w:val="26"/>
          <w:szCs w:val="26"/>
        </w:rPr>
        <w:t xml:space="preserve">: thay vì lấy cố định theo vị trí trang, hệ thống truy hồi đúng đoạn văn bản liên quan tới trường cần trích xuất. Quy tắc chọn ngữ cảnh trở thành một phần của lược đồ, không còn là hằng số.</w:t>
      </w:r>
    </w:p>
    <w:p>
      <w:pPr>
        <w:pStyle w:val="Heading3"/>
        <w:spacing w:after="100" w:before="180"/>
      </w:pPr>
      <w:r>
        <w:rPr>
          <w:rFonts w:ascii="Times New Roman" w:cs="Times New Roman" w:eastAsia="Times New Roman" w:hAnsi="Times New Roman"/>
          <w:b/>
          <w:bCs/>
          <w:i/>
          <w:iCs/>
          <w:color w:val="333333"/>
          <w:sz w:val="26"/>
          <w:szCs w:val="26"/>
        </w:rPr>
        <w:t xml:space="preserve">3.5.3. Kiến trúc kỹ thuật sau khi bổ sung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6200"/>
      </w:tblGrid>
      <w:tr>
        <w:trPr>
          <w:tblHeader/>
        </w:trPr>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Thành phần</w:t>
            </w:r>
          </w:p>
        </w:tc>
        <w:tc>
          <w:tcPr>
            <w:tcW w:type="dxa" w:w="6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Vai trò</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Công cụ phục vụ mô hình (container mới)</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Phục vụ mô hình ngôn ngữ mở và mô hình embedding trong mạng nội bộ. Không mở cổng ra ngoài. Công cụ cụ thể lựa chọn sau khảo sát — xem Mục 3.4.2.</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Lớp trừu tượng hóa mô hình (mô-đun mới trong FastAPI)</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Thành phần quan trọng nhất của toàn bộ nâng cấp. Giao diện thống nhất; định tuyến yêu cầu tới mô hình tại chỗ hoặc API đám mây tùy độ nhạy cảm. Cho phép thay cả nhà cung cấp đám mây lẫn công cụ phục vụ tại chỗ mà không sửa phần còn lại.</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PostgreSQL + tiện ích vector (nâng cấp)</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Bổ sung bảng lưu embedding và chỉ mục tìm kiếm vector, bên cạnh dữ liệu hiện có</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chia đoạn và tạo embedding (mô-đun mới)</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Chia tài liệu đã OCR thành đoạn, tạo embedding, lưu vào PostgreSQL</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truy hồi (mô-đun mới)</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hợp tìm kiếm vector và toàn văn, trả về đoạn liên quan nhất kèm nguồn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Giao diện tra cứu (màn hình mới)</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Cho phép người dùng hỏi bằng ngôn ngữ tự nhiên, hiển thị câu trả lời kèm dẫn nguồn</w:t>
            </w:r>
          </w:p>
        </w:tc>
      </w:tr>
      <w:tr>
        <w:trPr>
          <w:tblHeader w:val="false"/>
        </w:trPr>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OCRmyPDF, Ghostscript, Redis, Next.js, tích hợp DSpace</w:t>
            </w:r>
          </w:p>
        </w:tc>
        <w:tc>
          <w:tcPr>
            <w:tcW w:type="dxa" w:w="6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Giữ nguyên hoàn toàn — không thay đổi</w:t>
            </w:r>
          </w:p>
        </w:tc>
      </w:tr>
    </w:tbl>
    <w:p>
      <w:pPr>
        <w:spacing w:after="120" w:line="300"/>
        <w:jc w:val="both"/>
      </w:pPr>
      <w:r>
        <w:rPr>
          <w:rFonts w:ascii="Times New Roman" w:cs="Times New Roman" w:eastAsia="Times New Roman" w:hAnsi="Times New Roman"/>
          <w:b/>
          <w:bCs/>
          <w:sz w:val="26"/>
          <w:szCs w:val="26"/>
        </w:rPr>
        <w:t xml:space="preserve">Đánh giá khối lượng công việc — trung thực: </w:t>
      </w:r>
      <w:r>
        <w:rPr>
          <w:rFonts w:ascii="Times New Roman" w:cs="Times New Roman" w:eastAsia="Times New Roman" w:hAnsi="Times New Roman"/>
          <w:b w:val="false"/>
          <w:bCs w:val="false"/>
          <w:i w:val="false"/>
          <w:iCs w:val="false"/>
          <w:sz w:val="26"/>
          <w:szCs w:val="26"/>
        </w:rPr>
        <w:t xml:space="preserve">Đây là bổ sung, không phải viết lại. Nhưng cần nói thẳng: lớp trừu tượng hóa cộng tích hợp một công cụ phục vụ là phần vừa; lớp RAG là một hệ thống con, không phải một tính năng. </w:t>
      </w:r>
      <w:r>
        <w:rPr>
          <w:rFonts w:ascii="Times New Roman" w:cs="Times New Roman" w:eastAsia="Times New Roman" w:hAnsi="Times New Roman"/>
          <w:b/>
          <w:bCs/>
          <w:sz w:val="26"/>
          <w:szCs w:val="26"/>
        </w:rPr>
        <w:t xml:space="preserve">Cả hai đều KHÔNG khả thi trong hai tuần trước hạn nộp hồ sơ.</w:t>
      </w:r>
      <w:r>
        <w:rPr>
          <w:rFonts w:ascii="Times New Roman" w:cs="Times New Roman" w:eastAsia="Times New Roman" w:hAnsi="Times New Roman"/>
          <w:b w:val="false"/>
          <w:bCs w:val="false"/>
          <w:i w:val="false"/>
          <w:iCs w:val="false"/>
          <w:sz w:val="26"/>
          <w:szCs w:val="26"/>
        </w:rPr>
        <w:t xml:space="preserve"> Việc đưa RAG vào phạm vi Giai đoạn 0 là rủi ro lớn nhất hiện nay — xem Mục V và Mục VI.</w:t>
      </w:r>
    </w:p>
    <w:p>
      <w:pPr>
        <w:pStyle w:val="Heading3"/>
        <w:spacing w:after="100" w:before="180"/>
      </w:pPr>
      <w:r>
        <w:rPr>
          <w:rFonts w:ascii="Times New Roman" w:cs="Times New Roman" w:eastAsia="Times New Roman" w:hAnsi="Times New Roman"/>
          <w:b/>
          <w:bCs/>
          <w:i/>
          <w:iCs/>
          <w:color w:val="333333"/>
          <w:sz w:val="26"/>
          <w:szCs w:val="26"/>
        </w:rPr>
        <w:t xml:space="preserve">3.5.4. Yêu cầu hạ tầng cho chế độ tại chỗ</w:t>
      </w:r>
    </w:p>
    <w:p>
      <w:pPr>
        <w:spacing w:after="120" w:line="300"/>
        <w:jc w:val="both"/>
      </w:pPr>
      <w:r>
        <w:rPr>
          <w:rFonts w:ascii="Times New Roman" w:cs="Times New Roman" w:eastAsia="Times New Roman" w:hAnsi="Times New Roman"/>
          <w:b/>
          <w:bCs/>
          <w:sz w:val="26"/>
          <w:szCs w:val="26"/>
        </w:rPr>
        <w:t xml:space="preserve">Lưu ý: </w:t>
      </w:r>
      <w:r>
        <w:rPr>
          <w:rFonts w:ascii="Times New Roman" w:cs="Times New Roman" w:eastAsia="Times New Roman" w:hAnsi="Times New Roman"/>
          <w:b w:val="false"/>
          <w:bCs w:val="false"/>
          <w:i w:val="false"/>
          <w:iCs w:val="false"/>
          <w:sz w:val="26"/>
          <w:szCs w:val="26"/>
        </w:rPr>
        <w:t xml:space="preserve">Yêu cầu hạ tầng phụ thuộc vào </w:t>
      </w:r>
      <w:r>
        <w:rPr>
          <w:rFonts w:ascii="Times New Roman" w:cs="Times New Roman" w:eastAsia="Times New Roman" w:hAnsi="Times New Roman"/>
          <w:b/>
          <w:bCs/>
          <w:sz w:val="26"/>
          <w:szCs w:val="26"/>
        </w:rPr>
        <w:t xml:space="preserve">cả mô hình lẫn công cụ phục vụ</w:t>
      </w:r>
      <w:r>
        <w:rPr>
          <w:rFonts w:ascii="Times New Roman" w:cs="Times New Roman" w:eastAsia="Times New Roman" w:hAnsi="Times New Roman"/>
          <w:b w:val="false"/>
          <w:bCs w:val="false"/>
          <w:i w:val="false"/>
          <w:iCs w:val="false"/>
          <w:sz w:val="26"/>
          <w:szCs w:val="26"/>
        </w:rPr>
        <w:t xml:space="preserve">. Cùng một mô hình, hai công cụ khác nhau có thể cho yêu cầu bộ nhớ và thông lượng khác nhau đáng kể. Vì vậy bảng dưới chỉ là khung ước tính — con số cụ thể phải đo với đúng cặp mô hình và công cụ được chọn.</w:t>
      </w:r>
    </w:p>
    <w:p>
      <w:pPr>
        <w:spacing w:after="120" w:line="300"/>
        <w:jc w:val="both"/>
      </w:pPr>
      <w:r>
        <w:rPr>
          <w:rFonts w:ascii="Times New Roman" w:cs="Times New Roman" w:eastAsia="Times New Roman" w:hAnsi="Times New Roman"/>
          <w:b/>
          <w:bCs/>
          <w:color w:val="C00000"/>
          <w:sz w:val="26"/>
          <w:szCs w:val="26"/>
        </w:rPr>
        <w:t xml:space="preserve">Cần đo thực tế: </w:t>
      </w:r>
      <w:r>
        <w:rPr>
          <w:rFonts w:ascii="Times New Roman" w:cs="Times New Roman" w:eastAsia="Times New Roman" w:hAnsi="Times New Roman"/>
          <w:i/>
          <w:iCs/>
          <w:color w:val="C00000"/>
          <w:sz w:val="26"/>
          <w:szCs w:val="26"/>
        </w:rPr>
        <w:t xml:space="preserve">Bảng dưới là khung ước tính để lập kế hoạch, không phải cấu hình đã kiểm chứng. Con số chính xác chỉ có được sau khi chạy thử trên phần cứng thật với tài liệu thật.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3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Cấu hình</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Phù hợp với</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Ghi chú</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Chỉ CPU (không GPU)</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Chạy thử, kiểm chứng khái niệm, khối lượng nhỏ</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Chạy được nhưng chậm đáng kể — cần đo thời gian thực tế để đánh giá có chấp nhận được không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GPU tầm trung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Đơn vị vừa, khối lượng hằng ngày</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mục tiêu — cần xác định cụ thể sau khi chọn được mô hình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GPU cao cấp</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Khối lượng lớn, xử lý song song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Chỉ cần khi có nhu cầu thật</w:t>
            </w:r>
          </w:p>
        </w:tc>
      </w:tr>
    </w:tbl>
    <w:p>
      <w:pPr>
        <w:spacing w:after="120" w:line="300"/>
        <w:jc w:val="both"/>
      </w:pPr>
      <w:r>
        <w:rPr>
          <w:rFonts w:ascii="Times New Roman" w:cs="Times New Roman" w:eastAsia="Times New Roman" w:hAnsi="Times New Roman"/>
          <w:b/>
          <w:bCs/>
          <w:color w:val="C00000"/>
          <w:sz w:val="26"/>
          <w:szCs w:val="26"/>
        </w:rPr>
        <w:t xml:space="preserve">Hạ tầng hiện có của Nhà trường: </w:t>
      </w:r>
      <w:r>
        <w:rPr>
          <w:rFonts w:ascii="Times New Roman" w:cs="Times New Roman" w:eastAsia="Times New Roman" w:hAnsi="Times New Roman"/>
          <w:i/>
          <w:iCs/>
          <w:color w:val="C00000"/>
          <w:sz w:val="26"/>
          <w:szCs w:val="26"/>
        </w:rPr>
        <w:t xml:space="preserve">[…cần điền…] — Cần rà soát: máy chủ hiện có cấu hình gì, có GPU không, còn dư năng lực không. Đây là thông tin quyết định việc chế độ tại chỗ có thể chạy thử được ngay hay phải đầu tư thêm.</w:t>
      </w:r>
    </w:p>
    <w:p>
      <w:r>
        <w:br w:type="page"/>
      </w:r>
    </w:p>
    <w:p>
      <w:pPr>
        <w:pStyle w:val="Heading1"/>
        <w:spacing w:after="180" w:before="320"/>
      </w:pPr>
      <w:r>
        <w:rPr>
          <w:rFonts w:ascii="Times New Roman" w:cs="Times New Roman" w:eastAsia="Times New Roman" w:hAnsi="Times New Roman"/>
          <w:b/>
          <w:bCs/>
          <w:color w:val="1F3864"/>
          <w:sz w:val="30"/>
          <w:szCs w:val="30"/>
        </w:rPr>
        <w:t xml:space="preserve">IV. CÁC NỘI DUNG CẦN BỔ SUNG CHO SẢN PHẨM</w:t>
      </w:r>
    </w:p>
    <w:p>
      <w:pPr>
        <w:spacing w:after="120" w:line="300"/>
        <w:jc w:val="both"/>
      </w:pPr>
      <w:r>
        <w:rPr>
          <w:rFonts w:ascii="Times New Roman" w:cs="Times New Roman" w:eastAsia="Times New Roman" w:hAnsi="Times New Roman"/>
          <w:b w:val="false"/>
          <w:bCs w:val="false"/>
          <w:i w:val="false"/>
          <w:iCs w:val="false"/>
          <w:sz w:val="26"/>
          <w:szCs w:val="26"/>
        </w:rPr>
        <w:t xml:space="preserve">Phần này liệt kê những hạng mục cần làm để hồ sơ có sức nặng. Mỗi hạng mục được đánh giá theo mức ưu tiên, khối lượng công việc và tác động đến điểm chấm.</w:t>
      </w:r>
    </w:p>
    <w:p>
      <w:pPr>
        <w:pStyle w:val="Heading2"/>
        <w:spacing w:after="140" w:before="240"/>
      </w:pPr>
      <w:r>
        <w:rPr>
          <w:rFonts w:ascii="Times New Roman" w:cs="Times New Roman" w:eastAsia="Times New Roman" w:hAnsi="Times New Roman"/>
          <w:b/>
          <w:bCs/>
          <w:color w:val="2E5496"/>
          <w:sz w:val="27"/>
          <w:szCs w:val="27"/>
        </w:rPr>
        <w:t xml:space="preserve">4.1. Nhóm A – Bắt buộc, hoàn thành trước 30/7/2026</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2500"/>
        <w:gridCol w:w="1300"/>
        <w:gridCol w:w="1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Nội dung</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Khối lượng</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Tác động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Bộ số liệu thực chứng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từ log hệ thống: tổng số tài liệu đã xử lý, tổng số trang, thời gian trung bình/tài liệu, tỉ lệ thành công/lỗi, số trường AI trích xuất đúng trên tổng số trường (đo trên mẫu ngẫu nhiên có đối chiếu thủ công)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dữ liệu đã có</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Nghiên cứu so sánh trước/sau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thời gian biên mục thủ công trên cùng một tập tài liệu, so với thời gian dùng hệ thống. Quy đổi ra giờ công và chi phí.</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đã có dữ liệu</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Video demo 2–3 phút</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Quay màn hình toàn bộ luồng: tải công văn scan lên → OCR → AI trích xuất → duyệt → đẩy vào hệ thống. Không cần dựng cầu kỳ, cần chân thực và liền mạch.</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 demo lược đồ hành chính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một lược đồ trích xuất cho công văn: số hiệu, ngày ban hành, cơ quan ban hành, trích yếu, độ khẩn, độ mật, nơi nhận. Chạy thử trên 20–30 công văn thật của Trường.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Ảnh chụp giao diện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Tối thiểu 6 ảnh: màn hình tải lên, hàng đợi xử lý, kết quả trích xuất, màn hình duyệt/sửa, nhật ký, thống kê</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Sơ đồ kiến trúc</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Một sơ đồ khối rõ ràng, đọc được trong 10 giây</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r>
    </w:tbl>
    <w:p>
      <w:pPr>
        <w:pStyle w:val="Heading2"/>
        <w:spacing w:after="140" w:before="240"/>
      </w:pPr>
      <w:r>
        <w:rPr>
          <w:rFonts w:ascii="Times New Roman" w:cs="Times New Roman" w:eastAsia="Times New Roman" w:hAnsi="Times New Roman"/>
          <w:b/>
          <w:bCs/>
          <w:color w:val="2E5496"/>
          <w:sz w:val="27"/>
          <w:szCs w:val="27"/>
        </w:rPr>
        <w:t xml:space="preserve">4.2. Nhóm B – Nên có, tăng đáng kể khả năng đạt giải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2500"/>
        <w:gridCol w:w="1300"/>
        <w:gridCol w:w="1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Hạng mục</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Nội dung</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Khối lượng</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Tác động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Điểm tin cậy từng trường</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Yêu cầu mô hình trả về mức tin cậy cho mỗi trường trích xuất; giao diện tô màu trường có điểm thấp để cán bộ tập trung kiểm tra. Đây là tính năng phân biệt rõ với các công cụ OCR thông thường.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định nghĩa lược đồ</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Cho phép quản trị viên tạo loại tài liệu mới và khai báo trường cần trích xuất mà không cần lập trình. Chứng minh khả năng nhân rộng sang lĩnh vực khác — điều giám khảo sẽ hỏi.</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Cao</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Lớp trừu tượng hóa mô hình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Định nghĩa giao diện chung cho mọi nhà cung cấp mô hình. Hiện thực hai lớp: đám mây và tại chỗ. Đây là hạng mục có giá trị lâu dài nhất — nó cho phép thay cả nhà cung cấp API lẫn công cụ phục vụ tại chỗ mà không sửa hệ thống.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B3b</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Chứng minh khái niệm chế độ tại chỗ</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Chọn một công cụ phục vụ đơn giản, chạy thử một mô hình mở trên tập công văn thật, ĐO độ chính xác và thời gian so với chế độ đám mây. Không cần hoàn thiện, không cần tối ưu — chỉ cần có số liệu đo thật.</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 – cao</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B3c</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đối chiếu giấy phép mô hình VÀ công cụ phục vụ</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Lập bảng cho cả mô hình lẫn công cụ phục vụ: tên, phiên bản, nhà phát hành, tên giấy phép, đường dẫn văn bản gốc, cho phép thương mại hay không, điều kiện kèm theo. Bắt buộc trước khi ký Bản cam kết.</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chủ yếu là đọc</w:t>
            </w:r>
          </w:p>
        </w:tc>
        <w:tc>
          <w:tcPr>
            <w:tcW w:type="dxa" w:w="12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 – bắt buộc về pháp lý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Một thư đồng ý thí điểm</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từ một đơn vị bên ngoài HPU (trường thành viên hệ thống HNS, doanh nghiệp đối tác, đơn vị sự nghiệp) đồng ý thí điểm. Biến "giải pháp nội bộ" thành "giải pháp có nhu cầu thị trường".</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 – chủ yếu là quan hệ</w:t>
            </w:r>
          </w:p>
        </w:tc>
        <w:tc>
          <w:tcPr>
            <w:tcW w:type="dxa" w:w="1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Rất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Hồ sơ sở hữu trí tuệ</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Nộp đơn đăng ký quyền tác giả chương trình máy tính tại Cục Bản quyền tác giả. Mẫu 01 có mục hỏi trực tiếp về giấy tờ sở hữu trí tuệ.</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Thấp</w:t>
            </w:r>
          </w:p>
        </w:tc>
        <w:tc>
          <w:tcPr>
            <w:tcW w:type="dxa" w:w="1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Trung bình – cao</w:t>
            </w:r>
          </w:p>
        </w:tc>
      </w:tr>
    </w:tbl>
    <w:p>
      <w:pPr>
        <w:pStyle w:val="Heading2"/>
        <w:spacing w:after="140" w:before="240"/>
      </w:pPr>
      <w:r>
        <w:rPr>
          <w:rFonts w:ascii="Times New Roman" w:cs="Times New Roman" w:eastAsia="Times New Roman" w:hAnsi="Times New Roman"/>
          <w:b/>
          <w:bCs/>
          <w:color w:val="2E5496"/>
          <w:sz w:val="27"/>
          <w:szCs w:val="27"/>
        </w:rPr>
        <w:t xml:space="preserve">4.3. Nhóm C – Lộ trình sau cuộc thi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700"/>
        <w:gridCol w:w="48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STT</w:t>
            </w:r>
          </w:p>
        </w:tc>
        <w:tc>
          <w:tcPr>
            <w:tcW w:type="dxa" w:w="2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Hạng mục</w:t>
            </w:r>
          </w:p>
        </w:tc>
        <w:tc>
          <w:tcPr>
            <w:tcW w:type="dxa" w:w="4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C1</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 chứng từ logistics</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Mở rộng lược đồ sang vận đơn, tờ khai, phiếu giao nhận — bắc cầu sang Lĩnh vực 1 của cuộc thi và mở thị trường lớn nhất tại Hải Phòng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C2</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Tinh chỉnh mô hình OCR tiếng Việt</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Huấn luyện bổ sung Tesseract trên tập công văn hành chính Việt Nam để nâng độ chính xác với chữ ký, con dấu, bảng biểu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C2b</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Tinh chỉnh mô hình mở trên dữ liệu hành chính</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Sau khi có đủ dữ liệu đã được cán bộ duyệt, tinh chỉnh mô hình mở để nâng độ chính xác trích xuất trên văn bản hành chính Việt Nam. Đây là hướng tạo ra tài sản trí tuệ riêng — mô hình tinh chỉnh trên dữ liệu đặc thù là thứ đối thủ không sao chép được. Lưu ý: phải kiểm tra giấy phép mô hình gốc có cho phép tinh chỉnh và phân phối bản tinh chỉnh không.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C3</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Xử lý con dấu và chữ ký</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Nhận diện vùng con dấu, chữ ký; đối chiếu tính hợp lệ hình thức của văn bản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C4</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API công khai</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Cung cấp dịch vụ dưới dạng API để các hệ thống khác của thành phố gọi trực tiếp</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C5</w:t>
            </w:r>
          </w:p>
        </w:tc>
        <w:tc>
          <w:tcPr>
            <w:tcW w:type="dxa" w:w="2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Thương mại hóa</w:t>
            </w:r>
          </w:p>
        </w:tc>
        <w:tc>
          <w:tcPr>
            <w:tcW w:type="dxa" w:w="4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Thành lập pháp nhân hoặc vận hành qua tổ chức kinh tế của Trường; xây dựng bảng giá theo số trang xử lý</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 NHỮNG ĐIỂM YẾU PHẢI XỬ LÝ TRƯỚC KHI NỘP</w:t>
      </w:r>
    </w:p>
    <w:p>
      <w:pPr>
        <w:spacing w:after="120" w:line="300"/>
        <w:jc w:val="both"/>
      </w:pPr>
      <w:r>
        <w:rPr>
          <w:rFonts w:ascii="Times New Roman" w:cs="Times New Roman" w:eastAsia="Times New Roman" w:hAnsi="Times New Roman"/>
          <w:b w:val="false"/>
          <w:bCs w:val="false"/>
          <w:i w:val="false"/>
          <w:iCs w:val="false"/>
          <w:sz w:val="26"/>
          <w:szCs w:val="26"/>
        </w:rPr>
        <w:t xml:space="preserve">Phần này nêu thẳng các điểm mà giám khảo và chuyên gia phản biện sẽ tấn công. Chuẩn bị trước câu trả lời tốt hơn là bị hỏi bất ngờ tại vòng bán kết.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400"/>
        <w:gridCol w:w="2500"/>
        <w:gridCol w:w="26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Điểm yếu</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Câu hỏi giám khảo sẽ đặt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Hướng xử lý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Phụ thuộc API bên thứ ba</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"Nếu nhà cung cấp đổi giá, đổi chính sách, hoặc dừng dịch vụ thì sao? Chi phí biến đổi theo số trang có bền vững không?"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Đã có câu trả lời: kiến trúc hai chế độ với mô hình mở chạy tại chỗ. Lớp trừu tượng hóa cho phép thay cả nhà cung cấp API lẫn công cụ phục vụ mà không sửa phần còn lại. Cần trình bày kèm kết quả đo thật, không chỉ nói là "đang phát triển".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Rủi ro dữ liệu nhạy cảm</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"Gửi công văn của cơ quan nhà nước ra máy chủ nước ngoài — có hợp pháp không?"</w:t>
            </w:r>
          </w:p>
        </w:tc>
        <w:tc>
          <w:tcPr>
            <w:tcW w:type="dxa" w:w="26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Đây là rào cản nghiêm trọng nhất. Đã có ĐỀ XUẤT phương án kỹ thuật: chế độ tại chỗ với mô hình mở — dữ liệu không rời mạng nội bộ, hệ thống chạy được cả khi ngắt Internet. Nhưng phải nói thẳng hai điều: (a) đề xuất này CHƯA được kiểm chứng — cho tới khi có số liệu đo, đây vẫn là giả thuyết chứ không phải câu trả lời; (b) phương án kỹ thuật KHÔNG thay thế rà soát pháp lý — vẫn cần người có chuyên môn rà quy định về bảo vệ dữ liệu cá nhân và bảo vệ bí mật nhà nước trước khi triển khai với từng đơn vị.</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2b</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Giấy phép mô hình mở và công cụ phục vụ</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"Các mô hình mở này có giấy phép gì? Có được dùng thương mại không? Còn công cụ phục vụ thì sao?"</w:t>
            </w:r>
          </w:p>
        </w:tc>
        <w:tc>
          <w:tcPr>
            <w:tcW w:type="dxa" w:w="26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Câu hỏi mới phát sinh từ chính quyết định dùng mô hình mở — và phải trả lời được cho CẢ HAI: mô hình và công cụ phục vụ. Thuật ngữ "nguồn mở" trong lĩnh vực mô hình ngôn ngữ thường chỉ có nghĩa là trọng số được công bố, không đồng nghĩa với giấy phép cho phép thương mại tự do. Bắt buộc lập bảng đối chiếu giấy phép (B3c) cho cả hai nhóm.</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Rào cản không nằm ở công nghệ</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nghệ này không mới. Vì sao các cơ quan chưa làm? Vì quy trình và con người, không phải vì thiếu phần mềm."</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Thừa nhận thẳng. Trả lời bằng chính lợi thế của đội: đã vượt qua rào cản này một lần tại HPU — có bằng chứng là hệ thống đang chạy và cán bộ đang dùng. Đây là điều hiếm đội nào chứng minh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Cạnh tranh với nhà cung cấp lớn</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"FPT, Viettel, VNPT đều có sản phẩm OCR. Lợi thế của các bạn là gì?"</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cạnh tranh trực diện về quy mô. Lợi thế: chi phí thấp, cấu hình linh hoạt theo từng loại hồ sơ đặc thù, triển khai nhanh cho đơn vị vừa và nhỏ, và có mặt tại chỗ ở Hải Phòng.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Chưa có doanh thu</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"Đã ai trả tiền chưa?"</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Trả lời trung thực: chưa. Bù lại bằng giá trị tiết kiệm đã đo được và bằng thư đồng ý thí điểm (B4). Tuyệt đối không được phóng đại.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Số liệu chưa được kiểm chứng độc lập</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"Con số 46% và trên 90% do ai đo?"</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bố rõ phương pháp đo, cỡ mẫu, điều kiện đo. Một con số khiêm tốn có phương pháp minh bạch đáng tin hơn một con số đẹp không rõ nguồn.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Chất lượng mô hình mở so với mô hình thương mại</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mở chạy tại chỗ có chính xác bằng API thương mại không? Nếu kém hơn thì chế độ tại chỗ có dùng được thật không?"</w:t>
            </w:r>
          </w:p>
        </w:tc>
        <w:tc>
          <w:tcPr>
            <w:tcW w:type="dxa" w:w="26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Câu hỏi sắc và phải trả lời bằng số liệu đo, không bằng lập luận. Khả năng cao là mô hình mở cho độ chính xác thấp hơn — cần đo và công bố trung thực chênh lệch. Lập luận đúng: với tài liệu nhạy cảm, chế độ tại chỗ không phải là lựa chọn tối ưu về độ chính xác, mà là lựa chọn DUY NHẤT hợp pháp. Bù lại bằng bước cán bộ duyệt và điểm tin cậy từng trường. Lưu ý: nếu một mô hình cho kết quả kém, thử mô hình khác — lớp trừu tượng hóa làm việc này rẻ.</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Phụ thuộc công cụ phục vụ mô hình</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phải các anh chỉ thay một phụ thuộc bằng một phụ thuộc khác không?"</w:t>
            </w:r>
          </w:p>
        </w:tc>
        <w:tc>
          <w:tcPr>
            <w:tcW w:type="dxa" w:w="26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Câu hỏi công bằng, cần thừa nhận một phần. Khác biệt thực chất: (a) mô hình mở tải về lưu trên đĩa của đơn vị — nhà phát hành không thu hồi được; (b) lớp trừu tượng hóa cho phép đổi công cụ phục vụ mà không sửa hệ thống; (c) dữ liệu không rời mạng nội bộ — đây là khác biệt tuyệt đối, không phải mức độ. Trình bày đúng mức: đây là GIẢM phụ thuộc, không phải XÓA BỎ phụ thuộc.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 phí phần cứng cho chế độ tại chỗ</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mô hình tại chỗ cần GPU. Đơn vị sự nghiệp lấy đâu ra ngân sách mua GPU?"</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Trả lời trung thực: cần đo xem chạy trên CPU có chấp nhận được không cho khối lượng thực tế của đơn vị. Nếu bắt buộc cần GPU, đây là rào cản thật về chi phí — cần đưa vào phân tích tài chính thay vì né tránh.</w:t>
            </w:r>
          </w:p>
        </w:tc>
      </w:tr>
    </w:tbl>
    <w:p>
      <w:pPr>
        <w:spacing w:after="120" w:line="300"/>
        <w:jc w:val="both"/>
      </w:pPr>
      <w:r>
        <w:rPr>
          <w:rFonts w:ascii="Times New Roman" w:cs="Times New Roman" w:eastAsia="Times New Roman" w:hAnsi="Times New Roman"/>
          <w:b/>
          <w:bCs/>
          <w:sz w:val="26"/>
          <w:szCs w:val="26"/>
        </w:rPr>
        <w:t xml:space="preserve">Nguyên tắc xuyên suốt: </w:t>
      </w:r>
      <w:r>
        <w:rPr>
          <w:rFonts w:ascii="Times New Roman" w:cs="Times New Roman" w:eastAsia="Times New Roman" w:hAnsi="Times New Roman"/>
          <w:b w:val="false"/>
          <w:bCs w:val="false"/>
          <w:i w:val="false"/>
          <w:iCs w:val="false"/>
          <w:sz w:val="26"/>
          <w:szCs w:val="26"/>
        </w:rPr>
        <w:t xml:space="preserve">Trong hồ sơ và khi thuyết trình, chủ động nêu điểm yếu trước khi giám khảo nêu. Giám khảo giàu kinh nghiệm đánh giá cao đội biết rõ giới hạn của mình hơn đội tô hồng. Riêng với cuộc thi này — nơi ban tổ chức tuyên bố tìm "giải pháp thực chiến" — sự trung thực về giới hạn chính là bằng chứng của tính thực chiến.</w:t>
      </w:r>
    </w:p>
    <w:p>
      <w:r>
        <w:br w:type="page"/>
      </w:r>
    </w:p>
    <w:p>
      <w:pPr>
        <w:pStyle w:val="Heading1"/>
        <w:spacing w:after="180" w:before="320"/>
      </w:pPr>
      <w:r>
        <w:rPr>
          <w:rFonts w:ascii="Times New Roman" w:cs="Times New Roman" w:eastAsia="Times New Roman" w:hAnsi="Times New Roman"/>
          <w:b/>
          <w:bCs/>
          <w:color w:val="1F3864"/>
          <w:sz w:val="30"/>
          <w:szCs w:val="30"/>
        </w:rPr>
        <w:t xml:space="preserve">VI. KẾ HOẠCH HÀNH ĐỘNG ĐẾN 30/7/2026</w:t>
      </w:r>
    </w:p>
    <w:p>
      <w:pPr>
        <w:spacing w:after="120" w:line="300"/>
        <w:jc w:val="both"/>
      </w:pPr>
      <w:r>
        <w:rPr>
          <w:rFonts w:ascii="Times New Roman" w:cs="Times New Roman" w:eastAsia="Times New Roman" w:hAnsi="Times New Roman"/>
          <w:b w:val="false"/>
          <w:bCs w:val="false"/>
          <w:i w:val="false"/>
          <w:iCs w:val="false"/>
          <w:sz w:val="26"/>
          <w:szCs w:val="26"/>
        </w:rPr>
        <w:t xml:space="preserve">Khung thời gian còn khoảng hai tuần. Kế hoạch dưới đây chỉ đưa vào những việc khả thi trong khung này.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300"/>
        <w:gridCol w:w="2600"/>
        <w:gridCol w:w="1700"/>
        <w:gridCol w:w="2400"/>
      </w:tblGrid>
      <w:tr>
        <w:trPr>
          <w:tblHeader/>
        </w:trPr>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Thời gian</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Công việc</w:t>
            </w:r>
          </w:p>
        </w:tc>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Phụ trách</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Sản phẩm đầu ra</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16–19/7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xuất log, tính toán bộ số liệu thực chứng (A1, A2)</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Bảng số liệu có phương pháp đo kèm theo</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16–19/7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công văn hành chính, chạy thử trên tài liệu thật (A4)</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quả trích xuất trên 20–30 công văn</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20–23/7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Quay video demo, chụp ảnh giao diện, vẽ sơ đồ kiến trúc (A3, A5, A6)</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phận kỹ thuật + truyền thông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Video 2–3 phút; bộ ảnh; sơ đồ</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20–23/7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Vận động thư đồng ý thí điểm từ đơn vị bên ngoài (B4)</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 đồng ý thí điểm</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22–25/7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Mẫu 01, Mẫu 02; chuẩn bị tài liệu minh chứng</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Hồ sơ hoàn chỉnh</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24–26/7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bị hồ sơ đăng ký quyền tác giả (B5)</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Đơn đăng ký</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26–28/7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Rà soát toàn bộ hồ sơ: đối chiếu từng mục Mẫu 01, kiểm tra số liệu, thể thức trình bày</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Toàn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Hồ sơ đã rà soát</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28–29/7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Nộp hồ sơ qua Google Form, đính kèm tài liệu</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Trưởng nhóm</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Xác nhận đã nộp</w:t>
            </w:r>
          </w:p>
        </w:tc>
      </w:tr>
      <w:tr>
        <w:trPr>
          <w:tblHeader w:val="false"/>
        </w:trPr>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30/7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Hạn cuối – dự phòng</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w:t>
            </w:r>
          </w:p>
        </w:tc>
      </w:tr>
    </w:tbl>
    <w:p>
      <w:pPr>
        <w:pStyle w:val="Heading2"/>
        <w:spacing w:after="140" w:before="240"/>
      </w:pPr>
      <w:r>
        <w:rPr>
          <w:rFonts w:ascii="Times New Roman" w:cs="Times New Roman" w:eastAsia="Times New Roman" w:hAnsi="Times New Roman"/>
          <w:b/>
          <w:bCs/>
          <w:color w:val="2E5496"/>
          <w:sz w:val="27"/>
          <w:szCs w:val="27"/>
        </w:rPr>
        <w:t xml:space="preserve">6.1. Rà soát tính đồng bộ năm trục</w:t>
      </w:r>
    </w:p>
    <w:p>
      <w:pPr>
        <w:spacing w:after="120" w:line="300"/>
        <w:jc w:val="both"/>
      </w:pPr>
      <w:r>
        <w:rPr>
          <w:rFonts w:ascii="Times New Roman" w:cs="Times New Roman" w:eastAsia="Times New Roman" w:hAnsi="Times New Roman"/>
          <w:b w:val="false"/>
          <w:bCs w:val="false"/>
          <w:i w:val="false"/>
          <w:iCs w:val="false"/>
          <w:sz w:val="26"/>
          <w:szCs w:val="26"/>
        </w:rPr>
        <w:t xml:space="preserve">Trước khi triển khai, cần đối chiếu với các hoạt động đang chạy của Trường để tránh lệch pha: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600"/>
        <w:gridCol w:w="3200"/>
        <w:gridCol w:w="3200"/>
      </w:tblGrid>
      <w:tr>
        <w:trPr>
          <w:tblHeader/>
        </w:trPr>
        <w:tc>
          <w:tcPr>
            <w:tcW w:type="dxa" w:w="1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Trục</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 cần rà</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Điểm cần lưu ý</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Quyết định cử nhóm dự thi; văn bản giao nhiệm vụ; cam kết triển khai 6 tháng nếu đạt giải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 cam kết ràng buộc trách nhiệm triển khai thực tế tại Hải Phòng tối thiểu 6 tháng — cần xác định rõ ai chịu trách nhiệm và nguồn lực đi kèm trước khi ký</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thống</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Quan hệ với hệ thống DSpace và hạ tầng hiện có; hạ tầng máy chủ cho chế độ tại chỗ</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Hai điểm cần rà: (a) việc mở rộng sang công văn hành chính có thể chồng lấn với phần mềm quản lý văn bản đang dùng — cần làm rõ ranh giới; (b) chạy mô hình tại chỗ cần tài nguyên máy chủ đáng kể — cần rà xem hạ tầng hiện có (Proxmox) còn dư năng lực không, có GPU không. Đây là thông tin quyết định việc chế độ tại chỗ có thử được ngay hay phải đầu tư thêm</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Con người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lực kỹ thuật của nhóm trong hai tuần tới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Đây là ràng buộc chặt nhất. Cùng thời điểm còn nhiều đầu việc khác của Trường. Việc bổ sung hạng mục chế độ tại chỗ làm tăng tải — cần xác định rõ: chỉ làm mức chứng minh khái niệm có đo đạc, KHÔNG hoàn thiện. Nếu ôm cả RAG trong hai tuần thì hỏng cả hai.</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Nguồn lực</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gọi API trong giai đoạn chạy thử; chi phí đăng ký sở hữu trí tuệ; chi phí làm video; khả năng cần đầu tư GPU</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Cần dự trù cụ thể. Riêng GPU: chưa quyết vội — đo trên hạ tầng hiện có trước, chỉ đề xuất đầu tư khi có số liệu chứng minh cần thiết.</w:t>
            </w:r>
          </w:p>
        </w:tc>
      </w:tr>
      <w:tr>
        <w:trPr>
          <w:tblHeader w:val="false"/>
        </w:trP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Truyền thông</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Quan hệ với hoạt động của Trường tại Techfest Hải Phòng 2026 (4–5/8/2026)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Cơ hội cần khai thác: Techfest diễn ra ngay sau hạn nộp hồ sơ. Có thể trưng bày sản phẩm tại gian hàng Techfest, tạo dấu ấn với chính hệ sinh thái mà ban giám khảo thuộc về, trước khi vòng bán kết diễn ra vào tháng 9.</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VII. KHUYẾN NGHỊ VỀ MỨC ĐỘ KỲ VỌNG</w:t>
      </w:r>
    </w:p>
    <w:p>
      <w:pPr>
        <w:spacing w:after="120" w:line="300"/>
        <w:jc w:val="both"/>
      </w:pPr>
      <w:r>
        <w:rPr>
          <w:rFonts w:ascii="Times New Roman" w:cs="Times New Roman" w:eastAsia="Times New Roman" w:hAnsi="Times New Roman"/>
          <w:b w:val="false"/>
          <w:bCs w:val="false"/>
          <w:i w:val="false"/>
          <w:iCs w:val="false"/>
          <w:sz w:val="26"/>
          <w:szCs w:val="26"/>
        </w:rPr>
        <w:t xml:space="preserve">Để tránh đầu tư nguồn lực dựa trên kỳ vọng sai, cần đánh giá thực tế khả năng đạt giải: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200"/>
        <w:gridCol w:w="36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Kịch bản</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Khả năng</w:t>
            </w:r>
          </w:p>
        </w:tc>
        <w:tc>
          <w:tcPr>
            <w:tcW w:type="dxa" w:w="3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Điều kiện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Vào vòng bán kết</w:t>
            </w:r>
          </w:p>
        </w:tc>
        <w:tc>
          <w:tcPr>
            <w:tcW w:type="dxa" w:w="22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Cao</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nhóm A. Sản phẩm đã chạy thật là lợi thế lớn ở vòng sơ tuyển hồ sơ.</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Có giải (trong 10 giải)</w:t>
            </w:r>
          </w:p>
        </w:tc>
        <w:tc>
          <w:tcPr>
            <w:tcW w:type="dxa" w:w="2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 – khá</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nhóm A + B3 (chứng minh khái niệm chế độ tại chỗ, có số liệu đo) + B4. Cần thuyết trình tốt tại bán kết. Việc chứng minh được chế độ tại chỗ chạy thật — dù chưa hoàn thiện — nâng đáng kể khả năng ở kịch bản này, vì nó gỡ đúng rào cản mà giám khảo quan tâm nhất.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Giải cao (Nhất/Nhì)</w:t>
            </w:r>
          </w:p>
        </w:tc>
        <w:tc>
          <w:tcPr>
            <w:tcW w:type="dxa" w:w="22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Thấp – trung bình</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Cần thêm: chế độ chạy tại chỗ hoàn chỉnh và đã kiểm chứng, ít nhất một đơn vị bên ngoài đang dùng thật, và số liệu tác động ở quy mô vượt ra ngoài một trường. Cạnh tranh ở nhóm này thường là các dự án gắn trực tiếp với cảng biển và logistics — vốn là trọng tâm ưu tiên của thành phố. Lộ trình tới tháng 9–11 (bán kết, chung kết) là cơ hội thật để hoàn thiện chế độ tại chỗ và lớp RAG.</w:t>
            </w:r>
          </w:p>
        </w:tc>
      </w:tr>
    </w:tbl>
    <w:p>
      <w:pPr>
        <w:pStyle w:val="Heading2"/>
        <w:spacing w:after="140" w:before="240"/>
      </w:pPr>
      <w:r>
        <w:rPr>
          <w:rFonts w:ascii="Times New Roman" w:cs="Times New Roman" w:eastAsia="Times New Roman" w:hAnsi="Times New Roman"/>
          <w:b/>
          <w:bCs/>
          <w:color w:val="2E5496"/>
          <w:sz w:val="27"/>
          <w:szCs w:val="27"/>
        </w:rPr>
        <w:t xml:space="preserve">7.1. Giá trị thật của việc dự thi</w:t>
      </w:r>
    </w:p>
    <w:p>
      <w:pPr>
        <w:spacing w:after="120" w:line="300"/>
        <w:jc w:val="both"/>
      </w:pPr>
      <w:r>
        <w:rPr>
          <w:rFonts w:ascii="Times New Roman" w:cs="Times New Roman" w:eastAsia="Times New Roman" w:hAnsi="Times New Roman"/>
          <w:b w:val="false"/>
          <w:bCs w:val="false"/>
          <w:i w:val="false"/>
          <w:iCs w:val="false"/>
          <w:sz w:val="26"/>
          <w:szCs w:val="26"/>
        </w:rPr>
        <w:t xml:space="preserve">Giải thưởng 70 triệu đồng không phải là giá trị chính. Các giá trị đáng theo đuổi hơn, theo thứ tự:</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Kênh tiếp cận cơ quan quản lý: </w:t>
      </w:r>
      <w:r>
        <w:rPr>
          <w:rFonts w:ascii="Times New Roman" w:cs="Times New Roman" w:eastAsia="Times New Roman" w:hAnsi="Times New Roman"/>
          <w:sz w:val="26"/>
          <w:szCs w:val="26"/>
        </w:rPr>
        <w:t xml:space="preserve">Cuộc thi do Sở Khoa học và Công nghệ tổ chức. Việc vào vòng bán kết đưa sản phẩm và Nhà trường vào tầm nhìn của cơ quan chủ quản khoa học công nghệ thành phố — giá trị này bền hơn tiền thưởng.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Hỗ trợ pháp lý và sở hữu trí tuệ: </w:t>
      </w:r>
      <w:r>
        <w:rPr>
          <w:rFonts w:ascii="Times New Roman" w:cs="Times New Roman" w:eastAsia="Times New Roman" w:hAnsi="Times New Roman"/>
          <w:sz w:val="26"/>
          <w:szCs w:val="26"/>
        </w:rPr>
        <w:t xml:space="preserve">Ban tổ chức công bố hỗ trợ đăng ký sở hữu trí tuệ cho đội thi — phù hợp với nhu cầu bảo hộ sản phẩm.</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Cơ hội thí điểm thật: </w:t>
      </w:r>
      <w:r>
        <w:rPr>
          <w:rFonts w:ascii="Times New Roman" w:cs="Times New Roman" w:eastAsia="Times New Roman" w:hAnsi="Times New Roman"/>
          <w:sz w:val="26"/>
          <w:szCs w:val="26"/>
        </w:rPr>
        <w:t xml:space="preserve">Cam kết của ban tổ chức về thí điểm và triển khai giải pháp tại Hải Phòng mở đường cho khách hàng đầu tiên ngoài Trường.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Ép sản phẩm trưởng thành: </w:t>
      </w:r>
      <w:r>
        <w:rPr>
          <w:rFonts w:ascii="Times New Roman" w:cs="Times New Roman" w:eastAsia="Times New Roman" w:hAnsi="Times New Roman"/>
          <w:sz w:val="26"/>
          <w:szCs w:val="26"/>
        </w:rPr>
        <w:t xml:space="preserve">Quá trình chuẩn bị hồ sơ buộc phải làm những việc lẽ ra phải làm: đo lường có phương pháp, xử lý bài toán bảo mật, thiết kế cho khả năng nhân rộng. Kể cả không đạt giải, sản phẩm vẫn tốt hơn.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Cộng hưởng với dấu mốc 30 năm của Trường: </w:t>
      </w:r>
      <w:r>
        <w:rPr>
          <w:rFonts w:ascii="Times New Roman" w:cs="Times New Roman" w:eastAsia="Times New Roman" w:hAnsi="Times New Roman"/>
          <w:sz w:val="26"/>
          <w:szCs w:val="26"/>
        </w:rPr>
        <w:t xml:space="preserve">Năm 2026 là năm kỷ niệm 30 năm thành lập Trường. Một sản phẩm công nghệ do chính đội ngũ Nhà trường xây dựng, tham dự cuộc thi cấp thành phố, là minh chứng cụ thể cho năng lực công nghệ của Trường.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Xây dựng năng lực AI tự chủ cho Nhà trường: </w:t>
      </w:r>
      <w:r>
        <w:rPr>
          <w:rFonts w:ascii="Times New Roman" w:cs="Times New Roman" w:eastAsia="Times New Roman" w:hAnsi="Times New Roman"/>
          <w:sz w:val="26"/>
          <w:szCs w:val="26"/>
        </w:rPr>
        <w:t xml:space="preserve">Việc làm chủ kỹ thuật chạy mô hình mở tại chỗ tạo ra năng lực dùng được cho nhiều việc khác, không chỉ cho sản phẩm này. Hạ tầng và kinh nghiệm vận hành là tài sản dùng chung — kể cả nếu dự án dự thi không đạt giải, năng lực này vẫn còn lại. Đây là lý do nên thử ngay cả khi kết quả đo có thể không như kỳ vọng.</w:t>
      </w:r>
    </w:p>
    <w:p>
      <w:pPr>
        <w:pStyle w:val="Heading2"/>
        <w:spacing w:after="140" w:before="240"/>
      </w:pPr>
      <w:r>
        <w:rPr>
          <w:rFonts w:ascii="Times New Roman" w:cs="Times New Roman" w:eastAsia="Times New Roman" w:hAnsi="Times New Roman"/>
          <w:b/>
          <w:bCs/>
          <w:color w:val="2E5496"/>
          <w:sz w:val="27"/>
          <w:szCs w:val="27"/>
        </w:rPr>
        <w:t xml:space="preserve">7.2. Kết luận</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có lõi kỹ thuật tốt và lợi thế hiếm là đã vận hành thực tế. Đề xuất chuyển sang kiến trúc hai chế độ với mô hình mở chạy tại chỗ là hướng đi đúng — nó nhắm đúng rào cản nghiêm trọng nhất (pháp lý về dữ liệu), đồng thời trả lời hai chất vấn khác (phụ thuộc nhà cung cấp, sở hữu công nghệ). Nhưng cần nhắc lại: đây là hướng đi, chưa phải kết quả. Giá trị của nó phụ thuộc hoàn toàn vào việc hai tuần tới có đo được số liệu thật hay không.</w:t>
      </w:r>
    </w:p>
    <w:p>
      <w:pPr>
        <w:spacing w:after="120" w:line="300"/>
        <w:jc w:val="both"/>
      </w:pPr>
      <w:r>
        <w:rPr>
          <w:rFonts w:ascii="Times New Roman" w:cs="Times New Roman" w:eastAsia="Times New Roman" w:hAnsi="Times New Roman"/>
          <w:b/>
          <w:bCs/>
          <w:sz w:val="26"/>
          <w:szCs w:val="26"/>
        </w:rPr>
        <w:t xml:space="preserve">Nhưng phải phân biệt rõ hai việc: </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Trong hai tuần tới: </w:t>
      </w:r>
      <w:r>
        <w:rPr>
          <w:rFonts w:ascii="Times New Roman" w:cs="Times New Roman" w:eastAsia="Times New Roman" w:hAnsi="Times New Roman"/>
          <w:sz w:val="26"/>
          <w:szCs w:val="26"/>
        </w:rPr>
        <w:t xml:space="preserve">CHỈ làm chứng minh khái niệm có đo đạc. Chọn một công cụ phục vụ mô hình dựng nhanh nhất, chạy một mô hình mở đã rà giấy phép trên tập công văn thật, đo và ghi lại kết quả — kể cả khi kết quả kém hơn chế độ đám mây. Kèm bảng đối chiếu giấy phép. Đây là việc khả thi và đủ để trả lời chất vấn tại vòng sơ tuyển.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Từ tháng 8 đến tháng 11: </w:t>
      </w:r>
      <w:r>
        <w:rPr>
          <w:rFonts w:ascii="Times New Roman" w:cs="Times New Roman" w:eastAsia="Times New Roman" w:hAnsi="Times New Roman"/>
          <w:sz w:val="26"/>
          <w:szCs w:val="26"/>
        </w:rPr>
        <w:t xml:space="preserve">Hoàn thiện chế độ tại chỗ và lớp RAG theo lộ trình giai đoạn tại Mục IV của Tài liệu Đặc tả yêu cầu phần mềm kèm theo. Đây là việc cho vòng bán kết và chung kết, không phải cho hạn nộp hồ sơ.</w:t>
      </w:r>
    </w:p>
    <w:p>
      <w:pPr>
        <w:spacing w:after="120" w:line="300"/>
        <w:jc w:val="both"/>
      </w:pPr>
      <w:r>
        <w:rPr>
          <w:rFonts w:ascii="Times New Roman" w:cs="Times New Roman" w:eastAsia="Times New Roman" w:hAnsi="Times New Roman"/>
          <w:b/>
          <w:bCs/>
          <w:sz w:val="26"/>
          <w:szCs w:val="26"/>
        </w:rPr>
        <w:t xml:space="preserve">Cảnh báo về rủi ro phổ biến nhất ở giai đoạn này: </w:t>
      </w:r>
      <w:r>
        <w:rPr>
          <w:rFonts w:ascii="Times New Roman" w:cs="Times New Roman" w:eastAsia="Times New Roman" w:hAnsi="Times New Roman"/>
          <w:b w:val="false"/>
          <w:bCs w:val="false"/>
          <w:i w:val="false"/>
          <w:iCs w:val="false"/>
          <w:sz w:val="26"/>
          <w:szCs w:val="26"/>
        </w:rPr>
        <w:t xml:space="preserve">Sự hào hứng với một hướng kỹ thuật đúng thường dẫn tới việc ôm quá nhiều. Nếu nhóm cố hoàn thiện cả chế độ tại chỗ lẫn RAG trong hai tuần, khả năng cao là </w:t>
      </w:r>
      <w:r>
        <w:rPr>
          <w:rFonts w:ascii="Times New Roman" w:cs="Times New Roman" w:eastAsia="Times New Roman" w:hAnsi="Times New Roman"/>
          <w:b/>
          <w:bCs/>
          <w:sz w:val="26"/>
          <w:szCs w:val="26"/>
        </w:rPr>
        <w:t xml:space="preserve">cả hai đều dở dang và hồ sơ nộp trễ hoặc thiếu bằng chứng</w:t>
      </w:r>
      <w:r>
        <w:rPr>
          <w:rFonts w:ascii="Times New Roman" w:cs="Times New Roman" w:eastAsia="Times New Roman" w:hAnsi="Times New Roman"/>
          <w:b w:val="false"/>
          <w:bCs w:val="false"/>
          <w:i w:val="false"/>
          <w:iCs w:val="false"/>
          <w:sz w:val="26"/>
          <w:szCs w:val="26"/>
        </w:rPr>
        <w:t xml:space="preserve">. Hướng đi đúng không đảm bảo kết quả đúng nếu phạm vi vượt quá nguồn lực.</w:t>
      </w:r>
    </w:p>
    <w:p>
      <w:pPr>
        <w:spacing w:after="120" w:line="300"/>
        <w:jc w:val="both"/>
      </w:pPr>
      <w:r>
        <w:rPr>
          <w:rFonts w:ascii="Times New Roman" w:cs="Times New Roman" w:eastAsia="Times New Roman" w:hAnsi="Times New Roman"/>
          <w:b/>
          <w:bCs/>
          <w:sz w:val="26"/>
          <w:szCs w:val="26"/>
        </w:rPr>
        <w:t xml:space="preserve">Nguyên tắc cần giữ: </w:t>
      </w:r>
      <w:r>
        <w:rPr>
          <w:rFonts w:ascii="Times New Roman" w:cs="Times New Roman" w:eastAsia="Times New Roman" w:hAnsi="Times New Roman"/>
          <w:b w:val="false"/>
          <w:bCs w:val="false"/>
          <w:i w:val="false"/>
          <w:iCs w:val="false"/>
          <w:sz w:val="26"/>
          <w:szCs w:val="26"/>
        </w:rPr>
        <w:t xml:space="preserve">"Đủ tốt để nộp" quan trọng hơn "hoàn hảo nhưng trễ hạn". Hồ sơ nộp đúng hạn với số liệu thật, một video demo chân thực, và một bảng so sánh trung thực giữa hai chế độ — kể cả khi chế độ tại chỗ còn kém — có sức thuyết phục hơn hồ sơ trau chuốt nhưng thiếu bằng chứng vận hành. Trong một cuộc thi tuyên bố tìm giải pháp thực chiến, một kết quả đo trung thực có giá trị hơn một lời hứa hoàn hảo.</w:t>
      </w:r>
    </w:p>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phát triển sản phẩm dự thi SCO 2026</dc:title>
  <dc:creator>Trường Đại học Quản lý và Công nghệ Hải Phòng</dc:creator>
  <cp:lastModifiedBy>Un-named</cp:lastModifiedBy>
  <cp:revision>1</cp:revision>
  <dcterms:created xsi:type="dcterms:W3CDTF">2026-07-17T15:40:59.631Z</dcterms:created>
  <dcterms:modified xsi:type="dcterms:W3CDTF">2026-07-17T15:40:59.631Z</dcterms:modified>
</cp:coreProperties>
</file>

<file path=docProps/custom.xml><?xml version="1.0" encoding="utf-8"?>
<Properties xmlns="http://schemas.openxmlformats.org/officeDocument/2006/custom-properties" xmlns:vt="http://schemas.openxmlformats.org/officeDocument/2006/docPropsVTypes"/>
</file>