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/>
        <w:jc w:val="center"/>
      </w:pPr>
      <w:r>
        <w:rPr>
          <w:rFonts w:ascii="Calibri" w:hAnsi="Calibri"/>
          <w:b/>
          <w:color w:val="147D64"/>
          <w:sz w:val="20"/>
          <w:lang w:val="vi-VN"/>
        </w:rPr>
        <w:t>GLX PRE-CODE TECHNICAL DESIGN PACK  |  VOLUME 2/5</w:t>
      </w:r>
    </w:p>
    <w:p>
      <w:pPr>
        <w:spacing w:after="200"/>
        <w:jc w:val="center"/>
      </w:pPr>
      <w:r>
        <w:rPr>
          <w:rFonts w:ascii="Calibri" w:hAnsi="Calibri"/>
          <w:b/>
          <w:color w:val="0B4F43"/>
          <w:sz w:val="54"/>
          <w:lang w:val="vi-VN"/>
        </w:rPr>
        <w:t>Software Architecture &amp; Domain/Data Design</w:t>
      </w:r>
    </w:p>
    <w:p>
      <w:pPr>
        <w:spacing w:after="440"/>
        <w:jc w:val="center"/>
      </w:pPr>
      <w:r>
        <w:rPr>
          <w:rFonts w:ascii="Calibri" w:hAnsi="Calibri"/>
          <w:b w:val="0"/>
          <w:i/>
          <w:color w:val="5B6870"/>
          <w:sz w:val="28"/>
          <w:lang w:val="vi-VN"/>
        </w:rPr>
        <w:t>C4, service boundaries, state machines, consistency và ERD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Mục đích kiểm soát</w:t>
            </w:r>
          </w:p>
          <w:p>
            <w:pPr>
              <w:spacing w:after="0"/>
            </w:pPr>
            <w:r>
              <w:t>Baseline kiến trúc để scaffold monorepo, database ownership và integration contract. Đây là tài liệu thiết kế cho sandbox/portfolio, không phải hồ sơ xin phép sàn, core banking production hoặc chứng nhận tín chỉ carbon.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control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Thuộc tính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Giá trị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Document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GLX-ARC-001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Phiên bản / trạng thái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v1.0 / Baseline for implementation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Snapshot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28/08/2026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Phạm vi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Dossier sections 5-7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Đối tượng đọc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Tác giả dự án, technical reviewer và người phỏng vấn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Thay đổi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Cập nhật bằng ADR hoặc pull request; không sửa âm thầm bất biến đã baseline</w:t>
            </w:r>
          </w:p>
        </w:tc>
      </w:tr>
    </w:tbl>
    <w:p>
      <w:pPr>
        <w:spacing w:after="20"/>
      </w:pPr>
    </w:p>
    <w:p>
      <w:pPr>
        <w:pStyle w:val="Heading2"/>
      </w:pPr>
      <w:r>
        <w:t>Quan hệ trong bộ hồ sơ</w:t>
      </w:r>
    </w:p>
    <w:p>
      <w:pPr>
        <w:spacing w:after="120"/>
      </w:pPr>
      <w:r>
        <w:rPr>
          <w:rFonts w:ascii="Calibri" w:hAnsi="Calibri"/>
          <w:b/>
          <w:color w:val="1F4D78"/>
          <w:sz w:val="18"/>
          <w:lang w:val="vi-VN"/>
        </w:rPr>
        <w:t>V1 Requirements  -&gt;  V2 Architecture/Data  -&gt;  V3 Ledger/API  -&gt;  V4 Security/AI/Test  -&gt;  V5 Cloud/DevOps/Runbook</w:t>
      </w:r>
    </w:p>
    <w:p>
      <w:pPr>
        <w:spacing w:before="160"/>
        <w:jc w:val="center"/>
      </w:pPr>
      <w:r>
        <w:rPr>
          <w:rFonts w:ascii="Calibri" w:hAnsi="Calibri"/>
          <w:b/>
          <w:color w:val="5B6870"/>
          <w:sz w:val="18"/>
          <w:lang w:val="vi-VN"/>
        </w:rPr>
        <w:t>GreenLedger Exchange (GLX)  |  v1.0  |  28/08/2026</w:t>
      </w:r>
    </w:p>
    <w:p>
      <w:r>
        <w:br w:type="page"/>
      </w:r>
    </w:p>
    <w:p>
      <w:pPr>
        <w:pStyle w:val="Heading1"/>
      </w:pPr>
      <w:r>
        <w:t>0. Cách sử dụng tài liệu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C4 mô tả ranh giới deploy; module map mô tả ranh giới code; database ownership mô tả nguồn sự thật.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Không tách thêm service nếu chưa có scale, ownership hoặc security boundary độc lập.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Mọi eventual consistency phải hiện trạng thái trung thực trên UI và có reconciliation path.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B7791F"/>
            </w:tcBorders>
          </w:tcPr>
          <w:p>
            <w:pPr>
              <w:spacing w:after="40"/>
              <w:keepNext/>
            </w:pPr>
            <w:r>
              <w:rPr>
                <w:b/>
                <w:color w:val="B7791F"/>
                <w:lang w:val="vi-VN"/>
              </w:rPr>
              <w:t>Quy tắc baseline</w:t>
            </w:r>
          </w:p>
          <w:p>
            <w:pPr>
              <w:spacing w:after="0"/>
            </w:pPr>
            <w:r>
              <w:t>Nếu code khác tài liệu, pull request phải cập nhật contract/ADR cùng lúc. Nếu chưa quyết định, đánh dấu OPEN DECISION và dùng fake adapter; không che giả định bằng code ngầm.</w:t>
            </w:r>
          </w:p>
        </w:tc>
      </w:tr>
    </w:tbl>
    <w:p>
      <w:pPr>
        <w:spacing w:after="20"/>
      </w:pPr>
    </w:p>
    <w:p>
      <w:pPr>
        <w:pStyle w:val="Heading1"/>
      </w:pPr>
      <w:r>
        <w:t>5. Kiến trúc hệ thống</w:t>
      </w:r>
    </w:p>
    <w:p>
      <w:pPr>
        <w:pStyle w:val="Heading2"/>
      </w:pPr>
      <w:r>
        <w:t>5.1 Nguyên tắc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Modular microservices: chỉ tách khi có data ownership, failure mode hoặc nhịp scale khác; mỗi Java service dùng Spring Modulith để giữ boundary nội bộ.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PostgreSQL là source of truth cho registry sandbox, order, payment và ledger; Redis chỉ cache/rate limit/nonce TTL.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Synchronous API cho command/query cần phản hồi; asynchronous event cho AI, payment reconciliation, blockchain anchor và integration side effects.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At-least-once delivery + idempotent consumer; không dựa vào exactly-once marketing claim.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Security, auditability và observability là acceptance criteria, không phải sprint cuối.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Cloud adapter đặt sau port; domain không import VNPAY, GCP Pub/Sub, Polygon hoặc R2 SDK trực tiếp.</w:t>
      </w:r>
    </w:p>
    <w:p>
      <w:pPr>
        <w:pStyle w:val="Heading2"/>
      </w:pPr>
      <w:r>
        <w:t>5.2 System context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title="Hình 2 — C4 System Context" descr="GreenLedger Exchange ở trung tâm, tương tác với chủ dự án, reviewer/operator, buyer, auditor và các hệ thống ngoài gồm OIDC, dữ liệu vệ tinh, VNPAY sandbox và Polygon Amo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2 — C4 System Context</w:t>
      </w:r>
    </w:p>
    <w:p>
      <w:pPr>
        <w:pStyle w:val="Heading2"/>
      </w:pPr>
      <w:r>
        <w:t>5.3 Container architecture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796760"/>
            <wp:docPr id="2" name="Picture 2" title="Hình 3 — C4 Container Architecture" descr="Bốn runtime service chính, Vue SPA, PostgreSQL, Redis, object storage và event/observability infrastru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ain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9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3 — C4 Container Architecture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650"/>
        <w:gridCol w:w="2300"/>
        <w:gridCol w:w="3510"/>
        <w:gridCol w:w="190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Container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Tech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Trách nhiệm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Dữ liệu sở hữu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frontend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Vue 3.5, TypeScript, Vite 8, Pinia, Vue Query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Portal dự án/review/market/admin; wallet UI; no secrets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Chỉ browser state; không làm source of truth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gateway-bff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Java 25, Spring Cloud Gateway MVC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OIDC token validation, routing, CORS, rate limit, correlation, light aggregation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sở hữu business data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registry-mrv-service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Spring Boot 4.1, Modulith, JPA/PostGIS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Project, evidence manifest, monitoring, review, issuance, assessment orchestration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registry_db / schema registry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exchange-service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Spring Boot 4.1, Modulith, JPA, Web3j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Instrument, order/match, cash/asset ledger, payment, wallet link, retirement, chain adapter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exchange_db / schema exchange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ai-verification-service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Python, FastAPI, rasterio/geopandas, PyTorch/ONNX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STAC acquisition, quality, features, inference, explanation, model metadata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metadata; artifact ở object storage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Keycloak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OIDC/OAuth2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Identity, MFA, realm/client/role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Identity store; không chứa domain permissions chi tiết</w:t>
            </w:r>
          </w:p>
        </w:tc>
      </w:tr>
    </w:tbl>
    <w:p>
      <w:pPr>
        <w:spacing w:after="20"/>
      </w:pPr>
    </w:p>
    <w:p>
      <w:pPr>
        <w:pStyle w:val="Heading2"/>
      </w:pPr>
      <w:r>
        <w:t>5.4 Ranh giới module bên trong service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00"/>
        <w:gridCol w:w="1300"/>
        <w:gridCol w:w="3900"/>
        <w:gridCol w:w="29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Service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Module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Owns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Không được làm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registry-mrv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Project, boundary version, methodology ref, monitoring period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truy ledger/order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registry-mrv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Upload session, EvidenceAsset, manifest, scan status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public raw object URL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registry-mrv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assessment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job/result reference, threshold policy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nhúng model inference vào JVM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registry-mrv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ReviewCase, Finding, Decision, maker/checker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cho AI phát hành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registry-mrv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issuance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CreditBatch, serial, provenance manifest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trực tiếp sửa position bên exchange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market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Instrument, Order, Trade, matching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gọi VNPAY trong matcher transaction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ledger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Account, Reservation, Journal, Entry, Position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dùng Redis cho balance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Attempt, IPN inbox, provider adapter, refund/recon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tin ReturnURL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retirement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Request, terminal journal, certificate data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chờ chain confirmation trong DB transaction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exchange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provenance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Wallet link, anchor job/receipt/reconciliation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lưu private key người dùng</w:t>
            </w:r>
          </w:p>
        </w:tc>
      </w:tr>
    </w:tbl>
    <w:p>
      <w:pPr>
        <w:spacing w:after="20"/>
      </w:pPr>
    </w:p>
    <w:p>
      <w:pPr>
        <w:pStyle w:val="Heading2"/>
      </w:pPr>
      <w:r>
        <w:t>5.5 Context map và integration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700"/>
        <w:gridCol w:w="1950"/>
        <w:gridCol w:w="1600"/>
        <w:gridCol w:w="41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Upstream</w:t>
            </w:r>
          </w:p>
        </w:tc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Downstream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Kiểu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Contract / chính sách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registry issuance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exchange instrument/position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Event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CreditBatchIssued v1; consumer unique event_id; dead-letter + replay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exchange retirement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registry provenance view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Event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CreditRetired v1; eventual read model, không đổi terminal ledger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registry assessment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AI service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HTTP command + callback/event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input_manifest_hash; async job id; signed service token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exchange payment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VNPAY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HTTPS redirect/IPN/query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HMACSHA512; allowlist; idempotency; reconciliation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exchange provenance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Polygon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JSON-RPC async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nonce management; confirmation threshold; reorg detection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all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observability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OTLP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trace/span/correlation; PII redaction</w:t>
            </w:r>
          </w:p>
        </w:tc>
      </w:tr>
    </w:tbl>
    <w:p>
      <w:pPr>
        <w:spacing w:after="20"/>
      </w:pPr>
    </w:p>
    <w:p>
      <w:pPr>
        <w:pStyle w:val="Heading2"/>
      </w:pPr>
      <w:r>
        <w:t>5.6 Stack chốt tại 28/08/2026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500"/>
        <w:gridCol w:w="3850"/>
        <w:gridCol w:w="401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Lớp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Lựa chọn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Ghi chú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Runtime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Java 25 LTS; Node 24 LTS; Python 3.12+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Fallback Java 21 nếu thư viện Web3j gặp incompatibility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Backend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Spring Boot 4.1.1; Spring Cloud 2025.1.x; Spring Modulith 2.1.1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Spring MVC/JPA; không reactive nếu không có lý do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Frontend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Vue 3.5.x; Router 5; Pinia 4; Vite 8; PrimeVue 4; ECharts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TanStack Vue Query cho server state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Data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PostgreSQL 18 + PostGIS; Redis 8; Flyway; R2/MinIO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Một cluster, database/user riêng mỗi service ở free tier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Messaging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Transactional outbox + GCP Pub/Sub push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Local emulator; port để đổi broker; Kafka là stretch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Blockchain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Solidity 0.8.x; OpenZeppelin 5.x; Foundry; Web3j; Polygon Amoy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Hash anchor mặc định; ERC-1155 chỉ stretch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Quality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JUnit, Testcontainers, REST Assured, ArchUnit, Vitest, Playwright, Trivy, Gitleaks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dùng H2 thay PostgreSQL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Ops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Docker Compose, GitHub Actions/GHCR, OpenTofu, OpenTelemetry, Grafana Cloud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Kubernetes trong MVP</w:t>
            </w:r>
          </w:p>
        </w:tc>
      </w:tr>
    </w:tbl>
    <w:p>
      <w:pPr>
        <w:spacing w:after="20"/>
      </w:pP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Architecture fitness function</w:t>
            </w:r>
          </w:p>
          <w:p>
            <w:pPr>
              <w:spacing w:after="0"/>
            </w:pPr>
            <w:r>
              <w:t>Build fail nếu Spring Modulith/ArchUnit phát hiện module cycle; contract test fail nếu OpenAPI/event breaking; invariant test fail nếu ledger lệch, serial overlap hoặc consumer xử lý event hai lần.</w:t>
            </w:r>
          </w:p>
        </w:tc>
      </w:tr>
    </w:tbl>
    <w:p>
      <w:pPr>
        <w:spacing w:after="20"/>
      </w:pPr>
    </w:p>
    <w:p>
      <w:pPr>
        <w:pStyle w:val="Heading1"/>
      </w:pPr>
      <w:r>
        <w:t>6. Thiết kế động và tính nhất quán</w:t>
      </w:r>
    </w:p>
    <w:p>
      <w:pPr>
        <w:pStyle w:val="Heading2"/>
      </w:pPr>
      <w:r>
        <w:t>6.1 State machines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 title="Hình 4 — State machine tách biệt cho project/credit, payment và order/trade" descr="Ba lane trạng thái cho project credit, payment, order trade; lưu ý ReturnURL không quyết định thành công và payment success không đồng nghĩa trade sett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e_machi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4 — State machine tách biệt cho project/credit, payment và order/trade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500"/>
        <w:gridCol w:w="3000"/>
        <w:gridCol w:w="1800"/>
        <w:gridCol w:w="30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Aggregate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State chính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Terminal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Invariant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Project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DRAFT → SUBMITTED → IN_REVIEW → APPROVED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REJECTED, CANCELLED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Snapshot submitted bất biến; thay đổi cần revision mới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CreditBatch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PENDING_ISSUE → ISSUED → ACTIVE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RETIRED, CANCELLED, REVERSED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Serial không overlap; terminal không quay lại available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Order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OPEN ↔ PARTIAL → FILLED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FILLED, CANCELLED, REJECTED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remaining &gt;= 0; reservation = open quantity × rule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Payment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CREATED → PENDING → SUCCEEDED → RECONCILED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FAILED, EXPIRED, REFUNDED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Một provider success chỉ sinh một funding journal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Anchor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QUEUED → SUBMITTED → CONFIRMING → CONFIRMED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FAILED_FINAL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Chain fail không đảo domain transaction; phải reconcile</w:t>
            </w:r>
          </w:p>
        </w:tc>
      </w:tr>
    </w:tbl>
    <w:p>
      <w:pPr>
        <w:spacing w:after="20"/>
      </w:pPr>
    </w:p>
    <w:p>
      <w:pPr>
        <w:pStyle w:val="Heading2"/>
      </w:pPr>
      <w:r>
        <w:t>6.2 Sequence payment và trade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4128516"/>
            <wp:docPr id="4" name="Picture 4" title="Hình 5 — Sequence VNPAY top-up và atomic DvP" descr="Luồng từ Vue qua Gateway, Exchange, VNPAY, PostgreSQL và Pub/Sub; IPN xác thực ghi journal trước khi người dùng có thể đặt lệnh, settlement chuyển cash và credit atomical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yment_trade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5 — Sequence VNPAY top-up và atomic DvP</w:t>
      </w:r>
    </w:p>
    <w:p>
      <w:pPr>
        <w:pStyle w:val="Heading2"/>
      </w:pPr>
      <w:r>
        <w:t>6.3 Transactional outbox</w:t>
      </w:r>
    </w:p>
    <w:p>
      <w:r>
        <w:rPr>
          <w:lang w:val="vi-VN"/>
        </w:rPr>
        <w:t>Aggregate change và outbox_event được commit trong cùng transaction. Publisher claim bản ghi bằng SKIP LOCKED, gửi lên Pub/Sub rồi đánh dấu published_at. Consumer lưu inbox(event_id, handler) với unique constraint trước khi áp dụng side effect. Nếu crash sau side effect trước ACK, retry trở thành no-op. DLQ lưu payload reference, error class, retry count và runbook action; không cho admin tuỳ tiện replay event không idempotent.</w:t>
      </w:r>
    </w:p>
    <w:p>
      <w:pPr>
        <w:spacing w:after="40"/>
        <w:keepNext/>
      </w:pPr>
      <w:r>
        <w:rPr>
          <w:b/>
          <w:color w:val="1F4D78"/>
          <w:sz w:val="17"/>
        </w:rPr>
        <w:t>Schema tối thiểu cho outbox/inbox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CREATE TABLE outbox_event (</w:t>
              <w:br/>
              <w:t xml:space="preserve">  event_id uuid PRIMARY KEY, aggregate_type text NOT NULL,</w:t>
              <w:br/>
              <w:t xml:space="preserve">  aggregate_id uuid NOT NULL, event_type text NOT NULL, version int NOT NULL,</w:t>
              <w:br/>
              <w:t xml:space="preserve">  payload jsonb NOT NULL, occurred_at timestamptz NOT NULL,</w:t>
              <w:br/>
              <w:t xml:space="preserve">  published_at timestamptz, attempts int NOT NULL DEFAULT 0</w:t>
              <w:br/>
              <w:t>);</w:t>
              <w:br/>
              <w:t>CREATE UNIQUE INDEX ux_inbox_handler ON inbox_event(event_id, handler_name);</w:t>
            </w:r>
          </w:p>
        </w:tc>
      </w:tr>
    </w:tbl>
    <w:p>
      <w:pPr>
        <w:spacing w:after="20"/>
      </w:pPr>
    </w:p>
    <w:p>
      <w:pPr>
        <w:pStyle w:val="Heading2"/>
      </w:pPr>
      <w:r>
        <w:t>6.4 Idempotency matrix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2950"/>
        <w:gridCol w:w="2100"/>
        <w:gridCol w:w="24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Command / biên</w:t>
            </w:r>
          </w:p>
        </w:tc>
        <w:tc>
          <w:tcPr>
            <w:tcW w:type="dxa" w:w="2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Key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Store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Duplicate behavior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POST project/order/retirement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Idempotency-Key + actor + route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PostgreSQL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Trả status/body đã lưu; hash body khác → 409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VNPAY IPN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provider + txnRef + providerTxnNo + semantic status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provider_inbox + payment_attempt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200 idempotent; không journal lần hai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Domain event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event_id + consumer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inbox_event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ACK/no-op sau handler thành công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Settlement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trade_id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journal unique reference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Trả SETTLED hiện hữu hoặc resume review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Blockchain anchor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domain_type + domain_id + manifest_hash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anchor_job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submit tx mới nếu receipt/pending nonce tồn tại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assessment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input_manifest_hash + model_version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assessment_job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Reuse result hoặc explicit rerun version mới</w:t>
            </w:r>
          </w:p>
        </w:tc>
      </w:tr>
    </w:tbl>
    <w:p>
      <w:pPr>
        <w:spacing w:after="20"/>
      </w:pPr>
    </w:p>
    <w:p>
      <w:pPr>
        <w:pStyle w:val="Heading2"/>
      </w:pPr>
      <w:r>
        <w:t>6.5 Locking và concurrency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Order accept: khoá account/position theo thứ tự UUID chuẩn để tránh deadlock; check available rồi tạo reservation và order trong một transaction.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Matcher: một partition theo instrument; SELECT ... FOR UPDATE SKIP LOCKED; unique fill sequence; test 20–100 concurrent submit/cancel.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Retirement/sell: cùng đi qua reservation service và account version; không dùng distributed Redis lock làm hàng rào duy nhất.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Payment IPN: row lock payment_attempt; trạng thái forward-only; duplicate provider success khác amount/txn trở thành MANUAL_REVIEW.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Blockchain nonce: một signer service account riêng, queue tuần tự theo chain/account; receipt monitor xử lý dropped/replaced/reorg.</w:t>
      </w:r>
    </w:p>
    <w:p>
      <w:pPr>
        <w:pStyle w:val="Heading1"/>
      </w:pPr>
      <w:r>
        <w:t>7. Mô hình dữ liệu và bất biến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870484"/>
            <wp:docPr id="5" name="Picture 5" title="Hình 6 — ERD khái niệm và data ownership" descr="Mười entity khái niệm từ organization, carbon project, evidence, assessment, review, credit batch đến order, trade, ledger entry và reti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6 — ERD khái niệm và data ownership</w:t>
      </w:r>
    </w:p>
    <w:p>
      <w:pPr>
        <w:pStyle w:val="Heading2"/>
      </w:pPr>
      <w:r>
        <w:t>7.1 Entity catalog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4700"/>
        <w:gridCol w:w="27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Entity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Trường cốt lõi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Quy tắc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Organization/UserRole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org_id, user_subject, role,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tenant scope từ token + DB predicate; admin override audited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CarbonProject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id, owner_org, name, type, methodology_version, country, polygon_version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Submitted snapshot immutable; geometry valid SRID 4326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MonitoringPeriod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project_id, from/to, parameters,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overlap trong cùng project/methodology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EvidenceAsset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uri, sha256, mime, size, captured_at, geo, source, scan_status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Object private; immutable checksum; supersede bằng version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Assessment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input_hash, model/data version, scores, uncertainty, flags, explanation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ghi đè; rerun tạo version mới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ReviewCase/Finding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status, assignee, severity, decision, reason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Decision actor khác maker nếu policy yêu cầu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CreditBatch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project_ref, vintage, methodology, serial_start/end, issued_qty, 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Integer unit; prefix GLX-DEMO; serial non-overlap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Order/Trade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instrument, side, price_minor, qty, remaining, time_priority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Price BIGINT minor; qty BIGINT; forward state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Account/Journal/Entry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owner, asset, bucket, debit, credit, reference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Append-only; debit=credit; unique business reference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PaymentAttempt/Inbox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merchant_ref, amount_vnd, provider status, hash fields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VND BIGINT; raw payload redacted/encrypted; idempotent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Retirement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batch_ref, qty, beneficiary, purpose, retired_at, anchor_status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Terminal; certificate versioned; no claim wording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AuditEvent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actor, action, resource, before/after hash, reason, trace_id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Append-only; PII minimised; searchable</w:t>
            </w:r>
          </w:p>
        </w:tc>
      </w:tr>
    </w:tbl>
    <w:p>
      <w:pPr>
        <w:spacing w:after="20"/>
      </w:pPr>
    </w:p>
    <w:p>
      <w:pPr>
        <w:pStyle w:val="Heading2"/>
      </w:pPr>
      <w:r>
        <w:t>7.2 Bất biến bắt buộc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Serial ranges của cùng program/instrument không được giao nhau; DB exclusion/range constraint hoặc transaction advisory lock + unique allocation table.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issued_qty = available + reserved_for_order + settling + retired + cancelled + reversed; mọi bucket không âm.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Mỗi unit có đúng một beneficial owner sandbox tại một thời điểm; transfer chỉ qua journal asset.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Bán/retire phải reserve trước; cancel chỉ release phần chưa fill; terminal bucket không release.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Mỗi journal có tổng debit = tổng credit cho cùng asset và cùng scale; entry append-only, correction bằng reversing journal.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Payment, refund, settlement, issuance và retirement có business reference unique; retry không nhân đôi side effect.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Credit batch/reference giữa registry và exchange phải reconcile; mismatch chặn lệnh mới của instrument.</w:t>
      </w:r>
    </w:p>
    <w:p>
      <w:pPr>
        <w:pStyle w:val="Heading2"/>
      </w:pPr>
      <w:r>
        <w:t>7.3 Logical database-per-service</w:t>
      </w:r>
    </w:p>
    <w:p>
      <w:r>
        <w:rPr>
          <w:lang w:val="vi-VN"/>
        </w:rPr>
        <w:t>Ở free tier có thể dùng một Neon project nhưng tạo database/user/migration riêng cho registry và exchange; tuyệt đối không cross-schema join hoặc foreign key xuyên service. Read model được xây từ event. AI metadata có thể dùng schema riêng hoặc SQLite/MLflow local trong MVP; artifact và raster ở R2. Connection pool mỗi Cloud Run instance giới hạn 2–5 và max-instances 1–2 để không làm cạn connection.</w:t>
      </w:r>
    </w:p>
    <w:p>
      <w:pPr>
        <w:pStyle w:val="Heading2"/>
      </w:pPr>
      <w:r>
        <w:t>7.4 Retention và classification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450"/>
        <w:gridCol w:w="2400"/>
        <w:gridCol w:w="2050"/>
        <w:gridCol w:w="34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Lớp dữ liệu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Ví dụ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Retention demo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Kiểm soát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Public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Catalog, aggregate market stats, certificate demo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giới hạn / versioned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 PII; cacheable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Internal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 metadata, findings, assessment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24 tháng hoặc xoá theo reset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Tenant RBAC; audit access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Confidential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 raw, payment provider payload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12 tháng / tối thiểu cần thiết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Private bucket, signed URL, encryption, field redaction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Restricted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User email, auth subject, secret/key material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Account life + 30–90 ngày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KMS/Secret Manager; không log; không on-chain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Immutable audit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Journal, issuance/retirement, privileged action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Suốt đời demo release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Append-only + backup + integrity hash</w:t>
            </w:r>
          </w:p>
        </w:tc>
      </w:tr>
    </w:tbl>
    <w:p>
      <w:pPr>
        <w:spacing w:after="20"/>
      </w:pPr>
    </w:p>
    <w:p>
      <w:pPr>
        <w:pStyle w:val="Heading2"/>
      </w:pPr>
      <w:r>
        <w:t>7.5 Architecture Decision Record baseline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000"/>
        <w:gridCol w:w="2500"/>
        <w:gridCol w:w="3400"/>
        <w:gridCol w:w="24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ADR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Quyết định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Lý do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Trigger xem lại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Monorepo + 4 runtime services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Một người vận hành được, vẫn thể hiện bounded context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Team/scale/security boundary thực sự tách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Spring Modulith bên trong Java services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Chặn cycle, test module, tránh service-per-entity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Module cần deploy/scale độc lập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PostgreSQL là source of truth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ACID, constraints, row locks và audit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Không có trigger cho MVP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Outbox/inbox at-least-once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Không dùng distributed transaction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Broker contract thay đổi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Redis cache-aside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Tăng tốc projection/session, không giữ balance truth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Cache trở thành critical path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AI chỉ pre-screen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Human accountable; giữ uncertainty/model version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Có governance và dữ liệu đủ mạnh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Blockchain chỉ hash provenance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Không custody key/PII/balance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Cần token demo stretch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Cloud Run/free-first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Scale-to-zero, ít vận hành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Cold-start/SLO hoặc chi phí không phù hợp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ADR-009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VNPAY sandbox qua provider port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IPN/query/reconcile đúng bản chất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Thêm provider thứ hai</w:t>
            </w:r>
          </w:p>
        </w:tc>
      </w:tr>
    </w:tbl>
    <w:p>
      <w:pPr>
        <w:spacing w:after="20"/>
      </w:pPr>
    </w:p>
    <w:p>
      <w:pPr>
        <w:pStyle w:val="Heading2"/>
      </w:pPr>
      <w:r>
        <w:t>7.6 Bootstrap order</w:t>
      </w:r>
    </w:p>
    <w:p>
      <w:pPr>
        <w:pStyle w:val="ListNumber"/>
        <w:spacing w:after="80" w:line="300" w:lineRule="auto"/>
        <w:numPr>
          <w:ilvl w:val="0"/>
          <w:numId w:val="14"/>
        </w:numPr>
      </w:pPr>
      <w:r>
        <w:rPr>
          <w:lang w:val="vi-VN"/>
        </w:rPr>
        <w:t>Scaffold repository, Compose, Keycloak realm và shared contract lint.</w:t>
      </w:r>
    </w:p>
    <w:p>
      <w:pPr>
        <w:pStyle w:val="ListNumber"/>
        <w:spacing w:after="80" w:line="300" w:lineRule="auto"/>
        <w:numPr>
          <w:ilvl w:val="0"/>
          <w:numId w:val="14"/>
        </w:numPr>
      </w:pPr>
      <w:r>
        <w:rPr>
          <w:lang w:val="vi-VN"/>
        </w:rPr>
        <w:t>Tạo migration identity/registry trước, sau đó exchange ledger; không tạo bảng bằng JPA ddl-auto.</w:t>
      </w:r>
    </w:p>
    <w:p>
      <w:pPr>
        <w:pStyle w:val="ListNumber"/>
        <w:spacing w:after="80" w:line="300" w:lineRule="auto"/>
        <w:numPr>
          <w:ilvl w:val="0"/>
          <w:numId w:val="14"/>
        </w:numPr>
      </w:pPr>
      <w:r>
        <w:rPr>
          <w:lang w:val="vi-VN"/>
        </w:rPr>
        <w:t>Viết module verification và architecture tests trước business controller đầu tiên.</w:t>
      </w:r>
    </w:p>
    <w:p>
      <w:pPr>
        <w:pStyle w:val="ListNumber"/>
        <w:spacing w:after="80" w:line="300" w:lineRule="auto"/>
        <w:numPr>
          <w:ilvl w:val="0"/>
          <w:numId w:val="14"/>
        </w:numPr>
      </w:pPr>
      <w:r>
        <w:rPr>
          <w:lang w:val="vi-VN"/>
        </w:rPr>
        <w:t>Đưa correlation ID, Problem Details, audit envelope và outbox vào foundation layer.</w:t>
      </w:r>
    </w:p>
    <w:p>
      <w:pPr>
        <w:pStyle w:val="ListNumber"/>
        <w:spacing w:after="80" w:line="300" w:lineRule="auto"/>
        <w:numPr>
          <w:ilvl w:val="0"/>
          <w:numId w:val="14"/>
        </w:numPr>
      </w:pPr>
      <w:r>
        <w:rPr>
          <w:lang w:val="vi-VN"/>
        </w:rPr>
        <w:t>Chạy north-star bằng fake PaymentProvider/AI/ChainAnchor trước khi nối sandbox thật.</w:t>
      </w:r>
    </w:p>
    <w:sectPr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GLX-ARC-001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GLX-ARC-001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333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4F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8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LXKicker">
    <w:name w:val="GLX Kicker"/>
    <w:pPr>
      <w:spacing w:after="160"/>
    </w:pPr>
    <w:rPr>
      <w:rFonts w:ascii="Calibri" w:hAnsi="Calibri"/>
      <w:b/>
      <w:color w:val="147D64"/>
      <w:sz w:val="20"/>
    </w:rPr>
  </w:style>
  <w:style w:type="paragraph" w:customStyle="1" w:styleId="GLXCaption">
    <w:name w:val="GLX Caption"/>
    <w:pPr>
      <w:spacing w:before="60" w:after="140"/>
      <w:jc w:val="center"/>
    </w:pPr>
    <w:rPr>
      <w:rFonts w:ascii="Calibri" w:hAnsi="Calibri"/>
      <w:i/>
      <w:color w:val="5B6870"/>
      <w:sz w:val="17"/>
    </w:rPr>
  </w:style>
  <w:style w:type="paragraph" w:customStyle="1" w:styleId="GLXCode">
    <w:name w:val="GLX Code"/>
    <w:pPr>
      <w:spacing w:after="0" w:line="240" w:lineRule="auto"/>
    </w:pPr>
    <w:rPr>
      <w:rFonts w:ascii="Consolas" w:hAnsi="Consolas"/>
      <w:color w:val="23333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GreenLedger Exchange - Software Architecture &amp; Domain/Data Design</dc:title>
  <dc:subject>Baseline kiến trúc để scaffold monorepo, database ownership và integration contract.</dc:subject>
  <dc:creator/>
  <cp:keywords>GLX, carbon credit, Spring Boot, Vue, banking-grade ledger, VNPAY, AI, blockchain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