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  <w:jc w:val="center"/>
      </w:pPr>
      <w:r>
        <w:rPr>
          <w:rFonts w:ascii="Calibri" w:hAnsi="Calibri"/>
          <w:b/>
          <w:color w:val="147D64"/>
          <w:sz w:val="20"/>
          <w:lang w:val="vi-VN"/>
        </w:rPr>
        <w:t>GLX PRE-CODE TECHNICAL DESIGN PACK  |  VOLUME 3/5</w:t>
      </w:r>
    </w:p>
    <w:p>
      <w:pPr>
        <w:spacing w:after="200"/>
        <w:jc w:val="center"/>
      </w:pPr>
      <w:r>
        <w:rPr>
          <w:rFonts w:ascii="Calibri" w:hAnsi="Calibri"/>
          <w:b/>
          <w:color w:val="0B4F43"/>
          <w:sz w:val="54"/>
          <w:lang w:val="vi-VN"/>
        </w:rPr>
        <w:t>Ledger, Payment, API &amp; Event Contracts</w:t>
      </w:r>
    </w:p>
    <w:p>
      <w:pPr>
        <w:spacing w:after="440"/>
        <w:jc w:val="center"/>
      </w:pPr>
      <w:r>
        <w:rPr>
          <w:rFonts w:ascii="Calibri" w:hAnsi="Calibri"/>
          <w:b w:val="0"/>
          <w:i/>
          <w:color w:val="5B6870"/>
          <w:sz w:val="28"/>
          <w:lang w:val="vi-VN"/>
        </w:rPr>
        <w:t>Double-entry, holds, DvP, VNPAY, OpenAPI và AsyncAPI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Mục đích kiểm soát</w:t>
            </w:r>
          </w:p>
          <w:p>
            <w:pPr>
              <w:spacing w:after="0"/>
            </w:pPr>
            <w:r>
              <w:t>Baseline transaction core; mọi thay đổi balance/position phải truy nguyên được về contract và journal. Đây là tài liệu thiết kế cho sandbox/portfolio, không phải hồ sơ xin phép sàn, core banking production hoặc chứng nhận tín chỉ carbon.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control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Thuộc tính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Giá trị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Document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GLX-LDG-001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Phiên bản / trạng thái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v1.0 / Baseline for implementation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Snapshot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28/08/2026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Phạm vi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Dossier sections 8-10 + ledger supplement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Đối tượng đọc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Tác giả dự án, technical reviewer và người phỏng vấn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Thay đổi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Cập nhật bằng ADR hoặc pull request; không sửa âm thầm bất biến đã baseline</w:t>
            </w:r>
          </w:p>
        </w:tc>
      </w:tr>
    </w:tbl>
    <w:p>
      <w:pPr>
        <w:spacing w:after="20"/>
      </w:pPr>
    </w:p>
    <w:p>
      <w:pPr>
        <w:pStyle w:val="Heading2"/>
      </w:pPr>
      <w:r>
        <w:t>Quan hệ trong bộ hồ sơ</w:t>
      </w:r>
    </w:p>
    <w:p>
      <w:pPr>
        <w:spacing w:after="120"/>
      </w:pPr>
      <w:r>
        <w:rPr>
          <w:rFonts w:ascii="Calibri" w:hAnsi="Calibri"/>
          <w:b/>
          <w:color w:val="1F4D78"/>
          <w:sz w:val="18"/>
          <w:lang w:val="vi-VN"/>
        </w:rPr>
        <w:t>V1 Requirements  -&gt;  V2 Architecture/Data  -&gt;  V3 Ledger/API  -&gt;  V4 Security/AI/Test  -&gt;  V5 Cloud/DevOps/Runbook</w:t>
      </w:r>
    </w:p>
    <w:p>
      <w:pPr>
        <w:spacing w:before="160"/>
        <w:jc w:val="center"/>
      </w:pPr>
      <w:r>
        <w:rPr>
          <w:rFonts w:ascii="Calibri" w:hAnsi="Calibri"/>
          <w:b/>
          <w:color w:val="5B6870"/>
          <w:sz w:val="18"/>
          <w:lang w:val="vi-VN"/>
        </w:rPr>
        <w:t>GreenLedger Exchange (GLX)  |  v1.0  |  28/08/2026</w:t>
      </w:r>
    </w:p>
    <w:p>
      <w:r>
        <w:br w:type="page"/>
      </w:r>
    </w:p>
    <w:p>
      <w:pPr>
        <w:pStyle w:val="Heading1"/>
      </w:pPr>
      <w:r>
        <w:t>0. Cách sử dụng tài liệu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Đọc bất biến ledger trước endpoint catalog; controller không được tự thay đổi balance.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ReturnURL chỉ phục vụ UX; IPN/query đã xác thực mới tạo payment journal.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Blockchain là provenance receipt bất đồng bộ; lỗi chain không rollback domain transaction đã commit.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7791F"/>
            </w:tcBorders>
          </w:tcPr>
          <w:p>
            <w:pPr>
              <w:spacing w:after="40"/>
              <w:keepNext/>
            </w:pPr>
            <w:r>
              <w:rPr>
                <w:b/>
                <w:color w:val="B7791F"/>
                <w:lang w:val="vi-VN"/>
              </w:rPr>
              <w:t>Quy tắc baseline</w:t>
            </w:r>
          </w:p>
          <w:p>
            <w:pPr>
              <w:spacing w:after="0"/>
            </w:pPr>
            <w:r>
              <w:t>Nếu code khác tài liệu, pull request phải cập nhật contract/ADR cùng lúc. Nếu chưa quyết định, đánh dấu OPEN DECISION và dùng fake adapter; không che giả định bằng code ngầm.</w:t>
            </w:r>
          </w:p>
        </w:tc>
      </w:tr>
    </w:tbl>
    <w:p>
      <w:pPr>
        <w:spacing w:after="20"/>
      </w:pPr>
    </w:p>
    <w:p>
      <w:pPr>
        <w:pStyle w:val="Heading1"/>
      </w:pPr>
      <w:r>
        <w:t>8. API và event contracts</w:t>
      </w:r>
    </w:p>
    <w:p>
      <w:pPr>
        <w:pStyle w:val="Heading2"/>
      </w:pPr>
      <w:r>
        <w:t>8.1 Quy ước API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REST JSON, OpenAPI 3.1; version qua /api/v1 và semantic event version; UTC ISO-8601; UUIDv7 nếu library ổn định.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RFC 9457 Problem Details: type, title, status, detail, instance, code, traceId, violations.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Command POST dùng Idempotency-Key; ETag/If-Match cho resource edit; cursor pagination cho order/trade/audit.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Money không dùng float: amountVnd/priceVnd là integer; quantity là integer unit; tỷ lệ dùng decimal string với scale xác định.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Không trả raw object URL; API cấp signed download ngắn hạn sau authorization.</w:t>
      </w:r>
    </w:p>
    <w:p>
      <w:pPr>
        <w:pStyle w:val="Heading2"/>
      </w:pPr>
      <w:r>
        <w:t>8.2 Endpoint catalog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850"/>
        <w:gridCol w:w="3300"/>
        <w:gridCol w:w="1550"/>
        <w:gridCol w:w="366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Method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Path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Scope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Ý nghĩa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/projects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PROJECT_CREATE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Tạo project DRAFT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/projects/{id}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PROJECT_EDIT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If-Match; sửa khi DRAFT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/projects/{id}/submit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PROJECT_SUBMIT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Snapshot + checklist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/projects/{id}/evidence-upload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EVIDENCE_UPLOAD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Cấp presigned upload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/evidence/{id}/complete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EVIDENCE_UPLOAD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Verify checksum/MIME/scan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/projects/{id}/assessments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ASSESSMENT_RUN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Async assessment job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/assessments/{id}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REVIEW_READ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Score/flags/explanation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/review-cases/{id}/findings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FINDING_WRITE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Tạo finding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/review-cases/{id}/decision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REVIEW_DECIDE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Approve/reject + reason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/credit-batches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ISSUE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Issue GLX-DEMO batch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/instruments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PUBLIC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Catalog/filter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/instruments/{id}/book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PUBLIC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Aggregated depth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/orders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ORDER_CREATE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LIMIT buy/sell + reserve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DELETE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/orders/{id}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ORDER_CANCEL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Cancel remaining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/trades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TRADE_READ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Tenant/public projection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/payment-attempts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FUND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VNPAY sandbox redirect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/payments/{id}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FUND_READ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Payment state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/payments/vnpay/ipn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PROVIDER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HMAC verified server callback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/wallet-links/nonce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WALLET_LINK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SIWE nonce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/wallet-links/verify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WALLET_LINK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Verify signature + consume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/retirements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Terminal retirement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/retirements/{id}/certificate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RETIRE_READ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Demo certificate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/audit-events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AUDIT_READ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Search/export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/admin/instruments/{id}/halt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HALT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Halt + reason + maker/checker</w:t>
            </w:r>
          </w:p>
        </w:tc>
      </w:tr>
    </w:tbl>
    <w:p>
      <w:pPr>
        <w:spacing w:after="20"/>
      </w:pPr>
    </w:p>
    <w:p>
      <w:pPr>
        <w:pStyle w:val="Heading2"/>
      </w:pPr>
      <w:r>
        <w:t>8.3 Ví dụ command</w:t>
      </w:r>
    </w:p>
    <w:p>
      <w:pPr>
        <w:spacing w:after="40"/>
        <w:keepNext/>
      </w:pPr>
      <w:r>
        <w:rPr>
          <w:b/>
          <w:color w:val="1F4D78"/>
          <w:sz w:val="17"/>
        </w:rPr>
        <w:t>Đặt lệnh LIMIT — giá và quantity là integer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POST /api/v1/orders</w:t>
              <w:br/>
              <w:t>Authorization: Bearer &lt;OIDC access token&gt;</w:t>
              <w:br/>
              <w:t>Idempotency-Key: 018f-demo-unique</w:t>
              <w:br/>
              <w:t>Content-Type: application/json</w:t>
              <w:br/>
              <w:br/>
              <w:t>{</w:t>
              <w:br/>
              <w:t xml:space="preserve">  "instrumentId": "0192...",</w:t>
              <w:br/>
              <w:t xml:space="preserve">  "side": "BUY",</w:t>
              <w:br/>
              <w:t xml:space="preserve">  "type": "LIMIT",</w:t>
              <w:br/>
              <w:t xml:space="preserve">  "priceVnd": 185000,</w:t>
              <w:br/>
              <w:t xml:space="preserve">  "quantity": 25,</w:t>
              <w:br/>
              <w:t xml:space="preserve">  "timeInForce": "GTC"</w:t>
              <w:br/>
              <w:t>}</w:t>
            </w:r>
          </w:p>
        </w:tc>
      </w:tr>
    </w:tbl>
    <w:p>
      <w:pPr>
        <w:spacing w:after="20"/>
      </w:pPr>
    </w:p>
    <w:p>
      <w:pPr>
        <w:spacing w:after="40"/>
        <w:keepNext/>
      </w:pPr>
      <w:r>
        <w:rPr>
          <w:b/>
          <w:color w:val="1F4D78"/>
          <w:sz w:val="17"/>
        </w:rPr>
        <w:t>Problem Details chuẩn hoá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HTTP/1.1 409 Conflict</w:t>
              <w:br/>
              <w:t>Content-Type: application/problem+json</w:t>
              <w:br/>
              <w:br/>
              <w:t>{</w:t>
              <w:br/>
              <w:t xml:space="preserve">  "type": "https://glx.demo/problems/insufficient-balance",</w:t>
              <w:br/>
              <w:t xml:space="preserve">  "title": "Insufficient available balance",</w:t>
              <w:br/>
              <w:t xml:space="preserve">  "status": 409,</w:t>
              <w:br/>
              <w:t xml:space="preserve">  "code": "LEDGER_INSUFFICIENT_AVAILABLE",</w:t>
              <w:br/>
              <w:t xml:space="preserve">  "traceId": "4bf92f..."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8.4 Event catalog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1450"/>
        <w:gridCol w:w="1800"/>
        <w:gridCol w:w="406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Event v1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Producer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Consumer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Payload tối thiểu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ProjectSubmitted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projectId, snapshotHash, submittedBy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EvidenceReady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evidenceId, manifestHash, projectId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AssessmentCompleted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AI/registry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assessmentId, risk, flags, modelVersion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ProjectReviewDecided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issuance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caseId, decision, actor, reasonCode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CreditBatchIssued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batchId, serial range, qty, provenanceHash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OrderAccepted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matching/read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orderId, instrument, side, price, qty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TradeSettled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read/audit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tradeId, price, qty, journalIds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PaymentSucceeded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notification/audit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attemptId, amount, providerRef, journalId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CreditRetired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registry/provenance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retirementId, batch, qty, certificateHash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AnchorConfirmed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read/audit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domainRef, chainId, txHash, blockNumber</w:t>
            </w:r>
          </w:p>
        </w:tc>
      </w:tr>
    </w:tbl>
    <w:p>
      <w:pPr>
        <w:spacing w:after="20"/>
      </w:pPr>
    </w:p>
    <w:p>
      <w:pPr>
        <w:spacing w:after="40"/>
        <w:keepNext/>
      </w:pPr>
      <w:r>
        <w:rPr>
          <w:b/>
          <w:color w:val="1F4D78"/>
          <w:sz w:val="17"/>
        </w:rPr>
        <w:t>Envelope CloudEvents-compatible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{</w:t>
              <w:br/>
              <w:t xml:space="preserve">  "specversion": "1.0",</w:t>
              <w:br/>
              <w:t xml:space="preserve">  "id": "0192...",</w:t>
              <w:br/>
              <w:t xml:space="preserve">  "type": "vn.glx.credit.batch-issued.v1",</w:t>
              <w:br/>
              <w:t xml:space="preserve">  "source": "registry-mrv-service",</w:t>
              <w:br/>
              <w:t xml:space="preserve">  "time": "2026-08-27T10:30:00Z",</w:t>
              <w:br/>
              <w:t xml:space="preserve">  "subject": "credit-batches/0192...",</w:t>
              <w:br/>
              <w:t xml:space="preserve">  "datacontenttype": "application/json",</w:t>
              <w:br/>
              <w:t xml:space="preserve">  "data": {"batchId": "0192...", "quantity": 1000, "manifestHash": "sha256:..."}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8.5 Contract-first templates</w:t>
      </w:r>
    </w:p>
    <w:p>
      <w:r>
        <w:rPr>
          <w:lang w:val="vi-VN"/>
        </w:rPr>
        <w:t>Tài liệu dùng OpenAPI 3.1.x vì hệ sinh thái tooling rộng; OpenAPI 3.2.0 là bản mới nhất tại snapshot nhưng chỉ nâng khi generator/linter của dự án hỗ trợ. Event contract dùng AsyncAPI 3.0.0.</w:t>
      </w:r>
    </w:p>
    <w:p>
      <w:pPr>
        <w:spacing w:after="40"/>
        <w:keepNext/>
      </w:pPr>
      <w:r>
        <w:rPr>
          <w:b/>
          <w:color w:val="1F4D78"/>
          <w:sz w:val="17"/>
        </w:rPr>
        <w:t>OpenAPI seed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openapi: 3.1.1</w:t>
              <w:br/>
              <w:t>info: {title: GLX Exchange API, version: 1.0.0}</w:t>
              <w:br/>
              <w:t>paths:</w:t>
              <w:br/>
              <w:t xml:space="preserve">  /v1/orders:</w:t>
              <w:br/>
              <w:t xml:space="preserve">    post:</w:t>
              <w:br/>
              <w:t xml:space="preserve">      operationId: placeOrder</w:t>
              <w:br/>
              <w:t xml:space="preserve">      parameters:</w:t>
              <w:br/>
              <w:t xml:space="preserve">        - in: header</w:t>
              <w:br/>
              <w:t xml:space="preserve">          name: Idempotency-Key</w:t>
              <w:br/>
              <w:t xml:space="preserve">          required: true</w:t>
              <w:br/>
              <w:t xml:space="preserve">          schema: {type: string, format: uuid}</w:t>
              <w:br/>
              <w:t xml:space="preserve">      responses:</w:t>
              <w:br/>
              <w:t xml:space="preserve">        '201': {description: Order accepted with hold}</w:t>
              <w:br/>
              <w:t xml:space="preserve">        '409': {description: State, version or idempotency conflict}</w:t>
              <w:br/>
              <w:t xml:space="preserve">        '422': {description: Valid request but business rule rejected}</w:t>
              <w:br/>
              <w:t>components:</w:t>
              <w:br/>
              <w:t xml:space="preserve">  schemas:</w:t>
              <w:br/>
              <w:t xml:space="preserve">    Problem: {type: object, required: [type, title, status, correlationId]}</w:t>
            </w:r>
          </w:p>
        </w:tc>
      </w:tr>
    </w:tbl>
    <w:p>
      <w:pPr>
        <w:spacing w:after="20"/>
      </w:pPr>
    </w:p>
    <w:p>
      <w:pPr>
        <w:spacing w:after="40"/>
        <w:keepNext/>
      </w:pPr>
      <w:r>
        <w:rPr>
          <w:b/>
          <w:color w:val="1F4D78"/>
          <w:sz w:val="17"/>
        </w:rPr>
        <w:t>AsyncAPI seed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asyncapi: 3.0.0</w:t>
              <w:br/>
              <w:t>info: {title: GLX Domain Events, version: 1.0.0}</w:t>
              <w:br/>
              <w:t>channels:</w:t>
              <w:br/>
              <w:t xml:space="preserve">  tradeSettled:</w:t>
              <w:br/>
              <w:t xml:space="preserve">    address: glx.trade-settled.v1</w:t>
              <w:br/>
              <w:t xml:space="preserve">    messages:</w:t>
              <w:br/>
              <w:t xml:space="preserve">      TradeSettled: {$ref: '#/components/messages/TradeSettled'}</w:t>
              <w:br/>
              <w:t>operations:</w:t>
              <w:br/>
              <w:t xml:space="preserve">  publishTradeSettled:</w:t>
              <w:br/>
              <w:t xml:space="preserve">    action: send</w:t>
              <w:br/>
              <w:t xml:space="preserve">    channel: {$ref: '#/channels/tradeSettled'}</w:t>
              <w:br/>
              <w:t>components:</w:t>
              <w:br/>
              <w:t xml:space="preserve">  messages:</w:t>
              <w:br/>
              <w:t xml:space="preserve">    TradeSettled:</w:t>
              <w:br/>
              <w:t xml:space="preserve">      headers: {$ref: '#/components/schemas/EventEnvelope'}</w:t>
              <w:br/>
              <w:t xml:space="preserve">      payload: {type: object, required: [tradeId, instrumentId, quantity, priceMinor]}</w:t>
            </w:r>
          </w:p>
        </w:tc>
      </w:tr>
    </w:tbl>
    <w:p>
      <w:pPr>
        <w:spacing w:after="20"/>
      </w:pPr>
    </w:p>
    <w:p>
      <w:pPr>
        <w:pStyle w:val="Heading2"/>
      </w:pPr>
      <w:r>
        <w:t>8.6 Event envelope bắt buộc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Field</w:t>
            </w:r>
          </w:p>
        </w:tc>
        <w:tc>
          <w:tcPr>
            <w:tcW w:type="dxa" w:w="6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Rule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eventId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UUID duy nhất; consumer inbox unique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eventType/schemaVersion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Tên semantic + major version; breaking change tạo v2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occurredAt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UTC instant của business event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producer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Service/bounded context phát event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aggregateId/version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Chống reorder và phát hiện gap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correlationId/causationId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Nối trace command -&gt; journal -&gt; event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tenantId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Scope bắt buộc; không tin header từ client nếu chưa resolve claim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payload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chứa secret, raw payment payload, private key hoặc PII không cần thiết</w:t>
            </w:r>
          </w:p>
        </w:tc>
      </w:tr>
    </w:tbl>
    <w:p>
      <w:pPr>
        <w:spacing w:after="20"/>
      </w:pPr>
    </w:p>
    <w:p>
      <w:pPr>
        <w:pStyle w:val="Heading1"/>
      </w:pPr>
      <w:r>
        <w:t>9. Thanh toán, sổ kép và VNPAY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Quyết định mô hình</w:t>
            </w:r>
          </w:p>
          <w:p>
            <w:pPr>
              <w:spacing w:after="0"/>
            </w:pPr>
            <w:r>
              <w:t>VNPAY top-up tạo VND-DEMO balance sau IPN hợp lệ. Lệnh giao dịch chỉ dùng prefunded balance; không gọi gateway trong matching/settlement. Điều này cho phép payment thành công nhưng trade chưa xảy ra, và trade settlement thất bại mà không sửa lịch sử payment.</w:t>
            </w:r>
          </w:p>
        </w:tc>
      </w:tr>
    </w:tbl>
    <w:p>
      <w:pPr>
        <w:spacing w:after="20"/>
      </w:pPr>
    </w:p>
    <w:p>
      <w:pPr>
        <w:pStyle w:val="Heading2"/>
      </w:pPr>
      <w:r>
        <w:t>9.1 Payment provider port</w:t>
      </w:r>
    </w:p>
    <w:p>
      <w:pPr>
        <w:spacing w:after="40"/>
        <w:keepNext/>
      </w:pPr>
      <w:r>
        <w:rPr>
          <w:b/>
          <w:color w:val="1F4D78"/>
          <w:sz w:val="17"/>
        </w:rPr>
        <w:t>Hexagonal adapter boundary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public interface PaymentProvider {</w:t>
              <w:br/>
              <w:t xml:space="preserve">  RedirectSession createTopUp(TopUpRequest request);</w:t>
              <w:br/>
              <w:t xml:space="preserve">  VerifiedNotification verifyNotification(Map&lt;String, String&gt; fields);</w:t>
              <w:br/>
              <w:t xml:space="preserve">  ProviderTransaction query(String merchantRef, Instant transactionDate);</w:t>
              <w:br/>
              <w:t xml:space="preserve">  RefundResult refund(RefundCommand command);</w:t>
              <w:br/>
              <w:t>}</w:t>
              <w:br/>
              <w:br/>
              <w:t>// Adapters: VnpaySandboxAdapter (real sandbox), FakePaymentAdapter (tests).</w:t>
              <w:br/>
              <w:t>// MoMo/ZaloPay: mock contract only unless separate time budget exists.</w:t>
            </w:r>
          </w:p>
        </w:tc>
      </w:tr>
    </w:tbl>
    <w:p>
      <w:pPr>
        <w:spacing w:after="20"/>
      </w:pPr>
    </w:p>
    <w:p>
      <w:pPr>
        <w:pStyle w:val="Heading2"/>
      </w:pPr>
      <w:r>
        <w:t>9.2 IPN verification checklist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Chỉ allow-list field vnp_* với giới hạn count/length; tách vnp_SecureHash và vnp_SecureHashType.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Canonical sort/URL-encode đúng tài liệu; HMAC-SHA512 bằng secret lấy từ Secret Manager; constant-time compare.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Khoá payment_attempt; kiểm tra TmnCode, merchantRef do server sinh, amount VND, currency, current state và provider transaction.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Chỉ đánh dấu SUCCEEDED khi vnp_ResponseCode = 00 và vnp_TransactionStatus = 00; ReturnURL chỉ dùng hiển thị rồi client poll API.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Ghi provider_inbox, payment state, funding journal và outbox trong cùng transaction.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QueryDR/reconciliation cho timeout/mismatch; refund là command riêng có maker/checker và idempotency.</w:t>
      </w:r>
    </w:p>
    <w:p>
      <w:pPr>
        <w:pStyle w:val="Heading2"/>
      </w:pPr>
      <w:r>
        <w:t>9.3 Bảng dữ liệu payment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Table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Mục đích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Constraint quan trọng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payment_attempt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Một top-up/refund lifecycle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merchant_ref unique; amount_vnd BIGINT; forward state; version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provider_inbox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Raw-ish callback evidence đã redacted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provider + semantic key unique; payload_hash; received_at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idempotency_record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Cache response command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actor + route + key unique; request_hash; expiry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refund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Refund request/provider result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original_attempt; amount &lt;= funded-refunded; maker/checker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reconciliation_item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Mismatch hệ thống/provider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severity, reason, owner, resolution, evidence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outbox_event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Publish domain event sau commit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event_id unique; at-least-once</w:t>
            </w:r>
          </w:p>
        </w:tc>
      </w:tr>
    </w:tbl>
    <w:p>
      <w:pPr>
        <w:spacing w:after="20"/>
      </w:pPr>
    </w:p>
    <w:p>
      <w:pPr>
        <w:pStyle w:val="Heading2"/>
      </w:pPr>
      <w:r>
        <w:t>9.4 Chart of accounts sandbox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3600"/>
        <w:gridCol w:w="38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Asset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Account/bucket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Ý nghĩa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VND-DEMO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PROVIDER_CLEARING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Khoản đã xác nhận từ payment provider sandbox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VND-DEMO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USER:{org}:AVAILABLE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Số dư có thể reserve cho BUY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VND-DEMO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USER:{org}:RESERVED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Cash khoá cho order/settlement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GLX-CREDIT:{instrument}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USER:{org}:AVAILABLE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Credit có thể sell/retire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GLX-CREDIT:{instrument}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USER:{org}:RESERVED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Credit khoá cho sell/retire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GLX-CREDIT:{instrument}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TERMINAL:RETIRED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Credit đã retire vĩnh viễn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VND-DEMO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FEE_REVENUE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Phí demo nếu bật; mặc định 0</w:t>
            </w:r>
          </w:p>
        </w:tc>
      </w:tr>
    </w:tbl>
    <w:p>
      <w:pPr>
        <w:spacing w:after="20"/>
      </w:pPr>
    </w:p>
    <w:p>
      <w:pPr>
        <w:pStyle w:val="Heading2"/>
      </w:pPr>
      <w:r>
        <w:t>9.5 Journal templates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00"/>
        <w:gridCol w:w="2500"/>
        <w:gridCol w:w="3000"/>
        <w:gridCol w:w="18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Business event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Debit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Credit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Unique reference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Top-up success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PROVIDER_CLEARING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BUYER_AVAILABLE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PAYMENT:{attemptId}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Reserve buy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BUYER_AVAILABLE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BUYER_RESERVED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ORDER_RESERVE:{orderId}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Settle cash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BUYER_RESERVED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SELLER_AVAILABLE (+ fee nếu có)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TRADE_CASH:{tradeId}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Reserve sell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SELLER_CREDIT_AVAILABLE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SELLER_CREDIT_RESERVED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ORDER_ASSET:{orderId}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Settle credit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SELLER_CREDIT_RESERVED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BUYER_CREDIT_AVAILABLE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TRADE_ASSET:{tradeId}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OWNER_CREDIT_AVAILABLE/RESERVED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TERMINAL_RETIRED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RETIRE:{retirementId}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Correction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Đảo entry gốc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Đảo entry gốc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REVERSAL:{journalId}</w:t>
            </w:r>
          </w:p>
        </w:tc>
      </w:tr>
    </w:tbl>
    <w:p>
      <w:pPr>
        <w:spacing w:after="20"/>
      </w:pP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DECE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42318"/>
            </w:tcBorders>
          </w:tcPr>
          <w:p>
            <w:pPr>
              <w:spacing w:after="40"/>
              <w:keepNext/>
            </w:pPr>
            <w:r>
              <w:rPr>
                <w:b/>
                <w:color w:val="B42318"/>
                <w:lang w:val="vi-VN"/>
              </w:rPr>
              <w:t>Không dùng Redis làm idempotency tài chính</w:t>
            </w:r>
          </w:p>
          <w:p>
            <w:pPr>
              <w:spacing w:after="0"/>
            </w:pPr>
            <w:r>
              <w:t>Redis có thể giữ rate limit hoặc short-lived dedupe hint, nhưng payment success, settlement, reservation và business idempotency phải được ràng buộc ở PostgreSQL bằng transaction + unique constraint.</w:t>
            </w:r>
          </w:p>
        </w:tc>
      </w:tr>
    </w:tbl>
    <w:p>
      <w:pPr>
        <w:spacing w:after="20"/>
      </w:pPr>
    </w:p>
    <w:p>
      <w:pPr>
        <w:pStyle w:val="Heading2"/>
      </w:pPr>
      <w:r>
        <w:t>9.6 Ledger control model - baseline bắt buộc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Hai sổ, một giao dịch settlement</w:t>
            </w:r>
          </w:p>
          <w:p>
            <w:pPr>
              <w:spacing w:after="0"/>
            </w:pPr>
            <w:r>
              <w:t>Cash ledger dùng debit/credit theo tiền VND-DEMO; carbon position ledger dùng movement cân bằng theo quantity GLX-DEMO. Holds là reservation, không phải posted journal. DvP cập nhật cả hai sổ trong cùng PostgreSQL transaction.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1500"/>
        <w:gridCol w:w="3000"/>
        <w:gridCol w:w="3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Account class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Normal balance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Ví dụ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Cách tính user-facing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Debit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1000 VNPAY clearing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debit - credit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LIABILITY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2100 Customer cash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 - debit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REVENUE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4000 Platform fee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 - debit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MEMO/HOLD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N/A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Active cash/credit reservation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available = posted - active holds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CARBON POSITION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Debit ownership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Owner/retired/source accounts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debit quantity - credit quantity</w:t>
            </w:r>
          </w:p>
        </w:tc>
      </w:tr>
    </w:tbl>
    <w:p>
      <w:pPr>
        <w:spacing w:after="20"/>
      </w:pPr>
    </w:p>
    <w:p>
      <w:pPr>
        <w:pStyle w:val="Heading2"/>
      </w:pPr>
      <w:r>
        <w:t>9.7 Expanded journal templates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2250"/>
        <w:gridCol w:w="2250"/>
        <w:gridCol w:w="3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Business event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Debit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Credit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Invariant/ghi chú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VNPAY top-up success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1000 Provider clearing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2100 Buyer cash liability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Một provider transaction chỉ POST một journal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Place BUY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post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Cash hold = limit price x remaining qty + fee buffer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Place SELL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post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post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Credit hold = remaining quantity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Trade principal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Buyer cash liability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Seller cash liability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execution price x fill quantity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Seller fee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Seller cash liability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4000 Platform fee revenue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Integer minor unit; không dùng float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Issue carbon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 owner position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Batch issuance source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Tổng quantity theo batch bảo toàn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Trade carbon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Buyer position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Seller position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Commit cùng cash settlement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 carbon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Retirement sink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Owner active position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Sink terminal; không release/retrade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Refund/reversal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Customer liability/original credit side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Clearing/original debit side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Journal mới link original; không UPDATE journal cũ</w:t>
            </w:r>
          </w:p>
        </w:tc>
      </w:tr>
    </w:tbl>
    <w:p>
      <w:pPr>
        <w:spacing w:after="20"/>
      </w:pPr>
    </w:p>
    <w:p>
      <w:pPr>
        <w:pStyle w:val="Heading2"/>
      </w:pPr>
      <w:r>
        <w:t>9.8 Posting algorithm</w:t>
      </w:r>
    </w:p>
    <w:p>
      <w:pPr>
        <w:spacing w:after="40"/>
        <w:keepNext/>
      </w:pPr>
      <w:r>
        <w:rPr>
          <w:b/>
          <w:color w:val="1F4D78"/>
          <w:sz w:val="17"/>
        </w:rPr>
        <w:t>Transaction skeleton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BEGIN;</w:t>
              <w:br/>
              <w:t>INSERT idempotency_record(key, request_hash, status='PROCESSING');</w:t>
              <w:br/>
              <w:t>LOCK affected accounts, positions, holds and orders in deterministic UUID order;</w:t>
              <w:br/>
              <w:t>VALIDATE state, ownership, limits, available balance and available quantity;</w:t>
              <w:br/>
              <w:t>INSERT journal_header + journal_lines; ASSERT sum(debit)=sum(credit);</w:t>
              <w:br/>
              <w:t>INSERT position_movements; ASSERT batch quantity conserved;</w:t>
              <w:br/>
              <w:t>UPDATE hold/order/payment state with expected version;</w:t>
              <w:br/>
              <w:t>INSERT outbox_event(event_id, aggregate_id, aggregate_version, payload);</w:t>
              <w:br/>
              <w:t>COMMIT;</w:t>
              <w:br/>
              <w:t>Return the stored response for every semantic retry.</w:t>
            </w:r>
          </w:p>
        </w:tc>
      </w:tr>
    </w:tbl>
    <w:p>
      <w:pPr>
        <w:spacing w:after="20"/>
      </w:pPr>
    </w:p>
    <w:p>
      <w:pPr>
        <w:pStyle w:val="Heading2"/>
      </w:pPr>
      <w:r>
        <w:t>9.9 Reconciliation decision table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1800"/>
        <w:gridCol w:w="1800"/>
        <w:gridCol w:w="42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Provider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Payment attempt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Ledger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Hành động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SUCCEEDED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POSTED đúng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Đánh dấu RECONCILED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PENDING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Chưa có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Verify query/IPN, post idempotent rồi reconcile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FAILED/NOT_FOUND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SUCCEEDED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POSTED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Mở HIGH item; maker đề xuất reversal, checker duyệt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SUCCESS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SUCCEEDED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Sai amount/ref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Halt adapter; preserve evidence; không tự sửa balance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phản hồi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PENDING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Chưa có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Retry bounded; EXPIRED/MANUAL_REVIEW theo SLA</w:t>
            </w:r>
          </w:p>
        </w:tc>
      </w:tr>
    </w:tbl>
    <w:p>
      <w:pPr>
        <w:spacing w:after="20"/>
      </w:pPr>
    </w:p>
    <w:p>
      <w:pPr>
        <w:pStyle w:val="Heading1"/>
      </w:pPr>
      <w:r>
        <w:t>10. Blockchain, ví và provenance</w:t>
      </w:r>
    </w:p>
    <w:p>
      <w:pPr>
        <w:pStyle w:val="Heading2"/>
      </w:pPr>
      <w:r>
        <w:t>10.1 Mục tiêu và phi mục tiêu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Mục tiêu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Không làm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Neo hash của issuance/retirement manifest; receipt công khai; phát hiện sửa dữ liệu; thể hiện integration EVM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Không lưu PII/ảnh/order/payment; không dùng chain làm order book/ledger vận hành; không mainnet; không claim legal ownership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Link ví bằng chữ ký để chứng minh address control; có thể ký retirement intent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Không custody seed/private key; không coi wallet address là identity/KYC duy nhất</w:t>
            </w:r>
          </w:p>
        </w:tc>
      </w:tr>
    </w:tbl>
    <w:p>
      <w:pPr>
        <w:spacing w:after="20"/>
      </w:pPr>
    </w:p>
    <w:p>
      <w:pPr>
        <w:pStyle w:val="Heading2"/>
      </w:pPr>
      <w:r>
        <w:t>10.2 Mô hình hash anchor mặc định</w:t>
      </w:r>
    </w:p>
    <w:p>
      <w:pPr>
        <w:spacing w:after="40"/>
        <w:keepNext/>
      </w:pPr>
      <w:r>
        <w:rPr>
          <w:b/>
          <w:color w:val="1F4D78"/>
          <w:sz w:val="17"/>
        </w:rPr>
        <w:t>Contract interface tối thiểu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interface ICreditAuditRegistry {</w:t>
              <w:br/>
              <w:t xml:space="preserve">  event IssuanceAnchored(bytes32 indexed batchId, bytes32 manifestHash, uint64 quantity);</w:t>
              <w:br/>
              <w:t xml:space="preserve">  event RetirementAnchored(bytes32 indexed retirementId, bytes32 certificateHash, uint64 quantity);</w:t>
              <w:br/>
              <w:br/>
              <w:t xml:space="preserve">  function anchorIssuance(bytes32 batchId, bytes32 manifestHash, uint64 quantity) external;</w:t>
              <w:br/>
              <w:t xml:space="preserve">  function anchorRetirement(bytes32 retirementId, bytes32 certificateHash, uint64 quantity) external;</w:t>
              <w:br/>
              <w:t>}</w:t>
              <w:br/>
              <w:t>// OpenZeppelin AccessControl + Pausable; role signer tách biệt; contract trên Polygon Amoy.</w:t>
            </w:r>
          </w:p>
        </w:tc>
      </w:tr>
    </w:tbl>
    <w:p>
      <w:pPr>
        <w:spacing w:after="20"/>
      </w:pPr>
    </w:p>
    <w:p>
      <w:r>
        <w:rPr>
          <w:lang w:val="vi-VN"/>
        </w:rPr>
        <w:t>Manifest được canonicalize (JSON field order/number format cố định), hash SHA-256 hoặc keccak256 theo ADR, lưu object private/public redacted và ghi hash on-chain. Domain transaction commit trước, anchor job chạy async. Database lưu chainId, contractAddress, txHash, nonce, submittedAt, blockNumber, blockHash, confirmationCount và status. Explorer link được sinh từ allow-listed chain config, không nhận URL từ input.</w:t>
      </w:r>
    </w:p>
    <w:p>
      <w:pPr>
        <w:pStyle w:val="Heading2"/>
      </w:pPr>
      <w:r>
        <w:t>10.3 Wallet linking — SIWE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OIDC session là identity chính; user yêu cầu nonce rồi ký message chuẩn EIP-4361 qua MetaMask/Reown AppKit.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Server verify domain, URI, chain ID 80002, address, nonce, issued-at, expiry, not-before và signature; consume nonce atomically.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Link record lưu checksummed address, chain, verified_at, user_subject; unlink/relink yêu cầu re-auth/MFA cho operator.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Retirement intent stretch dùng EIP-712 typed data để user đọc được quantity/batch/beneficiary/purpose trước khi ký.</w:t>
      </w:r>
    </w:p>
    <w:p>
      <w:pPr>
        <w:pStyle w:val="Heading2"/>
      </w:pPr>
      <w:r>
        <w:t>10.4 ERC-1155 — chỉ stretch</w:t>
      </w:r>
    </w:p>
    <w:p>
      <w:r>
        <w:rPr>
          <w:lang w:val="vi-VN"/>
        </w:rPr>
        <w:t>Nếu cần tăng chiều sâu blockchain, mỗi token ID có thể đại diện project + vintage + methodology, amount là quantity. Contract chỉ mint/burn demo trên Amoy, có AccessControl/Pausable và invariant/fuzz test bằng Foundry. Tuy nhiên PostgreSQL vẫn là source of truth và UI phải gắn nhãn token thử nghiệm; không dành hơn một tuần cho phần này trước khi ledger/payment/test cốt lõi ổn định.</w:t>
      </w:r>
    </w:p>
    <w:p>
      <w:r>
        <w:br w:type="page"/>
      </w:r>
    </w:p>
    <w:p>
      <w:pPr>
        <w:pStyle w:val="Heading2"/>
      </w:pPr>
      <w:r>
        <w:t>10.5 Threats và controls chain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Rủi ro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Control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Signer key lộ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GCP Secret Manager/KMS nếu khả thi; dedicated test key; rotate; minimal role; không commit .env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Replay/duplicate tx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Domain unique anchor key; nonce queue; receipt lookup trước resubmit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Reorg/dropped tx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Confirmation threshold; lưu blockHash; monitor/reconcile; status CONFIRMING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Admin abuse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AccessControl; Pausable; separate roles; event audit; timelock stretch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Manifest mismatch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Canonical JSON tests; hash re-compute; anchor only immutable snapshot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Privacy leak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Hash only; no PII/URI secret; public manifest redacted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GLX-LDG-001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GLX-LDG-001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33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4F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8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XKicker">
    <w:name w:val="GLX Kicker"/>
    <w:pPr>
      <w:spacing w:after="160"/>
    </w:pPr>
    <w:rPr>
      <w:rFonts w:ascii="Calibri" w:hAnsi="Calibri"/>
      <w:b/>
      <w:color w:val="147D64"/>
      <w:sz w:val="20"/>
    </w:rPr>
  </w:style>
  <w:style w:type="paragraph" w:customStyle="1" w:styleId="GLXCaption">
    <w:name w:val="GLX Caption"/>
    <w:pPr>
      <w:spacing w:before="60" w:after="140"/>
      <w:jc w:val="center"/>
    </w:pPr>
    <w:rPr>
      <w:rFonts w:ascii="Calibri" w:hAnsi="Calibri"/>
      <w:i/>
      <w:color w:val="5B6870"/>
      <w:sz w:val="17"/>
    </w:rPr>
  </w:style>
  <w:style w:type="paragraph" w:customStyle="1" w:styleId="GLXCode">
    <w:name w:val="GLX Code"/>
    <w:pPr>
      <w:spacing w:after="0" w:line="240" w:lineRule="auto"/>
    </w:pPr>
    <w:rPr>
      <w:rFonts w:ascii="Consolas" w:hAnsi="Consolas"/>
      <w:color w:val="23333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GreenLedger Exchange - Ledger, Payment, API &amp; Event Contracts</dc:title>
  <dc:subject>Baseline transaction core; mọi thay đổi balance/position phải truy nguyên được về contract và journal.</dc:subject>
  <dc:creator/>
  <cp:keywords>GLX, carbon credit, Spring Boot, Vue, banking-grade ledger, VNPAY, AI, blockchain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