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  <w:jc w:val="center"/>
      </w:pPr>
      <w:r>
        <w:rPr>
          <w:rFonts w:ascii="Calibri" w:hAnsi="Calibri"/>
          <w:b/>
          <w:color w:val="147D64"/>
          <w:sz w:val="20"/>
          <w:lang w:val="vi-VN"/>
        </w:rPr>
        <w:t>GLX PRE-CODE TECHNICAL DESIGN PACK  |  VOLUME 4/5</w:t>
      </w:r>
    </w:p>
    <w:p>
      <w:pPr>
        <w:spacing w:after="200"/>
        <w:jc w:val="center"/>
      </w:pPr>
      <w:r>
        <w:rPr>
          <w:rFonts w:ascii="Calibri" w:hAnsi="Calibri"/>
          <w:b/>
          <w:color w:val="0B4F43"/>
          <w:sz w:val="54"/>
          <w:lang w:val="vi-VN"/>
        </w:rPr>
        <w:t>Security, AI Governance &amp; Test Strategy</w:t>
      </w:r>
    </w:p>
    <w:p>
      <w:pPr>
        <w:spacing w:after="440"/>
        <w:jc w:val="center"/>
      </w:pPr>
      <w:r>
        <w:rPr>
          <w:rFonts w:ascii="Calibri" w:hAnsi="Calibri"/>
          <w:b w:val="0"/>
          <w:i/>
          <w:color w:val="5B6870"/>
          <w:sz w:val="28"/>
          <w:lang w:val="vi-VN"/>
        </w:rPr>
        <w:t>Threat model, data protection, human gate và quality evidence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Mục đích kiểm soát</w:t>
            </w:r>
          </w:p>
          <w:p>
            <w:pPr>
              <w:spacing w:after="0"/>
            </w:pPr>
            <w:r>
              <w:t>Định nghĩa hệ thống thất bại an toàn, AI không tự chứng nhận và test chứng minh các bất biến. Đây là tài liệu thiết kế cho sandbox/portfolio, không phải hồ sơ xin phép sàn, core banking production hoặc chứng nhận tín chỉ carbon.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control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Thuộc tính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Giá trị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Document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GLX-SEC-001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Phiên bản / trạng thái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v1.0 / Baseline for implementation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Snapshot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28/08/2026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Phạm vi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Dossier sections 11, 12, 14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Đối tượng đọc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Tác giả dự án, technical reviewer và người phỏng vấn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Thay đổi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Cập nhật bằng ADR hoặc pull request; không sửa âm thầm bất biến đã baseline</w:t>
            </w:r>
          </w:p>
        </w:tc>
      </w:tr>
    </w:tbl>
    <w:p>
      <w:pPr>
        <w:spacing w:after="20"/>
      </w:pPr>
    </w:p>
    <w:p>
      <w:pPr>
        <w:pStyle w:val="Heading2"/>
      </w:pPr>
      <w:r>
        <w:t>Quan hệ trong bộ hồ sơ</w:t>
      </w:r>
    </w:p>
    <w:p>
      <w:pPr>
        <w:spacing w:after="120"/>
      </w:pPr>
      <w:r>
        <w:rPr>
          <w:rFonts w:ascii="Calibri" w:hAnsi="Calibri"/>
          <w:b/>
          <w:color w:val="1F4D78"/>
          <w:sz w:val="18"/>
          <w:lang w:val="vi-VN"/>
        </w:rPr>
        <w:t>V1 Requirements  -&gt;  V2 Architecture/Data  -&gt;  V3 Ledger/API  -&gt;  V4 Security/AI/Test  -&gt;  V5 Cloud/DevOps/Runbook</w:t>
      </w:r>
    </w:p>
    <w:p>
      <w:pPr>
        <w:spacing w:before="160"/>
        <w:jc w:val="center"/>
      </w:pPr>
      <w:r>
        <w:rPr>
          <w:rFonts w:ascii="Calibri" w:hAnsi="Calibri"/>
          <w:b/>
          <w:color w:val="5B6870"/>
          <w:sz w:val="18"/>
          <w:lang w:val="vi-VN"/>
        </w:rPr>
        <w:t>GreenLedger Exchange (GLX)  |  v1.0  |  28/08/2026</w:t>
      </w:r>
    </w:p>
    <w:p>
      <w:r>
        <w:br w:type="page"/>
      </w:r>
    </w:p>
    <w:p>
      <w:pPr>
        <w:pStyle w:val="Heading1"/>
      </w:pPr>
      <w:r>
        <w:t>0. Cách sử dụng tài liệu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Threat model ưu tiên tenant isolation, payment callback, evidence upload, ledger và secrets.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AI output là evidence hỗ trợ; reviewer chịu trách nhiệm và decision append-only.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Test phải chứng minh invariant/failure path, không chỉ coverage percentage.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7791F"/>
            </w:tcBorders>
          </w:tcPr>
          <w:p>
            <w:pPr>
              <w:spacing w:after="40"/>
              <w:keepNext/>
            </w:pPr>
            <w:r>
              <w:rPr>
                <w:b/>
                <w:color w:val="B7791F"/>
                <w:lang w:val="vi-VN"/>
              </w:rPr>
              <w:t>Quy tắc baseline</w:t>
            </w:r>
          </w:p>
          <w:p>
            <w:pPr>
              <w:spacing w:after="0"/>
            </w:pPr>
            <w:r>
              <w:t>Nếu code khác tài liệu, pull request phải cập nhật contract/ADR cùng lúc. Nếu chưa quyết định, đánh dấu OPEN DECISION và dùng fake adapter; không che giả định bằng code ngầm.</w:t>
            </w:r>
          </w:p>
        </w:tc>
      </w:tr>
    </w:tbl>
    <w:p>
      <w:pPr>
        <w:spacing w:after="20"/>
      </w:pPr>
    </w:p>
    <w:p>
      <w:pPr>
        <w:pStyle w:val="Heading1"/>
      </w:pPr>
      <w:r>
        <w:t>11. AI-assisted dMRV và MLOps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501866"/>
            <wp:docPr id="1" name="Picture 1" title="Hình 7 — AI-assisted dMRV pipeline và human review gates" descr="Pipeline từ Sentinel-2, polygon và ảnh hiện trường qua kiểm tra đầu vào, feature, inference, assessment record, human review, methodology engine và monit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7 — AI-assisted dMRV pipeline và human review gates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7791F"/>
            </w:tcBorders>
          </w:tcPr>
          <w:p>
            <w:pPr>
              <w:spacing w:after="40"/>
              <w:keepNext/>
            </w:pPr>
            <w:r>
              <w:rPr>
                <w:b/>
                <w:color w:val="B7791F"/>
                <w:lang w:val="vi-VN"/>
              </w:rPr>
              <w:t>Ranh giới trách nhiệm</w:t>
            </w:r>
          </w:p>
          <w:p>
            <w:pPr>
              <w:spacing w:after="0"/>
            </w:pPr>
            <w:r>
              <w:t>AI trả evidence_quality_score, risk_score, indicators, uncertainty và flags. Methodology engine dùng công thức minh hoạ có version để tính quantity proposal. Người duyệt quyết định; chỉ module issuance mới tạo CreditBatch demo.</w:t>
            </w:r>
          </w:p>
        </w:tc>
      </w:tr>
    </w:tbl>
    <w:p>
      <w:pPr>
        <w:spacing w:after="20"/>
      </w:pPr>
    </w:p>
    <w:p>
      <w:pPr>
        <w:pStyle w:val="Heading2"/>
      </w:pPr>
      <w:r>
        <w:t>11.1 Use case khả thi</w:t>
      </w:r>
    </w:p>
    <w:p>
      <w:r>
        <w:rPr>
          <w:lang w:val="vi-VN"/>
        </w:rPr>
        <w:t>Vertical MVP là giám sát che phủ/thay đổi rừng trong polygon. Dữ liệu miễn phí lấy qua Copernicus Data Space STAC/Sentinel-2. Pipeline tải asset cần thiết hoặc xử lý window nhỏ, áp cloud mask, tính NDVI/NDMI/NBR, tỷ lệ class rừng và biến động giữa baseline/monitoring date. Rule engine nêu lý do rõ ràng; anomaly model hoặc classifier nhỏ chỉ bổ sung tín hiệu. Google Earth Engine có thể dùng cho prototyping nếu tuân thủ non-commercial tier, nhưng không nên trở thành dependency duy nhất. [R23–R28]</w:t>
      </w:r>
    </w:p>
    <w:p>
      <w:pPr>
        <w:pStyle w:val="Heading2"/>
      </w:pPr>
      <w:r>
        <w:t>11.2 MVP / Stretch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000"/>
        <w:gridCol w:w="2500"/>
        <w:gridCol w:w="3550"/>
        <w:gridCol w:w="231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Mức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Dữ liệu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Phương pháp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Đầu ra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MVP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Polygon + Sentinel-2 + metadata evidence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Cloud/coverage/CRS checks; NDVI/NDMI change; rule/anomaly thresholds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Quality 0–100, risk 0–100, flags, confidence, thumbnails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MVP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Ảnh hiện trường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EXIF/geofence/time consistency; SHA/perceptual duplicate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Tamper/duplicate/geolocation flags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Stretch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Dynamic World / land-cover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Class proportion/change map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IoU/F1, change hotspot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Stretch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Field photos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EfficientNet-B0/ONNX classifier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Class/confidence/OOD; never auto-approve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Stretch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GEDI/AGBD or biomass proxy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Regression + uncertainty interval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Research demo only; no credit quantity claim</w:t>
            </w:r>
          </w:p>
        </w:tc>
      </w:tr>
    </w:tbl>
    <w:p>
      <w:pPr>
        <w:spacing w:after="20"/>
      </w:pPr>
    </w:p>
    <w:p>
      <w:pPr>
        <w:pStyle w:val="Heading2"/>
      </w:pPr>
      <w:r>
        <w:t>11.3 Input manifest và output schema</w:t>
      </w:r>
    </w:p>
    <w:p>
      <w:pPr>
        <w:spacing w:after="40"/>
        <w:keepNext/>
      </w:pPr>
      <w:r>
        <w:rPr>
          <w:b/>
          <w:color w:val="1F4D78"/>
          <w:sz w:val="17"/>
        </w:rPr>
        <w:t>Assessment result — versioned, explainable, auditable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{</w:t>
              <w:br/>
              <w:t xml:space="preserve">  "assessmentId": "0192...",</w:t>
              <w:br/>
              <w:t xml:space="preserve">  "inputManifestHash": "sha256:...",</w:t>
              <w:br/>
              <w:t xml:space="preserve">  "modelVersion": "forest-risk-0.2.0",</w:t>
              <w:br/>
              <w:t xml:space="preserve">  "dataVersion": "sentinel2-2026-08-15",</w:t>
              <w:br/>
              <w:t xml:space="preserve">  "evidenceQualityScore": 78,</w:t>
              <w:br/>
              <w:t xml:space="preserve">  "riskScore": 34,</w:t>
              <w:br/>
              <w:t xml:space="preserve">  "confidence": 0.81,</w:t>
              <w:br/>
              <w:t xml:space="preserve">  "uncertainty": {"type": "interval", "low": 0.24, "high": 0.45},</w:t>
              <w:br/>
              <w:t xml:space="preserve">  "flags": ["CLOUD_COVER_MODERATE"],</w:t>
              <w:br/>
              <w:t xml:space="preserve">  "indicators": {"ndviDelta": -0.04, "validPixelRatio": 0.72},</w:t>
              <w:br/>
              <w:t xml:space="preserve">  "decision": "NEEDS_HUMAN_REVIEW"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11.4 Human review policy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2200"/>
        <w:gridCol w:w="4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Trigger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Action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Evidence reviewer thấy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validPixelRatio &lt; 0.6 / cloud cao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REQUEST_MORE_DATA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Cloud mask, acquisition dates, missing coverage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confidence &lt; threshold hoặc OOD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MANUAL_REVIEW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Nearest examples/feature summary; không chỉ score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Polygon overlap với project khác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BLOCK_ISSUANCE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Intersection area, project refs, map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Ảnh duplicate/geofence/time sai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FRAUD_REVIEW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pHash/checksum/EXIF mismatch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Satellite-field conflict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REQUEST_EXPLANATION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Side-by-side evidence và temporal context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Reviewer override AI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ALLOW + REASON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Reason code/free text; metric theo model version</w:t>
            </w:r>
          </w:p>
        </w:tc>
      </w:tr>
    </w:tbl>
    <w:p>
      <w:pPr>
        <w:spacing w:after="20"/>
      </w:pPr>
    </w:p>
    <w:p>
      <w:pPr>
        <w:pStyle w:val="Heading2"/>
      </w:pPr>
      <w:r>
        <w:t>11.5 Metrics và model card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550"/>
        <w:gridCol w:w="3850"/>
        <w:gridCol w:w="39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Nhóm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Metrics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Ngưỡng/ý nghĩa ban đầu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Data quality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valid pixel, cloud %, missing metadata, duplicate rate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Gate trước model; báo distribution theo vùng/thời gian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Land cover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macro-F1, class IoU, confusion matrix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chỉ accuracy; tách forest/non-forest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Change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precision/recall/F1/IoU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Ưu tiên recall nhưng theo dõi false alarm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Calibration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Brier score, ECE, reliability plot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Confidence phải phản ánh xác suất đúng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Regression stretch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MAE, RMSE, R², bias, interval coverage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Báo theo biome/season; không convert thành credit thật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Product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override rate, disagreement, review time, OOD rate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Feedback loop và drift signal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Ops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queue wait, inference latency/error, cost/run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Budget và SLO async</w:t>
            </w:r>
          </w:p>
        </w:tc>
      </w:tr>
    </w:tbl>
    <w:p>
      <w:pPr>
        <w:spacing w:after="20"/>
      </w:pPr>
    </w:p>
    <w:p>
      <w:r>
        <w:rPr>
          <w:lang w:val="vi-VN"/>
        </w:rPr>
        <w:t>Model card tối thiểu: mục đích, ngoài phạm vi, dữ liệu và license, geography/time coverage, preprocessing, metrics theo slice, threshold, known limitations, safety/human review, model/data/code version, owner và rollback. MLflow Model Registry có thể chạy local/hosted sau MVP; ONNX Runtime giúp inference CPU nhẹ. NIST AI RMF được dùng như checklist GOVERN/MAP/MEASURE/MANAGE. [R29–R33]</w:t>
      </w:r>
    </w:p>
    <w:p>
      <w:pPr>
        <w:pStyle w:val="Heading2"/>
      </w:pPr>
      <w:r>
        <w:t>11.6 MLOps flow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Notebook exploration không deploy trực tiếp; feature/inference code vào package versioned có unit tests và golden fixtures.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Dataset manifest lưu source URL, acquisition time, polygon hash, preprocessing version và license note.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CI chạy schema/golden tests; promotion model cần offline evaluation + reviewer sign-off; canary/feature flag khi thay model.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Monitoring ưu tiên data quality, OOD, calibration, override và latency; drift alert không tự retrain/push production.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Rollback là đổi active model alias/version, giữ assessment lịch sử không thay đổi.</w:t>
      </w:r>
    </w:p>
    <w:p>
      <w:pPr>
        <w:pStyle w:val="Heading1"/>
      </w:pPr>
      <w:r>
        <w:t>12. Bảo mật, quyền riêng tư và threat model</w:t>
      </w:r>
    </w:p>
    <w:p>
      <w:r>
        <w:rPr>
          <w:lang w:val="vi-VN"/>
        </w:rPr>
        <w:t>Baseline dùng OWASP ASVS 5.0, OWASP API Security Top 10 và NIST SP 800-63-4 cho identity/authentication. Với portfolio, mục tiêu thực dụng là bao phủ control có rủi ro cao và đưa bằng chứng vào CI/runbook, không tuyên bố certification. [R34–R36]</w:t>
      </w:r>
    </w:p>
    <w:p>
      <w:pPr>
        <w:pStyle w:val="Heading2"/>
      </w:pPr>
      <w:r>
        <w:t>12.1 Trust boundaries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Internet/browser ↔ Cloudflare/Gateway; access token không tin cậy cho đến khi validate issuer/aud/exp/signature.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Gateway ↔ services; service-to-service token/audience riêng, network ingress hạn chế.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Services ↔ database/object/Redis/PubSub; least privilege identity, TLS, secret rotation.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External VNPAY/STAC/Polygon; timeout, allowlist, signature, SSRF protection, circuit breaker và reconciliation.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AI artifact/evidence; file content không tin cậy, model/supply-chain provenance và resource quotas.</w:t>
      </w:r>
    </w:p>
    <w:p>
      <w:pPr>
        <w:pStyle w:val="Heading2"/>
      </w:pPr>
      <w:r>
        <w:t>12.2 Threat register ưu tiên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650"/>
        <w:gridCol w:w="2500"/>
        <w:gridCol w:w="950"/>
        <w:gridCol w:w="5260"/>
      </w:tblGrid>
      <w:tr>
        <w:trPr>
          <w:tblHeader w:val="true"/>
          <w:cantSplit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ID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Threat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Risk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Controls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Forged/replayed VNPAY IPN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Critical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HMAC canonicalization, row lock, semantic checks, unique inbox, query recon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Double issue/spend/retire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Critical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Reservation, serial exclusion, DB transaction, business unique refs, concurrency tests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BOLA/tenant escape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Critical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Org scope ở service/repository, deny-by-default, authorization matrix tests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Operator/admin takeover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MFA, maker/checker, short session, re-auth, audit, alert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Secret/signer key leak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Critical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Secret Manager/KMS, OIDC CI, scan, rotate, no log, testnet-only key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Malicious upload/file bomb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Presigned policy, MIME magic, size/decompress limits, AV, quarantine, async parse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SSRF via URI/STAC/webhook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No arbitrary URL; host allowlist; egress policy; block private IP/redirect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Fake/duplicate/GPS photo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Checksum/pHash, EXIF consistency, geofence, reviewer flags, provenance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AI low-confidence/bias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Uncertainty/OOD, slices, model card, human gate, override/drift metrics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Wallet signature replay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SIWE nonce TTL/atomic consume/domain/chain/expiry/session binding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Smart contract admin abuse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AccessControl, Pausable, roles, testnet, event monitoring, no legal asset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PII leakage in logs/chain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Redaction, structured allowlist, hash-only chain, DLP review, retention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Outbox/event duplication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Medium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Inbox unique, idempotent handler, DLQ, replay runbook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T14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Dependency/image compromise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High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Lock/BOM, Dependabot, SBOM, CodeQL, Trivy, signature/provenance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T15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Resource/AI cost DoS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Medium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Quota, rate limit, bounded polygon/file, async queue, max instances, budget alert</w:t>
            </w:r>
          </w:p>
        </w:tc>
      </w:tr>
    </w:tbl>
    <w:p>
      <w:pPr>
        <w:spacing w:after="20"/>
      </w:pPr>
    </w:p>
    <w:p>
      <w:pPr>
        <w:pStyle w:val="Heading2"/>
      </w:pPr>
      <w:r>
        <w:t>12.3 Authentication và authorization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Control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Thiết kế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OIDC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Keycloak realm; Authorization Code + PKCE; access token ngắn; refresh rotation; issuer/audience validation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MFA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Required cho operator/reviewer/admin; re-auth cho issue/halt/refund/retire threshold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RBAC + tenant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Realm role coarse + domain membership/permission trong DB; org_id từ verified subject context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Maker/checker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Không cùng user cho create/approve ở issue/refund/high-value retirement; policy configurable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Service identity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OIDC workload/service account token; audience per service; không shared static API key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Session/browser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Secure/HttpOnly/SameSite cookie nếu BFF; CSP; CSRF token khi cookie auth; no token localStorage nếu có thể</w:t>
            </w:r>
          </w:p>
        </w:tc>
      </w:tr>
    </w:tbl>
    <w:p>
      <w:pPr>
        <w:spacing w:after="20"/>
      </w:pPr>
    </w:p>
    <w:p>
      <w:pPr>
        <w:pStyle w:val="Heading2"/>
      </w:pPr>
      <w:r>
        <w:t>12.4 Data protection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TLS everywhere; provider/DB/object encryption at rest; field-level encryption chỉ cho raw provider payload cần giữ.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Không log access token, HMAC secret, full IPN, email, object signed URL, wallet signature hoặc model input chứa PII.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Public catalog dùng projection đã redacted; evidence mặc định private và signed URL TTL ngắn.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Export/delete account có workflow; financial/demo ledger giữ pseudonymous subject và audit reason theo retention policy.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Backup mã hoá, restore test; secrets rotate; seed data hoàn toàn synthetic.</w:t>
      </w:r>
    </w:p>
    <w:p>
      <w:pPr>
        <w:pStyle w:val="Heading2"/>
      </w:pPr>
      <w:r>
        <w:t>12.5 Security verification gates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5000"/>
        <w:gridCol w:w="2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Gate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Tool / evidence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Tần suất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SAST/secret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CodeQL, Semgrep optional, Gitleaks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Mỗi PR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Dependency/SBOM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Dependabot, Dependency Review, CycloneDX/Syft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Mỗi PR/release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Image/IaC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Trivy image/fs/config; OpenTofu plan review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Mỗi build/deploy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DAST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OWASP ZAP baseline trên staging; payment negative fixtures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Hằng tuần/release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AuthZ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Parameterized role × tenant API tests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Mỗi PR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Contract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OpenAPI diff; event schema compatibility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Mỗi PR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Smart contract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Foundry unit/fuzz/invariant; Slither optional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Mỗi contract change</w:t>
            </w:r>
          </w:p>
        </w:tc>
      </w:tr>
    </w:tbl>
    <w:p>
      <w:pPr>
        <w:spacing w:after="20"/>
      </w:pPr>
    </w:p>
    <w:p>
      <w:pPr>
        <w:pStyle w:val="Heading1"/>
      </w:pPr>
      <w:r>
        <w:t>14. Chiến lược kiểm thử và quality gates</w:t>
      </w:r>
    </w:p>
    <w:p>
      <w:pPr>
        <w:pStyle w:val="Heading2"/>
      </w:pPr>
      <w:r>
        <w:t>14.1 Test portfolio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450"/>
        <w:gridCol w:w="4350"/>
        <w:gridCol w:w="35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Lớp</w:t>
            </w:r>
          </w:p>
        </w:tc>
        <w:tc>
          <w:tcPr>
            <w:tcW w:type="dxa" w:w="4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Phạm vi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Công cụ / tiêu chí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Unit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Domain aggregate, state transition, pricing/matching, hash canonicalization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JUnit/AssertJ; property tests cho quantity/journal; Vitest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Module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Spring Modulith boundaries/events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ApplicationModuleTest; ArchUnit; cycle = build fail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Integration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PostgreSQL/PostGIS, Redis, outbox/inbox, locking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Testcontainers; không H2; migration from zero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Provider contract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VNPAY fixtures, STAC, Polygon RPC, AI callback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WireMock/recorded sanitized fixtures; negative/timing/retry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API contract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OpenAPI 3.1 + Problem Details + backward compatibility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REST Assured; schema validation; openapi-diff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E2E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North-star + role/tenant + failure recovery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Playwright; seeded environment; screenshots/video on fail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Performance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 concurrency, catalog, IPN burst, AI queue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k6/Gatling; warm/cold separately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Security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AuthZ matrix, upload, SSRF, SAST/SCA/DAST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CodeQL/Gitleaks/Trivy/ZAP + custom tests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Contract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Foundry unit/fuzz/invariant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Duplicate anchor, role, pause, event, gas sanity</w:t>
            </w:r>
          </w:p>
        </w:tc>
      </w:tr>
    </w:tbl>
    <w:p>
      <w:pPr>
        <w:spacing w:after="20"/>
      </w:pPr>
    </w:p>
    <w:p>
      <w:pPr>
        <w:pStyle w:val="Heading2"/>
      </w:pPr>
      <w:r>
        <w:t>14.2 Critical invariant tests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Generate random reserve/fill/cancel/retire sequences: bucket nào cũng không âm và tổng quantity luôn bảo toàn.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Generate random double-entry journals: debit = credit; retry/correction không làm thay đổi net ngoài ý định.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100 concurrent sell/retire cùng position: tối đa available quantity được commit; không overspend.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Duplicate/out-of-order VNPAY IPN: đúng một funding journal; mismatch vào manual review.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Crash points của outbox/consumer: before commit, after commit before publish, after side effect before ACK; kết quả cuối idempotent.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Anchor submit timeout/reorg: domain vẫn terminal; reconcile tạo receipt đúng một lần.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AI golden fixtures: cùng input/model version cho output deterministic trong tolerance; schema không drift.</w:t>
      </w:r>
    </w:p>
    <w:p>
      <w:pPr>
        <w:pStyle w:val="Heading2"/>
      </w:pPr>
      <w:r>
        <w:t>14.3 Traceability matrix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50"/>
        <w:gridCol w:w="4400"/>
        <w:gridCol w:w="311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Requirement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Test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Metric / evidence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FR-06 / NFR-01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Issuance serial overlap + quantity conservation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DB constraint + CI invariant report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FR-07/08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Concurrent match/cancel/settle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No duplicate fill; journal balance = 0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FR-09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VNPAY valid/invalid/duplicate/out-of-order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Duplicate funding count = 0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FR-04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Low confidence/OOD/conflict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100% routed to human review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FR-11/12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Retire then anchor fail/retry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Terminal balance stable; one confirmed receipt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NFR-04/05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Role × tenant; log/chain inspection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0 BOLA; 0 known PII leak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NFR-03/07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Load + provider timeout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P95/SLO dashboard; circuit state; DLQ</w:t>
            </w:r>
          </w:p>
        </w:tc>
      </w:tr>
    </w:tbl>
    <w:p>
      <w:pPr>
        <w:spacing w:after="20"/>
      </w:pPr>
    </w:p>
    <w:p>
      <w:pPr>
        <w:pStyle w:val="Heading2"/>
      </w:pPr>
      <w:r>
        <w:t>14.4 CI quality gates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PR: format/lint/typecheck → unit/ArchUnit → Testcontainers integration → contract/security scans → build images → preview smoke.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Main: SBOM + image scan → push immutable digest → OpenTofu plan/apply staging bằng GitHub OIDC → migrations → smoke/health.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Release tag: manual approval → promote cùng image digest; rollback bằng Cloud Run revision, không rebuild.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Không gate bằng coverage % duy nhất; critical modules cần branch/property/concurrency tests và mutation testing là stretch.</w:t>
      </w:r>
    </w:p>
    <w:p>
      <w:pPr>
        <w:pStyle w:val="Heading2"/>
      </w:pPr>
      <w:r>
        <w:t>14.5 Security and AI release gates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600"/>
        <w:gridCol w:w="4350"/>
        <w:gridCol w:w="341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Gate</w:t>
            </w:r>
          </w:p>
        </w:tc>
        <w:tc>
          <w:tcPr>
            <w:tcW w:type="dxa" w:w="4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Blocking condition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Bằng chứng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Authorization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BOLA/tenant escape hoặc reviewer tự duyệt resource của mình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Negative integration tests + audit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Chữ ký sai vẫn accepted; IPN trùng credit hai lần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Contract fixture + duplicate test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Ledger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Journal lệch hoặc available âm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Property/concurrency tests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Secrets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Secret/token/private key xuất hiện trong log/repo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Gitleaks + redaction tests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governance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lưu input/model version/uncertainty hoặc model tự APPROVE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 record + reviewer decision test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Object public, checksum không kiểm hoặc file quarantined vẫn submit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Storage policy + malware/checksum tests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Recovery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Replay event tạo side effect thứ hai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Inbox/outbox replay test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14.6 AI model card tối thiểu</w:t>
      </w:r>
    </w:p>
    <w:p>
      <w:pPr>
        <w:pStyle w:val="ListBullet"/>
        <w:spacing w:after="80" w:line="300" w:lineRule="auto"/>
        <w:numPr>
          <w:ilvl w:val="0"/>
          <w:numId w:val="16"/>
        </w:numPr>
      </w:pPr>
      <w:r>
        <w:rPr>
          <w:lang w:val="vi-VN"/>
        </w:rPr>
        <w:t>Purpose: pre-screen evidence quality/risk; không ước lượng chính thức hay tự issue.</w:t>
      </w:r>
    </w:p>
    <w:p>
      <w:pPr>
        <w:pStyle w:val="ListBullet"/>
        <w:spacing w:after="80" w:line="300" w:lineRule="auto"/>
        <w:numPr>
          <w:ilvl w:val="0"/>
          <w:numId w:val="16"/>
        </w:numPr>
      </w:pPr>
      <w:r>
        <w:rPr>
          <w:lang w:val="vi-VN"/>
        </w:rPr>
        <w:t>Inputs: polygon, time range, STAC item IDs, cloud mask, evidence manifest hash và preprocessing version.</w:t>
      </w:r>
    </w:p>
    <w:p>
      <w:pPr>
        <w:pStyle w:val="ListBullet"/>
        <w:spacing w:after="80" w:line="300" w:lineRule="auto"/>
        <w:numPr>
          <w:ilvl w:val="0"/>
          <w:numId w:val="16"/>
        </w:numPr>
      </w:pPr>
      <w:r>
        <w:rPr>
          <w:lang w:val="vi-VN"/>
        </w:rPr>
        <w:t>Outputs: risk score, quality score, confidence, uncertainty, OOD flags, highlighted areas và rationale.</w:t>
      </w:r>
    </w:p>
    <w:p>
      <w:pPr>
        <w:pStyle w:val="ListBullet"/>
        <w:spacing w:after="80" w:line="300" w:lineRule="auto"/>
        <w:numPr>
          <w:ilvl w:val="0"/>
          <w:numId w:val="16"/>
        </w:numPr>
      </w:pPr>
      <w:r>
        <w:rPr>
          <w:lang w:val="vi-VN"/>
        </w:rPr>
        <w:t>Evaluation slices: project type, season, cloud ratio, polygon size, geography và synthetic corruption.</w:t>
      </w:r>
    </w:p>
    <w:p>
      <w:pPr>
        <w:pStyle w:val="ListBullet"/>
        <w:spacing w:after="80" w:line="300" w:lineRule="auto"/>
        <w:numPr>
          <w:ilvl w:val="0"/>
          <w:numId w:val="16"/>
        </w:numPr>
      </w:pPr>
      <w:r>
        <w:rPr>
          <w:lang w:val="vi-VN"/>
        </w:rPr>
        <w:t>Human gate: low confidence, OOD, conflict hoặc missing evidence bắt buộc MANUAL_REVIEW.</w:t>
      </w:r>
    </w:p>
    <w:p>
      <w:pPr>
        <w:pStyle w:val="ListBullet"/>
        <w:spacing w:after="80" w:line="300" w:lineRule="auto"/>
        <w:numPr>
          <w:ilvl w:val="0"/>
          <w:numId w:val="16"/>
        </w:numPr>
      </w:pPr>
      <w:r>
        <w:rPr>
          <w:lang w:val="vi-VN"/>
        </w:rPr>
        <w:t>Monitoring: data drift, missingness, latency, failure rate, override rate và reviewer disagreement.</w:t>
      </w:r>
    </w:p>
    <w:sectPr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GLX-SEC-001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GLX-SEC-001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33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4F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8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XKicker">
    <w:name w:val="GLX Kicker"/>
    <w:pPr>
      <w:spacing w:after="160"/>
    </w:pPr>
    <w:rPr>
      <w:rFonts w:ascii="Calibri" w:hAnsi="Calibri"/>
      <w:b/>
      <w:color w:val="147D64"/>
      <w:sz w:val="20"/>
    </w:rPr>
  </w:style>
  <w:style w:type="paragraph" w:customStyle="1" w:styleId="GLXCaption">
    <w:name w:val="GLX Caption"/>
    <w:pPr>
      <w:spacing w:before="60" w:after="140"/>
      <w:jc w:val="center"/>
    </w:pPr>
    <w:rPr>
      <w:rFonts w:ascii="Calibri" w:hAnsi="Calibri"/>
      <w:i/>
      <w:color w:val="5B6870"/>
      <w:sz w:val="17"/>
    </w:rPr>
  </w:style>
  <w:style w:type="paragraph" w:customStyle="1" w:styleId="GLXCode">
    <w:name w:val="GLX Code"/>
    <w:pPr>
      <w:spacing w:after="0" w:line="240" w:lineRule="auto"/>
    </w:pPr>
    <w:rPr>
      <w:rFonts w:ascii="Consolas" w:hAnsi="Consolas"/>
      <w:color w:val="23333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GreenLedger Exchange - Security, AI Governance &amp; Test Strategy</dc:title>
  <dc:subject>Định nghĩa hệ thống thất bại an toàn, AI không tự chứng nhận và test chứng minh các bất biến.</dc:subject>
  <dc:creator/>
  <cp:keywords>GLX, carbon credit, Spring Boot, Vue, banking-grade ledger, VNPAY, AI, blockchain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