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80"/>
        <w:jc w:val="center"/>
      </w:pPr>
      <w:r>
        <w:rPr>
          <w:rFonts w:ascii="Calibri" w:hAnsi="Calibri"/>
          <w:b/>
          <w:color w:val="147D64"/>
          <w:sz w:val="20"/>
          <w:lang w:val="vi-VN"/>
        </w:rPr>
        <w:t>GLX PRE-CODE TECHNICAL DESIGN PACK  |  VOLUME 5/5</w:t>
      </w:r>
    </w:p>
    <w:p>
      <w:pPr>
        <w:spacing w:after="200"/>
        <w:jc w:val="center"/>
      </w:pPr>
      <w:r>
        <w:rPr>
          <w:rFonts w:ascii="Calibri" w:hAnsi="Calibri"/>
          <w:b/>
          <w:color w:val="0B4F43"/>
          <w:sz w:val="54"/>
          <w:lang w:val="vi-VN"/>
        </w:rPr>
        <w:t>Cloud, DevOps, Roadmap &amp; Runbook</w:t>
      </w:r>
    </w:p>
    <w:p>
      <w:pPr>
        <w:spacing w:after="440"/>
        <w:jc w:val="center"/>
      </w:pPr>
      <w:r>
        <w:rPr>
          <w:rFonts w:ascii="Calibri" w:hAnsi="Calibri"/>
          <w:b w:val="0"/>
          <w:i/>
          <w:color w:val="5B6870"/>
          <w:sz w:val="28"/>
          <w:lang w:val="vi-VN"/>
        </w:rPr>
        <w:t>Môi trường, observability, CI/CD, ADR, vận hành và kế hoạch 8-12 tuần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2E74B5"/>
            </w:tcBorders>
          </w:tcPr>
          <w:p>
            <w:pPr>
              <w:spacing w:after="40"/>
              <w:keepNext/>
            </w:pPr>
            <w:r>
              <w:rPr>
                <w:b/>
                <w:color w:val="2E74B5"/>
                <w:lang w:val="vi-VN"/>
              </w:rPr>
              <w:t>Mục đích kiểm soát</w:t>
            </w:r>
          </w:p>
          <w:p>
            <w:pPr>
              <w:spacing w:after="0"/>
            </w:pPr>
            <w:r>
              <w:t>Baseline delivery cho một cá nhân: free-first, có thể khôi phục và có demo failure path. Đây là tài liệu thiết kế cho sandbox/portfolio, không phải hồ sơ xin phép sàn, core banking production hoặc chứng nhận tín chỉ carbon.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 control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Thuộc tính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8"/>
                <w:lang w:val="vi-VN"/>
              </w:rPr>
              <w:t>Giá trị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Document ID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GLX-OPS-001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Phiên bản / trạng thái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v1.0 / Baseline for implementation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Snapshot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28/08/2026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Phạm vi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Dossier sections 13, 15, 16, 18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Đối tượng đọc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Tác giả dự án, technical reviewer và người phỏng vấn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Thay đổi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8"/>
                <w:lang w:val="vi-VN"/>
              </w:rPr>
              <w:t>Cập nhật bằng ADR hoặc pull request; không sửa âm thầm bất biến đã baseline</w:t>
            </w:r>
          </w:p>
        </w:tc>
      </w:tr>
    </w:tbl>
    <w:p>
      <w:pPr>
        <w:spacing w:after="20"/>
      </w:pPr>
    </w:p>
    <w:p>
      <w:pPr>
        <w:pStyle w:val="Heading2"/>
      </w:pPr>
      <w:r>
        <w:t>Quan hệ trong bộ hồ sơ</w:t>
      </w:r>
    </w:p>
    <w:p>
      <w:pPr>
        <w:spacing w:after="120"/>
      </w:pPr>
      <w:r>
        <w:rPr>
          <w:rFonts w:ascii="Calibri" w:hAnsi="Calibri"/>
          <w:b/>
          <w:color w:val="1F4D78"/>
          <w:sz w:val="18"/>
          <w:lang w:val="vi-VN"/>
        </w:rPr>
        <w:t>V1 Requirements  -&gt;  V2 Architecture/Data  -&gt;  V3 Ledger/API  -&gt;  V4 Security/AI/Test  -&gt;  V5 Cloud/DevOps/Runbook</w:t>
      </w:r>
    </w:p>
    <w:p>
      <w:pPr>
        <w:spacing w:before="160"/>
        <w:jc w:val="center"/>
      </w:pPr>
      <w:r>
        <w:rPr>
          <w:rFonts w:ascii="Calibri" w:hAnsi="Calibri"/>
          <w:b/>
          <w:color w:val="5B6870"/>
          <w:sz w:val="18"/>
          <w:lang w:val="vi-VN"/>
        </w:rPr>
        <w:t>GreenLedger Exchange (GLX)  |  v1.0  |  28/08/2026</w:t>
      </w:r>
    </w:p>
    <w:p>
      <w:r>
        <w:br w:type="page"/>
      </w:r>
    </w:p>
    <w:p>
      <w:pPr>
        <w:pStyle w:val="Heading1"/>
      </w:pPr>
      <w:r>
        <w:t>0. Cách sử dụng tài liệu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Local-first và free-first; production-like controls chỉ thêm khi tạo bằng chứng portfolio rõ ràng.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Mỗi dependency phải có health, timeout, retry budget, alert và runbook.</w:t>
      </w:r>
    </w:p>
    <w:p>
      <w:pPr>
        <w:pStyle w:val="ListBullet"/>
        <w:spacing w:after="80" w:line="300" w:lineRule="auto"/>
        <w:numPr>
          <w:ilvl w:val="0"/>
          <w:numId w:val="10"/>
        </w:numPr>
      </w:pPr>
      <w:r>
        <w:rPr>
          <w:lang w:val="vi-VN"/>
        </w:rPr>
        <w:t>Roadmap ưu tiên vertical slice và failure demo; Kubernetes/multi-region không thuộc MVP.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B7791F"/>
            </w:tcBorders>
          </w:tcPr>
          <w:p>
            <w:pPr>
              <w:spacing w:after="40"/>
              <w:keepNext/>
            </w:pPr>
            <w:r>
              <w:rPr>
                <w:b/>
                <w:color w:val="B7791F"/>
                <w:lang w:val="vi-VN"/>
              </w:rPr>
              <w:t>Quy tắc baseline</w:t>
            </w:r>
          </w:p>
          <w:p>
            <w:pPr>
              <w:spacing w:after="0"/>
            </w:pPr>
            <w:r>
              <w:t>Nếu code khác tài liệu, pull request phải cập nhật contract/ADR cùng lúc. Nếu chưa quyết định, đánh dấu OPEN DECISION và dùng fake adapter; không che giả định bằng code ngầm.</w:t>
            </w:r>
          </w:p>
        </w:tc>
      </w:tr>
    </w:tbl>
    <w:p>
      <w:pPr>
        <w:spacing w:after="20"/>
      </w:pPr>
    </w:p>
    <w:p>
      <w:pPr>
        <w:pStyle w:val="Heading1"/>
      </w:pPr>
      <w:r>
        <w:t>13. Cloud, observability, SLO và chi phí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612452"/>
            <wp:docPr id="1" name="Picture 1" title="Hình 8 — Deployment topology free-first" descr="Vue và R2 ở Cloudflare; bốn service chạy Cloud Run Singapore; Neon, Upstash, VNPAY, Polygon, CI/CD và Grafana Cloud là managed dependenc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ploy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8 — Deployment topology free-first</w:t>
      </w:r>
    </w:p>
    <w:p>
      <w:pPr>
        <w:pStyle w:val="Heading2"/>
      </w:pPr>
      <w:r>
        <w:t>13.1 Environment matrix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300"/>
        <w:gridCol w:w="2900"/>
        <w:gridCol w:w="2900"/>
        <w:gridCol w:w="22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Environment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Runtime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Data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Mục đích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local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Docker Compose; services từ IDE/container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PostgreSQL/PostGIS, Redis, MinIO, Pub/Sub emulator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Development, integration, deterministic seed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GitHub hosted runner + Testcontainers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Ephemeral containers/emulators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Unit/integration/security/contract/build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staging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Cloud Run min=0 max=1–2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Neon Free, Upstash Free, R2, Pub/Sub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Public CV demo; synthetic only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production-like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Không bắt buộc; Railway/VM nếu cần always-on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Managed/backup có phí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Chỉ sau MVP, không xử lý giá trị thật</w:t>
            </w:r>
          </w:p>
        </w:tc>
      </w:tr>
    </w:tbl>
    <w:p>
      <w:pPr>
        <w:spacing w:after="20"/>
      </w:pPr>
    </w:p>
    <w:p>
      <w:pPr>
        <w:pStyle w:val="Heading2"/>
      </w:pPr>
      <w:r>
        <w:t>13.2 Free-first cost snapshot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000"/>
        <w:gridCol w:w="4400"/>
        <w:gridCol w:w="296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Thành phần</w:t>
            </w:r>
          </w:p>
        </w:tc>
        <w:tc>
          <w:tcPr>
            <w:tcW w:type="dxa" w:w="4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Free/low-cost snapshot 28/08/2026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Guardrail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Cloudflare Pages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500 builds/tháng ở Free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Deploy main only; preview có cleanup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Cloudflare R2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10 GB-month; 1M Class A; 10M Class B; free egress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Lifecycle temp upload; object size cap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Cloud Run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Free request quota có điều kiện; billing account bắt buộc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min=0, max=1–2, CPU/request, budget alert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Pub/Sub/Scheduler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Free allowance đủ demo low traffic; 3 scheduler jobs free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Batch outbox; DLQ retention nhỏ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Neon Free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100 CU-hours/project; 0.5 GB/project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Pool 2–5; prune seed/raster metadata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Upstash Redis Free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256 MB; 500k commands/tháng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TTL; cache only; track command usage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Grafana Cloud Free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10k series; 50 GB logs/traces; 3 users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Drop noisy labels; sampling; no PII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Polygon Amoy + RPC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Testnet + provider free tier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Rate limit, cache receipt, no mainnet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GitHub Actions/GHCR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Public repo favorable; private minutes limited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Cache Maven/npm; artifact retention 7 days</w:t>
            </w:r>
          </w:p>
        </w:tc>
      </w:tr>
    </w:tbl>
    <w:p>
      <w:pPr>
        <w:spacing w:after="20"/>
      </w:pP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FF4D6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B7791F"/>
            </w:tcBorders>
          </w:tcPr>
          <w:p>
            <w:pPr>
              <w:spacing w:after="40"/>
              <w:keepNext/>
            </w:pPr>
            <w:r>
              <w:rPr>
                <w:b/>
                <w:color w:val="B7791F"/>
                <w:lang w:val="vi-VN"/>
              </w:rPr>
              <w:t>Ngân sách</w:t>
            </w:r>
          </w:p>
          <w:p>
            <w:pPr>
              <w:spacing w:after="0"/>
            </w:pPr>
            <w:r>
              <w:t>Mục tiêu thực tế low traffic là 0–5 USD/tháng, nhưng cấu hình cảnh báo 10 USD và ngân sách an toàn 10–20 USD. Budget alert không phải hard cap; max-instances, quotas, rate limits và object lifecycle mới là hàng rào. Giá/free tier có thể đổi — luôn kiểm tra lại trước deploy. [R37–R48]</w:t>
            </w:r>
          </w:p>
        </w:tc>
      </w:tr>
    </w:tbl>
    <w:p>
      <w:pPr>
        <w:spacing w:after="20"/>
      </w:pPr>
    </w:p>
    <w:p>
      <w:pPr>
        <w:pStyle w:val="Heading2"/>
      </w:pPr>
      <w:r>
        <w:t>13.3 Alternative deployment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3000"/>
        <w:gridCol w:w="1750"/>
        <w:gridCol w:w="241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Profile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Khi dùng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Ước tính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Trade-off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 — Cloud Run free-first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CV demo truy cập không liên tục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0–5 USD/tháng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Cold start; billing account; vendor adapter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 — Railway + CloudAMQP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Muốn RabbitMQ consumer always-on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5 USD minimum, thực tế 15–30 với nhiều JVM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Dễ hiểu; phí tăng theo runtime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 — Một VM/OCI Always Free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Chấp nhận tự vận hành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Có thể 0 USD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Capacity không chắc; tự harden/backup/TLS/patch</w:t>
            </w:r>
          </w:p>
        </w:tc>
      </w:tr>
    </w:tbl>
    <w:p>
      <w:pPr>
        <w:spacing w:after="20"/>
      </w:pPr>
    </w:p>
    <w:p>
      <w:pPr>
        <w:pStyle w:val="Heading2"/>
      </w:pPr>
      <w:r>
        <w:t>13.4 Observability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300"/>
        <w:gridCol w:w="5050"/>
        <w:gridCol w:w="301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Signal</w:t>
            </w:r>
          </w:p>
        </w:tc>
        <w:tc>
          <w:tcPr>
            <w:tcW w:type="dxa" w:w="5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Bắt buộc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Không được chứa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Logs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JSON; timestamp, service, env, level, trace_id, correlation_id, event/code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Token, secret, email, full IPN, signed URL, raw evidence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Metrics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RED; JVM/DB pool; cache hit; outbox lag; payment mismatch; ledger imbalance; AI queue; chain confirmation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High-cardinality user/order/trace labels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Traces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Gateway → Java services → DB/Redis/PubSub/AI/provider/RPC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Payload/body/PII mặc định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Audit</w:t>
            </w:r>
          </w:p>
        </w:tc>
        <w:tc>
          <w:tcPr>
            <w:tcW w:type="dxa" w:w="50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Actor, permission, resource, action, reason, before/after hash, trace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Secret/raw sensitive field</w:t>
            </w:r>
          </w:p>
        </w:tc>
      </w:tr>
    </w:tbl>
    <w:p>
      <w:pPr>
        <w:spacing w:after="20"/>
      </w:pPr>
    </w:p>
    <w:p>
      <w:pPr>
        <w:pStyle w:val="Heading2"/>
      </w:pPr>
      <w:r>
        <w:t>13.5 SLO và alert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3100"/>
        <w:gridCol w:w="43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SLI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SLO staging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Alert / action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API availability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99.0% / 30 ngày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5xx &gt;5% 5 phút; rollback revision/check provider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Warm latency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P95 read &lt;700 ms; command &lt;1.5 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DB pool/slow query/trace review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Outbox delivery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99% &lt;60 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oldest unpublished &gt;2 phút; restart publisher/DLQ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 integrity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0 unreviewed mismatch &gt;15 phút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freeze funding path; query provider; reconcile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Ledger integrity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0 imbalance/negative invariant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SEV-1: halt instrument; snapshot; no manual SQL fix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job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95% &lt;5 phút cho demo polygon nhỏ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Queue/error/cost; degrade to manual review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Chain anchor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95% confirmed &lt;10 phút testnet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RPC/nonce/reorg; remain ANCHOR_PENDING</w:t>
            </w:r>
          </w:p>
        </w:tc>
      </w:tr>
    </w:tbl>
    <w:p>
      <w:pPr>
        <w:spacing w:after="20"/>
      </w:pPr>
    </w:p>
    <w:p>
      <w:pPr>
        <w:pStyle w:val="Heading2"/>
      </w:pPr>
      <w:r>
        <w:t>13.6 Backup / recovery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Mục tiêu demo: RPO 24 giờ, RTO 4 giờ; Neon restore window theo plan, cộng weekly logical dump đã mã hoá nếu cần.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Object evidence dùng versioning/lifecycle; manifest hash giúp kiểm tra integrity; không coi chain là backup dữ liệu.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Mỗi tháng chạy restore drill: database mới → migrations → seed/config → reconciliation → smoke journey.</w:t>
      </w:r>
    </w:p>
    <w:p>
      <w:pPr>
        <w:pStyle w:val="ListBullet"/>
        <w:spacing w:after="80" w:line="300" w:lineRule="auto"/>
        <w:numPr>
          <w:ilvl w:val="0"/>
          <w:numId w:val="11"/>
        </w:numPr>
      </w:pPr>
      <w:r>
        <w:rPr>
          <w:lang w:val="vi-VN"/>
        </w:rPr>
        <w:t>Runbook cấm sửa ledger trực tiếp; correction bằng reversing journal có approval và audit.</w:t>
      </w:r>
    </w:p>
    <w:p>
      <w:pPr>
        <w:pStyle w:val="Heading1"/>
      </w:pPr>
      <w:r>
        <w:t>15. Lộ trình 8–12 tuần</w:t>
      </w:r>
    </w:p>
    <w:p>
      <w:pPr>
        <w:spacing w:after="0"/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897880" cy="3243834"/>
            <wp:docPr id="2" name="Picture 2" title="Hình 9 — Lộ trình 12 tuần với mốc MVP core ở tuần 8" descr="Timeline bảy workstream từ foundation, registry, AI, market/ledger, VNPAY/blockchain, security/quality đến deploy/CV de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4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LXCaption"/>
        <w:keepLines/>
      </w:pPr>
      <w:r>
        <w:t>Hình 9 — Lộ trình 12 tuần với mốc MVP core ở tuần 8</w:t>
      </w:r>
    </w:p>
    <w:p>
      <w:r>
        <w:rPr>
          <w:lang w:val="vi-VN"/>
        </w:rPr>
        <w:t>Giả định 12–15 giờ/tuần, tổng 145–175 giờ. Nếu chỉ có 8 tuần, dừng ở hash anchor mock, bỏ wallet/contract thật, dùng rule-based AI và rút hardening xuống các invariant/security test cốt lõi. 12 tuần là mốc khuyến nghị để dự án không chỉ chạy mà còn có bằng chứng chất lượng.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650"/>
        <w:gridCol w:w="1700"/>
        <w:gridCol w:w="4550"/>
        <w:gridCol w:w="2460"/>
      </w:tblGrid>
      <w:tr>
        <w:trPr>
          <w:tblHeader w:val="true"/>
          <w:cantSplit/>
        </w:trPr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Tuần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Theme</w:t>
            </w:r>
          </w:p>
        </w:tc>
        <w:tc>
          <w:tcPr>
            <w:tcW w:type="dxa" w:w="4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Deliverables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Exit criteria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Foundation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Monorepo, ADR-001, Compose, Java/Vue skeleton, Keycloak, CI basic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Health/login/trace chạy local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Identity + platform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Org/RBAC, gateway, Problem Details, migrations, seed, OTel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Tenant isolation tests pass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 + evidence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Project/boundary/PostGIS, upload/R2, checksum/MIME/scan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Create → upload → submit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Review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Checklist/finding/decision, snapshot, audit, reviewer UI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Human review end-to-end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AI baseline + issuance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STAC/Sentinel features, result schema, quality gates, GLX-DEMO batch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Assessment → issue with invariants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Market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Instrument/catalog, order/reservation, basic matcher, book UI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Buy/sell LIMIT + partial fill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Ledger + VNPAY start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Double-entry, DvP, payment attempt/redirect, fixtures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Trade settles; journal audit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Core MVP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VNPAY IPN/idempotency/query, retirement, certificate demo, core Playwright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North-star core demo — 2 tháng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Wallet + chain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SIWE link, Polygon Amoy anchor, receipt/reconcile, Foundry tests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Retirement receipt public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Security + ops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Threat controls, ZAP, dashboard/alerts, halt/recon/admin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Security/ops evidence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W11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Hardening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Concurrency/load, backup restore, failure drills, a11y, cost guardrails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Release candidate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Portfolio polish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README/docs/ADR/model card/video/CV bullets, staging reset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CV-ready v1.0</w:t>
            </w:r>
          </w:p>
        </w:tc>
      </w:tr>
    </w:tbl>
    <w:p>
      <w:pPr>
        <w:spacing w:after="20"/>
      </w:pPr>
    </w:p>
    <w:p>
      <w:pPr>
        <w:pStyle w:val="Heading2"/>
      </w:pPr>
      <w:r>
        <w:t>15.1 Phân bổ effort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400"/>
        <w:gridCol w:w="1500"/>
        <w:gridCol w:w="1100"/>
        <w:gridCol w:w="43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Workstream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Giờ dự kiến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Tỷ lệ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Ghi chú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Product/domain/docs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14–18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10%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PRD, glossary, ADR, demo data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Backend Java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52–60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35%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Registry, market, ledger, payment, outbox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Frontend Vue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25–32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18%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Workflow-focused, không pixel-perfect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AI/geo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20–26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15%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Baseline/rules, small polygon, model card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Blockchain/wallet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12–18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10%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Hash anchor; ERC-1155 optional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DevOps/security/test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24–30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17%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Có overlap với từng sprint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Buffer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18–22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15%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Provider/cloud/library surprises</w:t>
            </w:r>
          </w:p>
        </w:tc>
      </w:tr>
    </w:tbl>
    <w:p>
      <w:pPr>
        <w:spacing w:after="20"/>
      </w:pPr>
    </w:p>
    <w:p>
      <w:pPr>
        <w:pStyle w:val="Heading2"/>
      </w:pPr>
      <w:r>
        <w:t>15.2 Phương án nén còn 8 tuần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3400"/>
        <w:gridCol w:w="3000"/>
        <w:gridCol w:w="296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Giữ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Cắt/giả lập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Không được cắt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3 Java/Python business runtimes + gateway; project/evidence/review; batch; market; ledger; VNPAY; retirement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SIWE; on-chain contract thật dùng FakeChainAdapter; CV photo model; advanced admin; Pub/Sub có thể dùng outbox polling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Tenant auth; payment HMAC/idempotency; ledger invariant; serial uniqueness; human gate; disclaimer; integration tests</w:t>
            </w:r>
          </w:p>
        </w:tc>
      </w:tr>
    </w:tbl>
    <w:p>
      <w:pPr>
        <w:spacing w:after="20"/>
      </w:pPr>
    </w:p>
    <w:p>
      <w:pPr>
        <w:pStyle w:val="Heading2"/>
      </w:pPr>
      <w:r>
        <w:t>15.3 Milestones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500"/>
        <w:gridCol w:w="1750"/>
        <w:gridCol w:w="511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Mốc</w:t>
            </w:r>
          </w:p>
        </w:tc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Ngày tương đối</w:t>
            </w:r>
          </w:p>
        </w:tc>
        <w:tc>
          <w:tcPr>
            <w:tcW w:type="dxa" w:w="5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Chứng minh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M0 — Architecture runway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Cuối W2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Login/tenant, migrations, Compose, CI, trace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M1 — Registry vertical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Cuối W5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Project → evidence → AI → review → issue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M2 — Exchange core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Cuối W8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Funding → order → DvP → retirement; core demo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M3 — Trust layer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Cuối W10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Wallet/chain receipt, security controls, recon/observability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M4 — Portfolio release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Cuối W12</w:t>
            </w:r>
          </w:p>
        </w:tc>
        <w:tc>
          <w:tcPr>
            <w:tcW w:type="dxa" w:w="51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Public staging, runbook, docs, video, CV bullets</w:t>
            </w:r>
          </w:p>
        </w:tc>
      </w:tr>
    </w:tbl>
    <w:p>
      <w:pPr>
        <w:spacing w:after="20"/>
      </w:pPr>
    </w:p>
    <w:p>
      <w:pPr>
        <w:pStyle w:val="Heading2"/>
      </w:pPr>
      <w:r>
        <w:t>15.4 Risk register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550"/>
        <w:gridCol w:w="2000"/>
        <w:gridCol w:w="600"/>
        <w:gridCol w:w="4100"/>
        <w:gridCol w:w="900"/>
        <w:gridCol w:w="1210"/>
      </w:tblGrid>
      <w:tr>
        <w:trPr>
          <w:tblHeader w:val="true"/>
          <w:cantSplit/>
        </w:trPr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ID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Risk</w:t>
            </w:r>
          </w:p>
        </w:tc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P×I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Mitigation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Owner</w:t>
            </w:r>
          </w:p>
        </w:tc>
        <w:tc>
          <w:tcPr>
            <w:tcW w:type="dxa" w:w="1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5"/>
                <w:lang w:val="vi-VN"/>
              </w:rPr>
              <w:t>Review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Scope quá rộng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5×5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Freeze P0; timebox AI/chain 1 tuần; demo vertical duy nhất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W1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Free tier/cold start/chi phí đổi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4×3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Adapters, budget/max instances, weekly cost check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W2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AI data khó/lệch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4×4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Rule baseline, small fixtures, human review, no quantity claim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AI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W4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Payment sandbox lỗi/khác docs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3×5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Fake adapter + sanitized fixtures; query/recon; no real money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W7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Ledger race/double spend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3×5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Reservation/locking/unique refs/property+concurrency tests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W6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Blockchain RPC/faucet/reorg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4×3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Async adapter, fake chain, no rollback domain, reconcile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BE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W9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Nhiều JVM vượt RAM/free quota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4×3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Cloud Run scale-zero; slim images; demo profile; max instances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Ops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W2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Security/PII leak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2×5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Synthetic data, redaction, scans, no PII chain/log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Mỗi W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Thiếu thời gian UI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4×2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PrimeVue; workflow &gt; polish; E2E critical only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FE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W6</w:t>
            </w:r>
          </w:p>
        </w:tc>
      </w:tr>
      <w:tr>
        <w:trPr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R10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Dự án nhìn như buzzword soup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3×4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Mỗi tech gắn invariant/use case; ADR/metrics/demo failure path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Owner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5"/>
                <w:lang w:val="vi-VN"/>
              </w:rPr>
              <w:t>W12</w:t>
            </w:r>
          </w:p>
        </w:tc>
      </w:tr>
    </w:tbl>
    <w:p>
      <w:pPr>
        <w:spacing w:after="20"/>
      </w:pPr>
    </w:p>
    <w:p>
      <w:pPr>
        <w:pStyle w:val="Heading1"/>
      </w:pPr>
      <w:r>
        <w:t>16. Repo, CI/CD và ADR</w:t>
      </w:r>
    </w:p>
    <w:p>
      <w:pPr>
        <w:pStyle w:val="Heading2"/>
      </w:pPr>
      <w:r>
        <w:t>16.1 Monorepo đề xuất</w:t>
      </w:r>
    </w:p>
    <w:p>
      <w:pPr>
        <w:spacing w:after="40"/>
        <w:keepNext/>
      </w:pPr>
      <w:r>
        <w:rPr>
          <w:b/>
          <w:color w:val="1F4D78"/>
          <w:sz w:val="17"/>
        </w:rPr>
        <w:t>Cấu trúc repository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5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F5F7F8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GLXCode"/>
              <w:spacing w:after="0"/>
            </w:pPr>
            <w:r>
              <w:rPr>
                <w:rFonts w:ascii="Consolas" w:hAnsi="Consolas"/>
                <w:sz w:val="16"/>
                <w:lang w:val="en-US"/>
              </w:rPr>
              <w:t>glx/</w:t>
              <w:br/>
              <w:t>├─ backend/</w:t>
              <w:br/>
              <w:t>│  ├─ gateway-bff/</w:t>
              <w:br/>
              <w:t>│  ├─ registry-mrv-service/</w:t>
              <w:br/>
              <w:t>│  ├─ exchange-service/</w:t>
              <w:br/>
              <w:t>│  └─ platform-bom/</w:t>
              <w:br/>
              <w:t>├─ ai-verification-service/</w:t>
              <w:br/>
              <w:t>├─ frontend/</w:t>
              <w:br/>
              <w:t>├─ contracts/              # Solidity + Foundry</w:t>
              <w:br/>
              <w:t>├─ schemas/                # OpenAPI, JSON Schema, examples</w:t>
              <w:br/>
              <w:t>├─ infra/                  # compose, opentofu, cloud-run</w:t>
              <w:br/>
              <w:t>├─ docs/                   # C4, ADR, threat model, runbooks</w:t>
              <w:br/>
              <w:t>├─ test-data/              # synthetic fixtures only</w:t>
              <w:br/>
              <w:t>├─ .github/workflows/</w:t>
              <w:br/>
              <w:t>└─ README.md</w:t>
            </w:r>
          </w:p>
        </w:tc>
      </w:tr>
    </w:tbl>
    <w:p>
      <w:pPr>
        <w:spacing w:after="20"/>
      </w:pPr>
    </w:p>
    <w:p>
      <w:pPr>
        <w:pStyle w:val="Heading2"/>
      </w:pPr>
      <w:r>
        <w:t>16.2 Branching và release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Trunk-based: nhánh ngắn feat/US-xxx, pull request nhỏ; main luôn deployable; feature flag cho luồng chưa hoàn thiện.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Conventional Commits + generated changelog; release tag v0.1.0, v0.2.0, v1.0.0; images gắn immutable digest/SBOM.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Database migration expand/contract; không sửa migration đã chạy; deploy app tương thích trước rồi cleanup ở release sau.</w:t>
      </w:r>
    </w:p>
    <w:p>
      <w:pPr>
        <w:pStyle w:val="ListBullet"/>
        <w:spacing w:after="80" w:line="300" w:lineRule="auto"/>
        <w:numPr>
          <w:ilvl w:val="0"/>
          <w:numId w:val="12"/>
        </w:numPr>
      </w:pPr>
      <w:r>
        <w:rPr>
          <w:lang w:val="vi-VN"/>
        </w:rPr>
        <w:t>Environment config tách code; .env.example không có secret; GitHub OIDC → GCP, không lưu service-account JSON dài hạn.</w:t>
      </w:r>
    </w:p>
    <w:p>
      <w:pPr>
        <w:pStyle w:val="Heading2"/>
      </w:pPr>
      <w:r>
        <w:t>16.3 ADR backlog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00"/>
        <w:gridCol w:w="6250"/>
        <w:gridCol w:w="191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ADR</w:t>
            </w:r>
          </w:p>
        </w:tc>
        <w:tc>
          <w:tcPr>
            <w:tcW w:type="dxa" w:w="6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Quyết định</w:t>
            </w:r>
          </w:p>
        </w:tc>
        <w:tc>
          <w:tcPr>
            <w:tcW w:type="dxa" w:w="1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7"/>
                <w:lang w:val="vi-VN"/>
              </w:rPr>
              <w:t>Status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ADR-001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4 runtime service + Spring Modulith; không service-per-entity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ADR-002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PostgreSQL operational source of truth; Redis cache only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ADR-003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Double-entry ledger + reservation cho cash/credit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ADR-004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Transactional outbox + Pub/Sub at-least-once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ADR-005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VNPAY top-up prefunded; IPN authoritative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ADR-006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Blockchain hash anchor on Amoy; ERC-1155 stretch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ADR-007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AI pre-screen; methodology engine/human issuance tách biệt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ADR-008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Cloud Run free-first; no Kubernetes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ADR-009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One Neon project, logical database-per-service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Accepted with constraint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ADR-010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Canonical manifest format và hash algorithm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To decide W3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ADR-011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BFF cookie vs SPA bearer token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To decide W2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ADR-012</w:t>
            </w:r>
          </w:p>
        </w:tc>
        <w:tc>
          <w:tcPr>
            <w:tcW w:type="dxa" w:w="62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Hash anchor only vs ERC-1155 stretch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7"/>
                <w:lang w:val="vi-VN"/>
              </w:rPr>
              <w:t>Review W9</w:t>
            </w:r>
          </w:p>
        </w:tc>
      </w:tr>
    </w:tbl>
    <w:p>
      <w:pPr>
        <w:spacing w:after="20"/>
      </w:pPr>
    </w:p>
    <w:p>
      <w:pPr>
        <w:pStyle w:val="Heading2"/>
      </w:pPr>
      <w:r>
        <w:t>16.4 Runbook tối thiểu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900"/>
        <w:gridCol w:w="3550"/>
        <w:gridCol w:w="391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Incident</w:t>
            </w:r>
          </w:p>
        </w:tc>
        <w:tc>
          <w:tcPr>
            <w:tcW w:type="dxa" w:w="3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Phản ứng đầu</w:t>
            </w:r>
          </w:p>
        </w:tc>
        <w:tc>
          <w:tcPr>
            <w:tcW w:type="dxa" w:w="3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Khôi phục / bằng chứng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Ledger imbalance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Halt instrument + funding/retirement; preserve logs/snapshot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Find journal, reverse qua approved command; invariant test; postmortem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Payment mismatch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Stop auto-credit nếu systemic; query provider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Resolve reconciliation item; no manual balance SQL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Outbox stuck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Check DB locks/publisher/PubSub quota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Replay unpublished; inbox ensures no duplicate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unavailable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Route to manual review; reject new heavy jobs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Retry bounded; switch baseline/model; record degraded mode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Chain RPC/faucet fail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Keep ANCHOR_PENDING; show truthful UI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Switch RPC; reconcile nonce/receipt; no domain rollback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Secret leak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Revoke/rotate; halt adapter; inspect audit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Re-deploy; invalidate sessions; scan history; postmortem</w:t>
            </w:r>
          </w:p>
        </w:tc>
      </w:tr>
    </w:tbl>
    <w:p>
      <w:pPr>
        <w:spacing w:after="20"/>
      </w:pPr>
    </w:p>
    <w:p>
      <w:pPr>
        <w:pStyle w:val="Heading2"/>
      </w:pPr>
      <w:r>
        <w:t>16.5 First two-week implementation board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350"/>
        <w:gridCol w:w="3800"/>
        <w:gridCol w:w="421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Ngày/nhóm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Deliverable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Exit criteria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D1-D2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Monorepo, Java/Vue/Python skeleton, Compose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Một lệnh chạy health checks local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Keycloak realm + OIDC BFF session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Login/logout, secure cookie, role claim test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D4-D5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Flyway base schema + audit/outbox/inbox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Migration clean/repeatable; Testcontainers xanh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D6-D7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 project/evidence vertical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UC-03/04 API + private object fake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D8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AI fake adapter + assessment contract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Async job/result versioned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D9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Reviewer decision + issuance outbox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Separation-of-duties test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D10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North-star slice CI + demo script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Project -&gt; evidence -&gt; review -&gt; issue chạy end-to-end</w:t>
            </w:r>
          </w:p>
        </w:tc>
      </w:tr>
    </w:tbl>
    <w:p>
      <w:pPr>
        <w:spacing w:after="20"/>
      </w:pPr>
    </w:p>
    <w:p>
      <w:pPr>
        <w:pStyle w:val="Heading2"/>
      </w:pPr>
      <w:r>
        <w:t>16.6 Operational secrets inventory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200"/>
        <w:gridCol w:w="2100"/>
        <w:gridCol w:w="2500"/>
        <w:gridCol w:w="25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Secret/config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Local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Cloud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Không được làm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OIDC client secret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.env không commit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Secret Manager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Log/token dump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VNPAY HashSecret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sandbox secret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Secret Manager + rotation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Đưa vào frontend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DB credentials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Compose user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Managed secret/IAM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Dùng superuser cho app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Polygon signer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ephemeral test key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Dedicated low-value key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Custody user seed phrase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Object storage key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MinIO dev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R2 scoped token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Bucket public</w:t>
            </w:r>
          </w:p>
        </w:tc>
      </w:tr>
    </w:tbl>
    <w:p>
      <w:pPr>
        <w:spacing w:after="20"/>
      </w:pPr>
    </w:p>
    <w:p>
      <w:pPr>
        <w:pStyle w:val="Heading1"/>
      </w:pPr>
      <w:r>
        <w:t>18. Tài liệu tham khảo và glossary</w:t>
      </w:r>
    </w:p>
    <w:p>
      <w:pPr>
        <w:pStyle w:val="Heading2"/>
      </w:pPr>
      <w:r>
        <w:t>18.1 Nguồn tham khảo</w:t>
      </w:r>
    </w:p>
    <w:p>
      <w:r>
        <w:rPr>
          <w:lang w:val="vi-VN"/>
        </w:rPr>
        <w:t>Nguồn được ưu tiên là văn bản/cơ quan chính thức và tài liệu primary của nhà cung cấp. Các mốc phiên bản, free tier và giá là snapshot ngày 28/08/2026; luôn mở lại link trước khi ra quyết định triển khai.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[R01] </w:t>
      </w:r>
      <w:hyperlink r:id="rId15">
        <w:r>
          <w:rPr>
            <w:color w:val="2E74B5"/>
            <w:u w:val="single"/>
          </w:rPr>
          <w:t>Nghị định 29/2026/NĐ-CP — Sàn giao dịch carbon trong nước</w:t>
        </w:r>
      </w:hyperlink>
      <w:r>
        <w:rPr>
          <w:color w:val="5B6870"/>
          <w:sz w:val="14"/>
        </w:rPr>
        <w:t xml:space="preserve"> — https://congbao.chinhphu.vn/van-ban/nghi-dinh-so-29-2026-nd-cp-468820.htm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[R02] </w:t>
      </w:r>
      <w:hyperlink r:id="rId16">
        <w:r>
          <w:rPr>
            <w:color w:val="2E74B5"/>
            <w:u w:val="single"/>
          </w:rPr>
          <w:t>DCC — Việt Nam khai trương sàn giao dịch carbon trong nước 29/06/2026</w:t>
        </w:r>
      </w:hyperlink>
      <w:r>
        <w:rPr>
          <w:color w:val="5B6870"/>
          <w:sz w:val="14"/>
        </w:rPr>
        <w:t xml:space="preserve"> — https://dcc.mae.gov.vn/tin-hoat-dong/viet-nam-khai-truong-san-giao-dich-carbon-trong-nuoc-3915.htm?mn=1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[R03] </w:t>
      </w:r>
      <w:hyperlink r:id="rId17">
        <w:r>
          <w:rPr>
            <w:color w:val="2E74B5"/>
            <w:u w:val="single"/>
          </w:rPr>
          <w:t>HNX — Inaugural ceremony of domestic carbon trading platform</w:t>
        </w:r>
      </w:hyperlink>
      <w:r>
        <w:rPr>
          <w:color w:val="5B6870"/>
          <w:sz w:val="14"/>
        </w:rPr>
        <w:t xml:space="preserve"> — https://www.hnx.vn/vi-vn/m-tin-tuc-hnx/Inaugural%20ceremony%20of%20domestic%20carbon%20trading%20platform-60022960-0.html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[R04] </w:t>
      </w:r>
      <w:hyperlink r:id="rId18">
        <w:r>
          <w:rPr>
            <w:color w:val="2E74B5"/>
            <w:u w:val="single"/>
          </w:rPr>
          <w:t>Nghị định 119/2025/NĐ-CP — sửa đổi giảm nhẹ phát thải và thị trường carbon</w:t>
        </w:r>
      </w:hyperlink>
      <w:r>
        <w:rPr>
          <w:color w:val="5B6870"/>
          <w:sz w:val="14"/>
        </w:rPr>
        <w:t xml:space="preserve"> — https://vanban.chinhphu.vn/?classid=1&amp;docid=213875&amp;orggroupid=2&amp;pageid=27160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[R05] </w:t>
      </w:r>
      <w:hyperlink r:id="rId19">
        <w:r>
          <w:rPr>
            <w:color w:val="2E74B5"/>
            <w:u w:val="single"/>
          </w:rPr>
          <w:t>Văn bản hợp nhất 48/VBHN-BNNMT — quy trình dự án carbon</w:t>
        </w:r>
      </w:hyperlink>
      <w:r>
        <w:rPr>
          <w:color w:val="5B6870"/>
          <w:sz w:val="14"/>
        </w:rPr>
        <w:t xml:space="preserve"> — https://datafiles.chinhphu.vn/cpp/files/vbpq/2026/4/48-vbhn-bnnmt.pdf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[R06] </w:t>
      </w:r>
      <w:hyperlink r:id="rId20">
        <w:r>
          <w:rPr>
            <w:color w:val="2E74B5"/>
            <w:u w:val="single"/>
          </w:rPr>
          <w:t>Nghị định 112/2026/NĐ-CP — trao đổi quốc tế kết quả giảm nhẹ</w:t>
        </w:r>
      </w:hyperlink>
      <w:r>
        <w:rPr>
          <w:color w:val="5B6870"/>
          <w:sz w:val="14"/>
        </w:rPr>
        <w:t xml:space="preserve"> — https://vanban.chinhphu.vn/?docid=217414&amp;pageid=27160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[R07] </w:t>
      </w:r>
      <w:hyperlink r:id="rId21">
        <w:r>
          <w:rPr>
            <w:color w:val="2E74B5"/>
            <w:u w:val="single"/>
          </w:rPr>
          <w:t>Verra — Develop a VCS Project</w:t>
        </w:r>
      </w:hyperlink>
      <w:r>
        <w:rPr>
          <w:color w:val="5B6870"/>
          <w:sz w:val="14"/>
        </w:rPr>
        <w:t xml:space="preserve"> — https://verra.org/programs/verified-carbon-standard/develop-a-vcs-project/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[R08] </w:t>
      </w:r>
      <w:hyperlink r:id="rId22">
        <w:r>
          <w:rPr>
            <w:color w:val="2E74B5"/>
            <w:u w:val="single"/>
          </w:rPr>
          <w:t>Verra — Verified Carbon Units and retirement</w:t>
        </w:r>
      </w:hyperlink>
      <w:r>
        <w:rPr>
          <w:color w:val="5B6870"/>
          <w:sz w:val="14"/>
        </w:rPr>
        <w:t xml:space="preserve"> — https://verra.org/programs/verified-carbon-standard/verified-carbon-units-vcus/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[R09] </w:t>
      </w:r>
      <w:hyperlink r:id="rId23">
        <w:r>
          <w:rPr>
            <w:color w:val="2E74B5"/>
            <w:u w:val="single"/>
          </w:rPr>
          <w:t>ICVCM — Core Carbon Principles</w:t>
        </w:r>
      </w:hyperlink>
      <w:r>
        <w:rPr>
          <w:color w:val="5B6870"/>
          <w:sz w:val="14"/>
        </w:rPr>
        <w:t xml:space="preserve"> — https://icvcm.org/core-carbon-principles/?redirect=true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[R10] </w:t>
      </w:r>
      <w:hyperlink r:id="rId24">
        <w:r>
          <w:rPr>
            <w:color w:val="2E74B5"/>
            <w:u w:val="single"/>
          </w:rPr>
          <w:t>Gold Standard Impact Registry</w:t>
        </w:r>
      </w:hyperlink>
      <w:r>
        <w:rPr>
          <w:color w:val="5B6870"/>
          <w:sz w:val="14"/>
        </w:rPr>
        <w:t xml:space="preserve"> — https://www.goldstandard.org/impact-registry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[R11] </w:t>
      </w:r>
      <w:hyperlink r:id="rId25">
        <w:r>
          <w:rPr>
            <w:color w:val="2E74B5"/>
            <w:u w:val="single"/>
          </w:rPr>
          <w:t>UNFCCC — Article 6.2 Reference Manual</w:t>
        </w:r>
      </w:hyperlink>
      <w:r>
        <w:rPr>
          <w:color w:val="5B6870"/>
          <w:sz w:val="14"/>
        </w:rPr>
        <w:t xml:space="preserve"> — https://unfccc.int/sites/default/files/resource/Article_6.2_Reference_Manual.pdf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[R12] </w:t>
      </w:r>
      <w:hyperlink r:id="rId26">
        <w:r>
          <w:rPr>
            <w:color w:val="2E74B5"/>
            <w:u w:val="single"/>
          </w:rPr>
          <w:t>Luật 91/2025/QH15 — Bảo vệ dữ liệu cá nhân</w:t>
        </w:r>
      </w:hyperlink>
      <w:r>
        <w:rPr>
          <w:color w:val="5B6870"/>
          <w:sz w:val="14"/>
        </w:rPr>
        <w:t xml:space="preserve"> — https://congbao.chinhphu.vn/van-ban/luat-so-91-2025-qh15-45578.htm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[R13] </w:t>
      </w:r>
      <w:hyperlink r:id="rId27">
        <w:r>
          <w:rPr>
            <w:color w:val="2E74B5"/>
            <w:u w:val="single"/>
          </w:rPr>
          <w:t>Spring Boot 4.1 system requirements</w:t>
        </w:r>
      </w:hyperlink>
      <w:r>
        <w:rPr>
          <w:color w:val="5B6870"/>
          <w:sz w:val="14"/>
        </w:rPr>
        <w:t xml:space="preserve"> — https://docs.spring.io/spring-boot/system-requirements.html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[R14] </w:t>
      </w:r>
      <w:hyperlink r:id="rId28">
        <w:r>
          <w:rPr>
            <w:color w:val="2E74B5"/>
            <w:u w:val="single"/>
          </w:rPr>
          <w:t>Oracle Java SE support roadmap</w:t>
        </w:r>
      </w:hyperlink>
      <w:r>
        <w:rPr>
          <w:color w:val="5B6870"/>
          <w:sz w:val="14"/>
        </w:rPr>
        <w:t xml:space="preserve"> — https://www.oracle.com/java/technologies/java-se-support-roadmap.html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[R15] </w:t>
      </w:r>
      <w:hyperlink r:id="rId29">
        <w:r>
          <w:rPr>
            <w:color w:val="2E74B5"/>
            <w:u w:val="single"/>
          </w:rPr>
          <w:t>Spring Modulith reference</w:t>
        </w:r>
      </w:hyperlink>
      <w:r>
        <w:rPr>
          <w:color w:val="5B6870"/>
          <w:sz w:val="14"/>
        </w:rPr>
        <w:t xml:space="preserve"> — https://docs.spring.io/spring-modulith/reference/index.html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[R16] </w:t>
      </w:r>
      <w:hyperlink r:id="rId30">
        <w:r>
          <w:rPr>
            <w:color w:val="2E74B5"/>
            <w:u w:val="single"/>
          </w:rPr>
          <w:t>PostgreSQL documentation / current releases</w:t>
        </w:r>
      </w:hyperlink>
      <w:r>
        <w:rPr>
          <w:color w:val="5B6870"/>
          <w:sz w:val="14"/>
        </w:rPr>
        <w:t xml:space="preserve"> — https://www.postgresql.org/docs/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[R17] </w:t>
      </w:r>
      <w:hyperlink r:id="rId31">
        <w:r>
          <w:rPr>
            <w:color w:val="2E74B5"/>
            <w:u w:val="single"/>
          </w:rPr>
          <w:t>Redis 8 — what's new</w:t>
        </w:r>
      </w:hyperlink>
      <w:r>
        <w:rPr>
          <w:color w:val="5B6870"/>
          <w:sz w:val="14"/>
        </w:rPr>
        <w:t xml:space="preserve"> — https://redis.io/docs/latest/develop/whats-new/8-0/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[R18] </w:t>
      </w:r>
      <w:hyperlink r:id="rId32">
        <w:r>
          <w:rPr>
            <w:color w:val="2E74B5"/>
            <w:u w:val="single"/>
          </w:rPr>
          <w:t>Vue release policy</w:t>
        </w:r>
      </w:hyperlink>
      <w:r>
        <w:rPr>
          <w:color w:val="5B6870"/>
          <w:sz w:val="14"/>
        </w:rPr>
        <w:t xml:space="preserve"> — https://vuejs.org/about/releases.html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[R19] </w:t>
      </w:r>
      <w:hyperlink r:id="rId33">
        <w:r>
          <w:rPr>
            <w:color w:val="2E74B5"/>
            <w:u w:val="single"/>
          </w:rPr>
          <w:t>Vite 8 announcement</w:t>
        </w:r>
      </w:hyperlink>
      <w:r>
        <w:rPr>
          <w:color w:val="5B6870"/>
          <w:sz w:val="14"/>
        </w:rPr>
        <w:t xml:space="preserve"> — https://vite.dev/blog/announcing-vite8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[R20] </w:t>
      </w:r>
      <w:hyperlink r:id="rId34">
        <w:r>
          <w:rPr>
            <w:color w:val="2E74B5"/>
            <w:u w:val="single"/>
          </w:rPr>
          <w:t>Polygon PoS RPC endpoints — Amoy chain 80002</w:t>
        </w:r>
      </w:hyperlink>
      <w:r>
        <w:rPr>
          <w:color w:val="5B6870"/>
          <w:sz w:val="14"/>
        </w:rPr>
        <w:t xml:space="preserve"> — https://docs.polygon.technology/pos/reference/rpc-endpoints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[R21] </w:t>
      </w:r>
      <w:hyperlink r:id="rId35">
        <w:r>
          <w:rPr>
            <w:color w:val="2E74B5"/>
            <w:u w:val="single"/>
          </w:rPr>
          <w:t>OpenZeppelin Contracts 5.x</w:t>
        </w:r>
      </w:hyperlink>
      <w:r>
        <w:rPr>
          <w:color w:val="5B6870"/>
          <w:sz w:val="14"/>
        </w:rPr>
        <w:t xml:space="preserve"> — https://docs.openzeppelin.com/contracts/5.x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[R22] </w:t>
      </w:r>
      <w:hyperlink r:id="rId36">
        <w:r>
          <w:rPr>
            <w:color w:val="2E74B5"/>
            <w:u w:val="single"/>
          </w:rPr>
          <w:t>EIP-4361 — Sign-In with Ethereum</w:t>
        </w:r>
      </w:hyperlink>
      <w:r>
        <w:rPr>
          <w:color w:val="5B6870"/>
          <w:sz w:val="14"/>
        </w:rPr>
        <w:t xml:space="preserve"> — https://eips.ethereum.org/EIPS/eip-4361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[R23] </w:t>
      </w:r>
      <w:hyperlink r:id="rId37">
        <w:r>
          <w:rPr>
            <w:color w:val="2E74B5"/>
            <w:u w:val="single"/>
          </w:rPr>
          <w:t>Copernicus Data Space — STAC API</w:t>
        </w:r>
      </w:hyperlink>
      <w:r>
        <w:rPr>
          <w:color w:val="5B6870"/>
          <w:sz w:val="14"/>
        </w:rPr>
        <w:t xml:space="preserve"> — https://documentation.dataspace.copernicus.eu/APIs/STAC.html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[R24] </w:t>
      </w:r>
      <w:hyperlink r:id="rId38">
        <w:r>
          <w:rPr>
            <w:color w:val="2E74B5"/>
            <w:u w:val="single"/>
          </w:rPr>
          <w:t>Earth Engine — Sentinel-2 cloud probability</w:t>
        </w:r>
      </w:hyperlink>
      <w:r>
        <w:rPr>
          <w:color w:val="5B6870"/>
          <w:sz w:val="14"/>
        </w:rPr>
        <w:t xml:space="preserve"> — https://developers.google.com/earth-engine/datasets/catalog/COPERNICUS_S2_CLOUD_PROBABILITY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[R25] </w:t>
      </w:r>
      <w:hyperlink r:id="rId39">
        <w:r>
          <w:rPr>
            <w:color w:val="2E74B5"/>
            <w:u w:val="single"/>
          </w:rPr>
          <w:t>Earth Engine noncommercial tiers</w:t>
        </w:r>
      </w:hyperlink>
      <w:r>
        <w:rPr>
          <w:color w:val="5B6870"/>
          <w:sz w:val="14"/>
        </w:rPr>
        <w:t xml:space="preserve"> — https://developers.google.com/earth-engine/guides/noncommercial_tiers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[R26] </w:t>
      </w:r>
      <w:hyperlink r:id="rId40">
        <w:r>
          <w:rPr>
            <w:color w:val="2E74B5"/>
            <w:u w:val="single"/>
          </w:rPr>
          <w:t>Verra VM0048 — Reducing emissions from deforestation</w:t>
        </w:r>
      </w:hyperlink>
      <w:r>
        <w:rPr>
          <w:color w:val="5B6870"/>
          <w:sz w:val="14"/>
        </w:rPr>
        <w:t xml:space="preserve"> — https://verra.org/methodologies/vm0048-reducing-emissions-from-deforestation-and-forest-degradation-v1-0/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[R27] </w:t>
      </w:r>
      <w:hyperlink r:id="rId41">
        <w:r>
          <w:rPr>
            <w:color w:val="2E74B5"/>
            <w:u w:val="single"/>
          </w:rPr>
          <w:t>Google Dynamic World dataset</w:t>
        </w:r>
      </w:hyperlink>
      <w:r>
        <w:rPr>
          <w:color w:val="5B6870"/>
          <w:sz w:val="14"/>
        </w:rPr>
        <w:t xml:space="preserve"> — https://developers.google.com/earth-engine/datasets/catalog/GOOGLE_DYNAMICWORLD_V1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[R28] </w:t>
      </w:r>
      <w:hyperlink r:id="rId42">
        <w:r>
          <w:rPr>
            <w:color w:val="2E74B5"/>
            <w:u w:val="single"/>
          </w:rPr>
          <w:t>Copernicus Sentinel-2 mission</w:t>
        </w:r>
      </w:hyperlink>
      <w:r>
        <w:rPr>
          <w:color w:val="5B6870"/>
          <w:sz w:val="14"/>
        </w:rPr>
        <w:t xml:space="preserve"> — https://dataspace.copernicus.eu/explore-data/data-collections/sentinel-data/sentinel-2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[R29] </w:t>
      </w:r>
      <w:hyperlink r:id="rId43">
        <w:r>
          <w:rPr>
            <w:color w:val="2E74B5"/>
            <w:u w:val="single"/>
          </w:rPr>
          <w:t>MLflow Model Registry</w:t>
        </w:r>
      </w:hyperlink>
      <w:r>
        <w:rPr>
          <w:color w:val="5B6870"/>
          <w:sz w:val="14"/>
        </w:rPr>
        <w:t xml:space="preserve"> — https://mlflow.org/docs/latest/ml/model-registry/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[R30] </w:t>
      </w:r>
      <w:hyperlink r:id="rId44">
        <w:r>
          <w:rPr>
            <w:color w:val="2E74B5"/>
            <w:u w:val="single"/>
          </w:rPr>
          <w:t>MLflow releases</w:t>
        </w:r>
      </w:hyperlink>
      <w:r>
        <w:rPr>
          <w:color w:val="5B6870"/>
          <w:sz w:val="14"/>
        </w:rPr>
        <w:t xml:space="preserve"> — https://mlflow.org/releases/3.15.1/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[R31] </w:t>
      </w:r>
      <w:hyperlink r:id="rId45">
        <w:r>
          <w:rPr>
            <w:color w:val="2E74B5"/>
            <w:u w:val="single"/>
          </w:rPr>
          <w:t>PyTorch versions</w:t>
        </w:r>
      </w:hyperlink>
      <w:r>
        <w:rPr>
          <w:color w:val="5B6870"/>
          <w:sz w:val="14"/>
        </w:rPr>
        <w:t xml:space="preserve"> — https://docs.pytorch.org/docs/versions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[R32] </w:t>
      </w:r>
      <w:hyperlink r:id="rId46">
        <w:r>
          <w:rPr>
            <w:color w:val="2E74B5"/>
            <w:u w:val="single"/>
          </w:rPr>
          <w:t>ONNX Runtime inference</w:t>
        </w:r>
      </w:hyperlink>
      <w:r>
        <w:rPr>
          <w:color w:val="5B6870"/>
          <w:sz w:val="14"/>
        </w:rPr>
        <w:t xml:space="preserve"> — https://onnxruntime.ai/inference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[R33] </w:t>
      </w:r>
      <w:hyperlink r:id="rId47">
        <w:r>
          <w:rPr>
            <w:color w:val="2E74B5"/>
            <w:u w:val="single"/>
          </w:rPr>
          <w:t>NIST AI Risk Management Framework</w:t>
        </w:r>
      </w:hyperlink>
      <w:r>
        <w:rPr>
          <w:color w:val="5B6870"/>
          <w:sz w:val="14"/>
        </w:rPr>
        <w:t xml:space="preserve"> — https://www.nist.gov/itl/ai-risk-management-framework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[R34] </w:t>
      </w:r>
      <w:hyperlink r:id="rId48">
        <w:r>
          <w:rPr>
            <w:color w:val="2E74B5"/>
            <w:u w:val="single"/>
          </w:rPr>
          <w:t>OWASP ASVS 5.0</w:t>
        </w:r>
      </w:hyperlink>
      <w:r>
        <w:rPr>
          <w:color w:val="5B6870"/>
          <w:sz w:val="14"/>
        </w:rPr>
        <w:t xml:space="preserve"> — https://owasp.org/www-project-application-security-verification-standard/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[R35] </w:t>
      </w:r>
      <w:hyperlink r:id="rId49">
        <w:r>
          <w:rPr>
            <w:color w:val="2E74B5"/>
            <w:u w:val="single"/>
          </w:rPr>
          <w:t>OWASP API Security Top 10</w:t>
        </w:r>
      </w:hyperlink>
      <w:r>
        <w:rPr>
          <w:color w:val="5B6870"/>
          <w:sz w:val="14"/>
        </w:rPr>
        <w:t xml:space="preserve"> — https://owasp.org/www-project-api-security/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[R36] </w:t>
      </w:r>
      <w:hyperlink r:id="rId50">
        <w:r>
          <w:rPr>
            <w:color w:val="2E74B5"/>
            <w:u w:val="single"/>
          </w:rPr>
          <w:t>NIST SP 800-63B-4 — Authentication</w:t>
        </w:r>
      </w:hyperlink>
      <w:r>
        <w:rPr>
          <w:color w:val="5B6870"/>
          <w:sz w:val="14"/>
        </w:rPr>
        <w:t xml:space="preserve"> — https://pages.nist.gov/800-63-4/sp800-63b.html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[R37] </w:t>
      </w:r>
      <w:hyperlink r:id="rId51">
        <w:r>
          <w:rPr>
            <w:color w:val="2E74B5"/>
            <w:u w:val="single"/>
          </w:rPr>
          <w:t>VNPAY sandbox — payment/IPN/ReturnURL</w:t>
        </w:r>
      </w:hyperlink>
      <w:r>
        <w:rPr>
          <w:color w:val="5B6870"/>
          <w:sz w:val="14"/>
        </w:rPr>
        <w:t xml:space="preserve"> — https://sandbox.vnpayment.vn/apis/docs/thanh-toan-pay/pay.html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[R38] </w:t>
      </w:r>
      <w:hyperlink r:id="rId52">
        <w:r>
          <w:rPr>
            <w:color w:val="2E74B5"/>
            <w:u w:val="single"/>
          </w:rPr>
          <w:t>VNPAY sandbox — Java integration intro</w:t>
        </w:r>
      </w:hyperlink>
      <w:r>
        <w:rPr>
          <w:color w:val="5B6870"/>
          <w:sz w:val="14"/>
        </w:rPr>
        <w:t xml:space="preserve"> — https://sandbox.vnpayment.vn/apis/docs/gioi-thieu/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[R39] </w:t>
      </w:r>
      <w:hyperlink r:id="rId53">
        <w:r>
          <w:rPr>
            <w:color w:val="2E74B5"/>
            <w:u w:val="single"/>
          </w:rPr>
          <w:t>VNPAY sandbox — query and refund</w:t>
        </w:r>
      </w:hyperlink>
      <w:r>
        <w:rPr>
          <w:color w:val="5B6870"/>
          <w:sz w:val="14"/>
        </w:rPr>
        <w:t xml:space="preserve"> — https://sandbox.vnpayment.vn/apis/docs/truy-van-hoan-tien/querydr%26refund.html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[R40] </w:t>
      </w:r>
      <w:hyperlink r:id="rId54">
        <w:r>
          <w:rPr>
            <w:color w:val="2E74B5"/>
            <w:u w:val="single"/>
          </w:rPr>
          <w:t>Neon pricing</w:t>
        </w:r>
      </w:hyperlink>
      <w:r>
        <w:rPr>
          <w:color w:val="5B6870"/>
          <w:sz w:val="14"/>
        </w:rPr>
        <w:t xml:space="preserve"> — https://neon.com/pricing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[R41] </w:t>
      </w:r>
      <w:hyperlink r:id="rId55">
        <w:r>
          <w:rPr>
            <w:color w:val="2E74B5"/>
            <w:u w:val="single"/>
          </w:rPr>
          <w:t>Upstash Redis pricing</w:t>
        </w:r>
      </w:hyperlink>
      <w:r>
        <w:rPr>
          <w:color w:val="5B6870"/>
          <w:sz w:val="14"/>
        </w:rPr>
        <w:t xml:space="preserve"> — https://upstash.com/pricing/redis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[R42] </w:t>
      </w:r>
      <w:hyperlink r:id="rId56">
        <w:r>
          <w:rPr>
            <w:color w:val="2E74B5"/>
            <w:u w:val="single"/>
          </w:rPr>
          <w:t>Cloudflare Pages limits</w:t>
        </w:r>
      </w:hyperlink>
      <w:r>
        <w:rPr>
          <w:color w:val="5B6870"/>
          <w:sz w:val="14"/>
        </w:rPr>
        <w:t xml:space="preserve"> — https://developers.cloudflare.com/pages/platform/limits/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[R43] </w:t>
      </w:r>
      <w:hyperlink r:id="rId57">
        <w:r>
          <w:rPr>
            <w:color w:val="2E74B5"/>
            <w:u w:val="single"/>
          </w:rPr>
          <w:t>Cloudflare R2 pricing</w:t>
        </w:r>
      </w:hyperlink>
      <w:r>
        <w:rPr>
          <w:color w:val="5B6870"/>
          <w:sz w:val="14"/>
        </w:rPr>
        <w:t xml:space="preserve"> — https://developers.cloudflare.com/r2/pricing/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[R44] </w:t>
      </w:r>
      <w:hyperlink r:id="rId58">
        <w:r>
          <w:rPr>
            <w:color w:val="2E74B5"/>
            <w:u w:val="single"/>
          </w:rPr>
          <w:t>Google Cloud Run pricing</w:t>
        </w:r>
      </w:hyperlink>
      <w:r>
        <w:rPr>
          <w:color w:val="5B6870"/>
          <w:sz w:val="14"/>
        </w:rPr>
        <w:t xml:space="preserve"> — https://cloud.google.com/run/pricing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[R45] </w:t>
      </w:r>
      <w:hyperlink r:id="rId59">
        <w:r>
          <w:rPr>
            <w:color w:val="2E74B5"/>
            <w:u w:val="single"/>
          </w:rPr>
          <w:t>Google Cloud Pub/Sub pricing</w:t>
        </w:r>
      </w:hyperlink>
      <w:r>
        <w:rPr>
          <w:color w:val="5B6870"/>
          <w:sz w:val="14"/>
        </w:rPr>
        <w:t xml:space="preserve"> — https://cloud.google.com/pubsub/pricing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[R46] </w:t>
      </w:r>
      <w:hyperlink r:id="rId60">
        <w:r>
          <w:rPr>
            <w:color w:val="2E74B5"/>
            <w:u w:val="single"/>
          </w:rPr>
          <w:t>Grafana Cloud pricing</w:t>
        </w:r>
      </w:hyperlink>
      <w:r>
        <w:rPr>
          <w:color w:val="5B6870"/>
          <w:sz w:val="14"/>
        </w:rPr>
        <w:t xml:space="preserve"> — https://grafana.com/pricing/?tab=free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[R47] </w:t>
      </w:r>
      <w:hyperlink r:id="rId61">
        <w:r>
          <w:rPr>
            <w:color w:val="2E74B5"/>
            <w:u w:val="single"/>
          </w:rPr>
          <w:t>Railway pricing</w:t>
        </w:r>
      </w:hyperlink>
      <w:r>
        <w:rPr>
          <w:color w:val="5B6870"/>
          <w:sz w:val="14"/>
        </w:rPr>
        <w:t xml:space="preserve"> — https://railway.com/pricing</w:t>
      </w:r>
    </w:p>
    <w:p>
      <w:pPr>
        <w:spacing w:after="50"/>
        <w:ind w:left="259" w:hanging="259"/>
      </w:pPr>
      <w:r>
        <w:rPr>
          <w:b/>
          <w:color w:val="0B4F43"/>
          <w:sz w:val="16"/>
        </w:rPr>
        <w:t xml:space="preserve">[R48] </w:t>
      </w:r>
      <w:hyperlink r:id="rId62">
        <w:r>
          <w:rPr>
            <w:color w:val="2E74B5"/>
            <w:u w:val="single"/>
          </w:rPr>
          <w:t>Render free limitations</w:t>
        </w:r>
      </w:hyperlink>
      <w:r>
        <w:rPr>
          <w:color w:val="5B6870"/>
          <w:sz w:val="14"/>
        </w:rPr>
        <w:t xml:space="preserve"> — https://render.com/docs/free</w:t>
      </w:r>
    </w:p>
    <w:p>
      <w:pPr>
        <w:pStyle w:val="Heading2"/>
      </w:pPr>
      <w:r>
        <w:t>18.2 Glossary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Thuật ngữ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1F4D78"/>
                <w:sz w:val="16"/>
                <w:lang w:val="vi-VN"/>
              </w:rPr>
              <w:t>Nghĩa trong tài liệu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Additionality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Giảm phát thải/hấp thụ vượt kịch bản thông thường; GLX chỉ lưu evidence/claim demo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Allowance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Hạn ngạch phát thải trong thị trường tuân thủ; ngoài scope MVP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Carbon credit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Đơn vị thường đại diện 1 tCO2e; GLX dùng unit tổng hợp GLX-DEMO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Corresponding adjustment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Điều chỉnh tránh double counting trong chuyển giao Article 6; schema tham khảo, không thực hiện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dMRV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Digital Measurement, Reporting and Verification; GLX dùng digital evidence + AI pre-screen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DvP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Delivery versus Payment; chuyển cash và asset theo một nghiệp vụ settlement không tách rời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Evidence manifest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Danh sách canonical metadata/checksum của input dùng review/AI/anchor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Idempotency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Gửi lại cùng command/event không tạo thêm side effect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Issuance batch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Lô tín chỉ cùng project/vintage/methodology/serial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Outbox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Bảng event commit cùng business transaction rồi publish at-least-once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Permanence / reversal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Rủi ro lượng carbon lưu trữ bị mất; GLX chỉ flag/metadata demo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Registry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Hệ thống theo dõi issuance/ownership/status; GLX là registry sandbox, không chính thức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Retirement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Đưa tín chỉ vào trạng thái terminal để không giao dịch lại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SIWE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Sign-In with Ethereum, chuẩn message chứng minh quyền kiểm soát address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Vintage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Năm/giai đoạn hoạt động giảm phát thải hoặc hấp thụ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VNPAY IPN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AFBFC"/>
          </w:tcPr>
          <w:p>
            <w:pPr>
              <w:spacing w:after="0" w:line="259" w:lineRule="auto"/>
            </w:pPr>
            <w:r>
              <w:rPr>
                <w:color w:val="23333F"/>
                <w:sz w:val="16"/>
                <w:lang w:val="vi-VN"/>
              </w:rPr>
              <w:t>Thông báo server-to-server có chữ ký; nguồn authoritative hơn browser ReturnURL</w:t>
            </w:r>
          </w:p>
        </w:tc>
      </w:tr>
    </w:tbl>
    <w:p>
      <w:pPr>
        <w:spacing w:after="20"/>
      </w:pPr>
    </w:p>
    <w:p>
      <w:pPr>
        <w:pStyle w:val="Heading2"/>
      </w:pPr>
      <w:r>
        <w:t>18.3 Quyết định tiếp theo để bắt đầu code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Khởi tạo monorepo + Compose + Keycloak + Java/Vue skeleton và ADR-001…009.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Tạo synthetic seed domain và north-star Playwright spec trước khi hoàn thiện UI.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Triển khai registry vertical trước; giữ PaymentProvider, ChainAnchor và AI port bằng fake adapter để chạy end-to-end sớm.</w:t>
      </w:r>
    </w:p>
    <w:p>
      <w:pPr>
        <w:pStyle w:val="ListBullet"/>
        <w:spacing w:after="80" w:line="300" w:lineRule="auto"/>
        <w:numPr>
          <w:ilvl w:val="0"/>
          <w:numId w:val="13"/>
        </w:numPr>
      </w:pPr>
      <w:r>
        <w:rPr>
          <w:lang w:val="vi-VN"/>
        </w:rPr>
        <w:t>Mỗi cuối tuần demo một failure path và cập nhật risk register/metrics thay vì chỉ thêm feature.</w:t>
      </w:r>
    </w:p>
    <w:tbl>
      <w:tblPr>
        <w:tblW w:type="dxa" w:w="9180"/>
        <w:jc w:val="center"/>
        <w:tblLook w:firstColumn="1" w:firstRow="1" w:lastColumn="0" w:lastRow="0" w:noHBand="0" w:noVBand="1" w:val="04A0"/>
        <w:tblLayout w:type="fixed"/>
        <w:tblInd w:w="180" w:type="dxa"/>
      </w:tblPr>
      <w:tblGrid>
        <w:gridCol w:w="9180"/>
      </w:tblGrid>
      <w:tr>
        <w:trPr>
          <w:cantSplit/>
          <w:tblHeader w:val="true"/>
        </w:trPr>
        <w:tc>
          <w:tcPr>
            <w:tcW w:type="dxa" w:w="9180"/>
            <w:shd w:fill="E8F5F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left w:val="single" w:sz="18" w:color="147D64"/>
            </w:tcBorders>
          </w:tcPr>
          <w:p>
            <w:pPr>
              <w:spacing w:after="40"/>
              <w:keepNext/>
            </w:pPr>
            <w:r>
              <w:rPr>
                <w:b/>
                <w:color w:val="147D64"/>
                <w:lang w:val="vi-VN"/>
              </w:rPr>
              <w:t>Kết luận</w:t>
            </w:r>
          </w:p>
          <w:p>
            <w:pPr>
              <w:spacing w:after="0"/>
            </w:pPr>
            <w:r>
              <w:t>Dự án khả thi trong 3 tháng thời gian rảnh nếu coi tính toàn vẹn dữ liệu, payment idempotency và human-governed AI là phần cốt lõi; blockchain/token, nhiều payment provider và hạ tầng nặng chỉ là stretch. Bản 2 tháng vẫn đủ tốt khi dừng ở north-star core cuối W8 và giữ fake adapter cho các tích hợp chưa kịp harden.</w:t>
            </w:r>
          </w:p>
        </w:tc>
      </w:tr>
    </w:tbl>
    <w:p>
      <w:pPr>
        <w:spacing w:after="20"/>
      </w:pPr>
    </w:p>
    <w:sectPr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870"/>
        <w:sz w:val="15"/>
      </w:rPr>
      <w:t xml:space="preserve">GLX v1.0  •  28/08/2026  •  Trang </w:t>
    </w:r>
    <w:r>
      <w:rPr>
        <w:rFonts w:ascii="Calibri" w:hAnsi="Calibri"/>
        <w:color w:val="5B6870"/>
        <w:sz w:val="15"/>
      </w:rPr>
      <w:fldChar w:fldCharType="begin" w:dirty="true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GLX-OPS-001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5" w:space="4" w:color="147D64"/>
      </w:pBdr>
    </w:pPr>
    <w:r>
      <w:rPr>
        <w:rFonts w:ascii="Calibri" w:hAnsi="Calibri"/>
        <w:b/>
        <w:color w:val="5B6870"/>
        <w:sz w:val="15"/>
      </w:rPr>
      <w:t>GREENLEDGER EXCHANGE  |  GLX-OPS-001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333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4F4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B68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LXKicker">
    <w:name w:val="GLX Kicker"/>
    <w:pPr>
      <w:spacing w:after="160"/>
    </w:pPr>
    <w:rPr>
      <w:rFonts w:ascii="Calibri" w:hAnsi="Calibri"/>
      <w:b/>
      <w:color w:val="147D64"/>
      <w:sz w:val="20"/>
    </w:rPr>
  </w:style>
  <w:style w:type="paragraph" w:customStyle="1" w:styleId="GLXCaption">
    <w:name w:val="GLX Caption"/>
    <w:pPr>
      <w:spacing w:before="60" w:after="140"/>
      <w:jc w:val="center"/>
    </w:pPr>
    <w:rPr>
      <w:rFonts w:ascii="Calibri" w:hAnsi="Calibri"/>
      <w:i/>
      <w:color w:val="5B6870"/>
      <w:sz w:val="17"/>
    </w:rPr>
  </w:style>
  <w:style w:type="paragraph" w:customStyle="1" w:styleId="GLXCode">
    <w:name w:val="GLX Code"/>
    <w:pPr>
      <w:spacing w:after="0" w:line="240" w:lineRule="auto"/>
    </w:pPr>
    <w:rPr>
      <w:rFonts w:ascii="Consolas" w:hAnsi="Consolas"/>
      <w:color w:val="23333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hyperlink" Target="https://congbao.chinhphu.vn/van-ban/nghi-dinh-so-29-2026-nd-cp-468820.htm" TargetMode="External"/><Relationship Id="rId16" Type="http://schemas.openxmlformats.org/officeDocument/2006/relationships/hyperlink" Target="https://dcc.mae.gov.vn/tin-hoat-dong/viet-nam-khai-truong-san-giao-dich-carbon-trong-nuoc-3915.htm?mn=1" TargetMode="External"/><Relationship Id="rId17" Type="http://schemas.openxmlformats.org/officeDocument/2006/relationships/hyperlink" Target="https://www.hnx.vn/vi-vn/m-tin-tuc-hnx/Inaugural%20ceremony%20of%20domestic%20carbon%20trading%20platform-60022960-0.html" TargetMode="External"/><Relationship Id="rId18" Type="http://schemas.openxmlformats.org/officeDocument/2006/relationships/hyperlink" Target="https://vanban.chinhphu.vn/?classid=1&amp;docid=213875&amp;orggroupid=2&amp;pageid=27160" TargetMode="External"/><Relationship Id="rId19" Type="http://schemas.openxmlformats.org/officeDocument/2006/relationships/hyperlink" Target="https://datafiles.chinhphu.vn/cpp/files/vbpq/2026/4/48-vbhn-bnnmt.pdf" TargetMode="External"/><Relationship Id="rId20" Type="http://schemas.openxmlformats.org/officeDocument/2006/relationships/hyperlink" Target="https://vanban.chinhphu.vn/?docid=217414&amp;pageid=27160" TargetMode="External"/><Relationship Id="rId21" Type="http://schemas.openxmlformats.org/officeDocument/2006/relationships/hyperlink" Target="https://verra.org/programs/verified-carbon-standard/develop-a-vcs-project/" TargetMode="External"/><Relationship Id="rId22" Type="http://schemas.openxmlformats.org/officeDocument/2006/relationships/hyperlink" Target="https://verra.org/programs/verified-carbon-standard/verified-carbon-units-vcus/" TargetMode="External"/><Relationship Id="rId23" Type="http://schemas.openxmlformats.org/officeDocument/2006/relationships/hyperlink" Target="https://icvcm.org/core-carbon-principles/?redirect=true" TargetMode="External"/><Relationship Id="rId24" Type="http://schemas.openxmlformats.org/officeDocument/2006/relationships/hyperlink" Target="https://www.goldstandard.org/impact-registry" TargetMode="External"/><Relationship Id="rId25" Type="http://schemas.openxmlformats.org/officeDocument/2006/relationships/hyperlink" Target="https://unfccc.int/sites/default/files/resource/Article_6.2_Reference_Manual.pdf" TargetMode="External"/><Relationship Id="rId26" Type="http://schemas.openxmlformats.org/officeDocument/2006/relationships/hyperlink" Target="https://congbao.chinhphu.vn/van-ban/luat-so-91-2025-qh15-45578.htm" TargetMode="External"/><Relationship Id="rId27" Type="http://schemas.openxmlformats.org/officeDocument/2006/relationships/hyperlink" Target="https://docs.spring.io/spring-boot/system-requirements.html" TargetMode="External"/><Relationship Id="rId28" Type="http://schemas.openxmlformats.org/officeDocument/2006/relationships/hyperlink" Target="https://www.oracle.com/java/technologies/java-se-support-roadmap.html" TargetMode="External"/><Relationship Id="rId29" Type="http://schemas.openxmlformats.org/officeDocument/2006/relationships/hyperlink" Target="https://docs.spring.io/spring-modulith/reference/index.html" TargetMode="External"/><Relationship Id="rId30" Type="http://schemas.openxmlformats.org/officeDocument/2006/relationships/hyperlink" Target="https://www.postgresql.org/docs/" TargetMode="External"/><Relationship Id="rId31" Type="http://schemas.openxmlformats.org/officeDocument/2006/relationships/hyperlink" Target="https://redis.io/docs/latest/develop/whats-new/8-0/" TargetMode="External"/><Relationship Id="rId32" Type="http://schemas.openxmlformats.org/officeDocument/2006/relationships/hyperlink" Target="https://vuejs.org/about/releases.html" TargetMode="External"/><Relationship Id="rId33" Type="http://schemas.openxmlformats.org/officeDocument/2006/relationships/hyperlink" Target="https://vite.dev/blog/announcing-vite8" TargetMode="External"/><Relationship Id="rId34" Type="http://schemas.openxmlformats.org/officeDocument/2006/relationships/hyperlink" Target="https://docs.polygon.technology/pos/reference/rpc-endpoints" TargetMode="External"/><Relationship Id="rId35" Type="http://schemas.openxmlformats.org/officeDocument/2006/relationships/hyperlink" Target="https://docs.openzeppelin.com/contracts/5.x" TargetMode="External"/><Relationship Id="rId36" Type="http://schemas.openxmlformats.org/officeDocument/2006/relationships/hyperlink" Target="https://eips.ethereum.org/EIPS/eip-4361" TargetMode="External"/><Relationship Id="rId37" Type="http://schemas.openxmlformats.org/officeDocument/2006/relationships/hyperlink" Target="https://documentation.dataspace.copernicus.eu/APIs/STAC.html" TargetMode="External"/><Relationship Id="rId38" Type="http://schemas.openxmlformats.org/officeDocument/2006/relationships/hyperlink" Target="https://developers.google.com/earth-engine/datasets/catalog/COPERNICUS_S2_CLOUD_PROBABILITY" TargetMode="External"/><Relationship Id="rId39" Type="http://schemas.openxmlformats.org/officeDocument/2006/relationships/hyperlink" Target="https://developers.google.com/earth-engine/guides/noncommercial_tiers" TargetMode="External"/><Relationship Id="rId40" Type="http://schemas.openxmlformats.org/officeDocument/2006/relationships/hyperlink" Target="https://verra.org/methodologies/vm0048-reducing-emissions-from-deforestation-and-forest-degradation-v1-0/" TargetMode="External"/><Relationship Id="rId41" Type="http://schemas.openxmlformats.org/officeDocument/2006/relationships/hyperlink" Target="https://developers.google.com/earth-engine/datasets/catalog/GOOGLE_DYNAMICWORLD_V1" TargetMode="External"/><Relationship Id="rId42" Type="http://schemas.openxmlformats.org/officeDocument/2006/relationships/hyperlink" Target="https://dataspace.copernicus.eu/explore-data/data-collections/sentinel-data/sentinel-2" TargetMode="External"/><Relationship Id="rId43" Type="http://schemas.openxmlformats.org/officeDocument/2006/relationships/hyperlink" Target="https://mlflow.org/docs/latest/ml/model-registry/" TargetMode="External"/><Relationship Id="rId44" Type="http://schemas.openxmlformats.org/officeDocument/2006/relationships/hyperlink" Target="https://mlflow.org/releases/3.15.1/" TargetMode="External"/><Relationship Id="rId45" Type="http://schemas.openxmlformats.org/officeDocument/2006/relationships/hyperlink" Target="https://docs.pytorch.org/docs/versions" TargetMode="External"/><Relationship Id="rId46" Type="http://schemas.openxmlformats.org/officeDocument/2006/relationships/hyperlink" Target="https://onnxruntime.ai/inference" TargetMode="External"/><Relationship Id="rId47" Type="http://schemas.openxmlformats.org/officeDocument/2006/relationships/hyperlink" Target="https://www.nist.gov/itl/ai-risk-management-framework" TargetMode="External"/><Relationship Id="rId48" Type="http://schemas.openxmlformats.org/officeDocument/2006/relationships/hyperlink" Target="https://owasp.org/www-project-application-security-verification-standard/" TargetMode="External"/><Relationship Id="rId49" Type="http://schemas.openxmlformats.org/officeDocument/2006/relationships/hyperlink" Target="https://owasp.org/www-project-api-security/" TargetMode="External"/><Relationship Id="rId50" Type="http://schemas.openxmlformats.org/officeDocument/2006/relationships/hyperlink" Target="https://pages.nist.gov/800-63-4/sp800-63b.html" TargetMode="External"/><Relationship Id="rId51" Type="http://schemas.openxmlformats.org/officeDocument/2006/relationships/hyperlink" Target="https://sandbox.vnpayment.vn/apis/docs/thanh-toan-pay/pay.html" TargetMode="External"/><Relationship Id="rId52" Type="http://schemas.openxmlformats.org/officeDocument/2006/relationships/hyperlink" Target="https://sandbox.vnpayment.vn/apis/docs/gioi-thieu/" TargetMode="External"/><Relationship Id="rId53" Type="http://schemas.openxmlformats.org/officeDocument/2006/relationships/hyperlink" Target="https://sandbox.vnpayment.vn/apis/docs/truy-van-hoan-tien/querydr%26refund.html" TargetMode="External"/><Relationship Id="rId54" Type="http://schemas.openxmlformats.org/officeDocument/2006/relationships/hyperlink" Target="https://neon.com/pricing" TargetMode="External"/><Relationship Id="rId55" Type="http://schemas.openxmlformats.org/officeDocument/2006/relationships/hyperlink" Target="https://upstash.com/pricing/redis" TargetMode="External"/><Relationship Id="rId56" Type="http://schemas.openxmlformats.org/officeDocument/2006/relationships/hyperlink" Target="https://developers.cloudflare.com/pages/platform/limits/" TargetMode="External"/><Relationship Id="rId57" Type="http://schemas.openxmlformats.org/officeDocument/2006/relationships/hyperlink" Target="https://developers.cloudflare.com/r2/pricing/" TargetMode="External"/><Relationship Id="rId58" Type="http://schemas.openxmlformats.org/officeDocument/2006/relationships/hyperlink" Target="https://cloud.google.com/run/pricing" TargetMode="External"/><Relationship Id="rId59" Type="http://schemas.openxmlformats.org/officeDocument/2006/relationships/hyperlink" Target="https://cloud.google.com/pubsub/pricing" TargetMode="External"/><Relationship Id="rId60" Type="http://schemas.openxmlformats.org/officeDocument/2006/relationships/hyperlink" Target="https://grafana.com/pricing/?tab=free" TargetMode="External"/><Relationship Id="rId61" Type="http://schemas.openxmlformats.org/officeDocument/2006/relationships/hyperlink" Target="https://railway.com/pricing" TargetMode="External"/><Relationship Id="rId62" Type="http://schemas.openxmlformats.org/officeDocument/2006/relationships/hyperlink" Target="https://render.com/docs/f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GreenLedger Exchange - Cloud, DevOps, Roadmap &amp; Runbook</dc:title>
  <dc:subject>Baseline delivery cho một cá nhân: free-first, có thể khôi phục và có demo failure path.</dc:subject>
  <dc:creator/>
  <cp:keywords>GLX, carbon credit, Spring Boot, Vue, banking-grade ledger, VNPAY, AI, blockchain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