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 w:firstLine="2682"/>
        <w:jc w:val="both"/>
      </w:pPr>
      <w:r>
        <w:tab/>
      </w:r>
      <w:r>
        <w:tab/>
        <w:t>- Ban chỉ huy PC02;</w:t>
      </w:r>
    </w:p>
    <w:p w14:paraId="6872A34F" w14:textId="30AD6CF6" w:rsidR="005449AE" w:rsidRPr="000A79B1" w:rsidRDefault="005449AE" w:rsidP="00C868A0">
      <w:pPr>
        <w:spacing w:line="20" w:lineRule="atLeast"/>
        <w:ind w:left="720" w:firstLine="2682"/>
        <w:jc w:val="both"/>
      </w:pPr>
      <w:r>
        <w:tab/>
      </w:r>
      <w:r>
        <w:tab/>
        <w:t>- Ban chỉ huy {tenDoi}.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2026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2026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  <w:r>
              <w:t xml:space="preserve">{tenCanBoDeXuat}</w:t>
            </w: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