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6"/>
          <w:szCs w:val="36"/>
        </w:rPr>
        <w:t xml:space="preserve">Số Liệu Tham Khảo – Callbot Đặt Lịch Khám Bệnh Viện</w:t>
      </w:r>
    </w:p>
    <w:p>
      <w:pPr>
        <w:spacing w:after="240"/>
        <w:jc w:val="center"/>
      </w:pPr>
      <w:r>
        <w:rPr>
          <w:rFonts w:ascii="Arial" w:cs="Arial" w:eastAsia="Arial" w:hAnsi="Arial"/>
          <w:i/>
          <w:iCs/>
          <w:color w:val="404040"/>
          <w:sz w:val="26"/>
          <w:szCs w:val="26"/>
        </w:rPr>
        <w:t xml:space="preserve">Tài liệu nguồn dùng cho slide thuyết trình (không phải PRD)</w:t>
      </w:r>
    </w:p>
    <w:p>
      <w:pPr>
        <w:spacing w:after="140" w:line="276" w:lineRule="auto"/>
      </w:pPr>
      <w:r>
        <w:rPr>
          <w:rFonts w:ascii="Arial" w:cs="Arial" w:eastAsia="Arial" w:hAnsi="Arial"/>
          <w:sz w:val="22"/>
          <w:szCs w:val="22"/>
        </w:rPr>
        <w:t xml:space="preserve">Tài liệu này tổng hợp các </w:t>
      </w:r>
      <w:r>
        <w:rPr>
          <w:rFonts w:ascii="Arial" w:cs="Arial" w:eastAsia="Arial" w:hAnsi="Arial"/>
          <w:b/>
          <w:bCs/>
          <w:sz w:val="22"/>
          <w:szCs w:val="22"/>
        </w:rPr>
        <w:t xml:space="preserve">số liệu thực tế đã công bố</w:t>
      </w:r>
      <w:r>
        <w:rPr>
          <w:rFonts w:ascii="Arial" w:cs="Arial" w:eastAsia="Arial" w:hAnsi="Arial"/>
          <w:sz w:val="22"/>
          <w:szCs w:val="22"/>
        </w:rPr>
        <w:t xml:space="preserve"> (quốc tế và Việt Nam) liên quan đến khối lượng liên lạc đặt/hủy/thay đổi lịch khám qua điện thoại tại bệnh viện, tỷ lệ cuộc gọi bị bỏ lỡ, và tỷ lệ bỏ lịch khám (no-show). Dùng làm nguồn tham khảo để dựng slide thuyết trình (business case, pitch) — không phải một phần của PRD kỹ thuật.</w:t>
      </w:r>
    </w:p>
    <w:p>
      <w:pPr>
        <w:pBdr>
          <w:bottom w:val="single" w:color="CCCCCC" w:sz="4" w:space="1"/>
        </w:pBdr>
        <w:spacing w:after="200"/>
      </w:pPr>
    </w:p>
    <w:p>
      <w:pPr>
        <w:pBdr>
          <w:bottom w:val="single" w:color="1F4E79" w:sz="6" w:space="2"/>
        </w:pBdr>
        <w:spacing w:after="140" w:before="280"/>
        <w:outlineLvl w:val="0"/>
      </w:pPr>
      <w:r>
        <w:rPr>
          <w:rFonts w:ascii="Arial" w:cs="Arial" w:eastAsia="Arial" w:hAnsi="Arial"/>
          <w:b/>
          <w:bCs/>
          <w:color w:val="1F4E79"/>
          <w:sz w:val="28"/>
          <w:szCs w:val="28"/>
        </w:rPr>
        <w:t xml:space="preserve">1. Số liệu quốc tế</w:t>
      </w:r>
    </w:p>
    <w:p>
      <w:pPr>
        <w:spacing w:after="120" w:before="200"/>
        <w:outlineLvl w:val="1"/>
      </w:pPr>
      <w:r>
        <w:rPr>
          <w:rFonts w:ascii="Arial" w:cs="Arial" w:eastAsia="Arial" w:hAnsi="Arial"/>
          <w:color w:val="2E74B5"/>
          <w:sz w:val="26"/>
          <w:szCs w:val="26"/>
        </w:rPr>
        <w:t xml:space="preserve">1.1. Khối lượng cuộc gọi thực tế tại hệ thống y tế công (NHS - Anh)</w:t>
      </w:r>
    </w:p>
    <w:p>
      <w:pPr>
        <w:pStyle w:val="ListParagraph"/>
        <w:numPr>
          <w:ilvl w:val="0"/>
          <w:numId w:val="2"/>
        </w:numPr>
        <w:spacing w:after="80" w:line="276" w:lineRule="auto"/>
      </w:pPr>
      <w:r>
        <w:rPr>
          <w:rFonts w:ascii="Arial" w:cs="Arial" w:eastAsia="Arial" w:hAnsi="Arial"/>
          <w:sz w:val="22"/>
          <w:szCs w:val="22"/>
        </w:rPr>
        <w:t xml:space="preserve">Theo NHS England, các phòng khám GP (bác sĩ gia đình) thuộc NHS nhận </w:t>
      </w:r>
      <w:r>
        <w:rPr>
          <w:rFonts w:ascii="Arial" w:cs="Arial" w:eastAsia="Arial" w:hAnsi="Arial"/>
          <w:b/>
          <w:bCs/>
          <w:sz w:val="22"/>
          <w:szCs w:val="22"/>
        </w:rPr>
        <w:t xml:space="preserve">31 triệu cuộc gọi điện thoại</w:t>
      </w:r>
      <w:r>
        <w:rPr>
          <w:rFonts w:ascii="Arial" w:cs="Arial" w:eastAsia="Arial" w:hAnsi="Arial"/>
          <w:sz w:val="22"/>
          <w:szCs w:val="22"/>
        </w:rPr>
        <w:t xml:space="preserve"> trong tháng 10/2025, tương đương hơn 1 triệu cuộc gọi mỗi ngày làm việc (Nguồn: NHS England, 11/2025)</w:t>
      </w:r>
    </w:p>
    <w:p>
      <w:pPr>
        <w:pStyle w:val="ListParagraph"/>
        <w:numPr>
          <w:ilvl w:val="0"/>
          <w:numId w:val="2"/>
        </w:numPr>
        <w:spacing w:after="80" w:line="276" w:lineRule="auto"/>
      </w:pPr>
      <w:r>
        <w:rPr>
          <w:rFonts w:ascii="Arial" w:cs="Arial" w:eastAsia="Arial" w:hAnsi="Arial"/>
          <w:sz w:val="22"/>
          <w:szCs w:val="22"/>
        </w:rPr>
        <w:t xml:space="preserve">Tháng 2/2026, con số này là </w:t>
      </w:r>
      <w:r>
        <w:rPr>
          <w:rFonts w:ascii="Arial" w:cs="Arial" w:eastAsia="Arial" w:hAnsi="Arial"/>
          <w:b/>
          <w:bCs/>
          <w:sz w:val="22"/>
          <w:szCs w:val="22"/>
        </w:rPr>
        <w:t xml:space="preserve">29,2 triệu cuộc gọi</w:t>
      </w:r>
      <w:r>
        <w:rPr>
          <w:rFonts w:ascii="Arial" w:cs="Arial" w:eastAsia="Arial" w:hAnsi="Arial"/>
          <w:sz w:val="22"/>
          <w:szCs w:val="22"/>
        </w:rPr>
        <w:t xml:space="preserve">, vẫn duy trì mức hơn 1 triệu cuộc/ngày làm việc (Nguồn: NHS England, 3/2026)</w:t>
      </w:r>
    </w:p>
    <w:p>
      <w:pPr>
        <w:pStyle w:val="ListParagraph"/>
        <w:numPr>
          <w:ilvl w:val="0"/>
          <w:numId w:val="2"/>
        </w:numPr>
        <w:spacing w:after="80" w:line="276" w:lineRule="auto"/>
      </w:pPr>
      <w:r>
        <w:rPr>
          <w:rFonts w:ascii="Arial" w:cs="Arial" w:eastAsia="Arial" w:hAnsi="Arial"/>
          <w:sz w:val="22"/>
          <w:szCs w:val="22"/>
        </w:rPr>
        <w:t xml:space="preserve">Toàn hệ thống NHS (GP, y tế cộng đồng, bệnh viện, NHS 111, cấp cứu) ghi nhận khoảng </w:t>
      </w:r>
      <w:r>
        <w:rPr>
          <w:rFonts w:ascii="Arial" w:cs="Arial" w:eastAsia="Arial" w:hAnsi="Arial"/>
          <w:b/>
          <w:bCs/>
          <w:sz w:val="22"/>
          <w:szCs w:val="22"/>
        </w:rPr>
        <w:t xml:space="preserve">600 triệu lượt tiếp xúc bệnh nhân trong năm 2023/2024</w:t>
      </w:r>
      <w:r>
        <w:rPr>
          <w:rFonts w:ascii="Arial" w:cs="Arial" w:eastAsia="Arial" w:hAnsi="Arial"/>
          <w:sz w:val="22"/>
          <w:szCs w:val="22"/>
        </w:rPr>
        <w:t xml:space="preserve">, tương đương </w:t>
      </w:r>
      <w:r>
        <w:rPr>
          <w:rFonts w:ascii="Arial" w:cs="Arial" w:eastAsia="Arial" w:hAnsi="Arial"/>
          <w:b/>
          <w:bCs/>
          <w:sz w:val="22"/>
          <w:szCs w:val="22"/>
        </w:rPr>
        <w:t xml:space="preserve">1,7 triệu lượt tương tác mỗi ngày</w:t>
      </w:r>
      <w:r>
        <w:rPr>
          <w:rFonts w:ascii="Arial" w:cs="Arial" w:eastAsia="Arial" w:hAnsi="Arial"/>
          <w:sz w:val="22"/>
          <w:szCs w:val="22"/>
        </w:rPr>
        <w:t xml:space="preserve"> (Nguồn: The King's Fund)</w:t>
      </w:r>
    </w:p>
    <w:p>
      <w:pPr>
        <w:spacing w:after="120" w:before="200"/>
        <w:outlineLvl w:val="1"/>
      </w:pPr>
      <w:r>
        <w:rPr>
          <w:rFonts w:ascii="Arial" w:cs="Arial" w:eastAsia="Arial" w:hAnsi="Arial"/>
          <w:color w:val="2E74B5"/>
          <w:sz w:val="26"/>
          <w:szCs w:val="26"/>
        </w:rPr>
        <w:t xml:space="preserve">1.2. Tỷ lệ cuộc gọi bị bỏ lỡ (missed calls) tại các cơ sở y tế (Mỹ)</w:t>
      </w:r>
    </w:p>
    <w:p>
      <w:pPr>
        <w:pStyle w:val="ListParagraph"/>
        <w:numPr>
          <w:ilvl w:val="0"/>
          <w:numId w:val="2"/>
        </w:numPr>
        <w:spacing w:after="80" w:line="276" w:lineRule="auto"/>
      </w:pPr>
      <w:r>
        <w:rPr>
          <w:rFonts w:ascii="Arial" w:cs="Arial" w:eastAsia="Arial" w:hAnsi="Arial"/>
          <w:sz w:val="22"/>
          <w:szCs w:val="22"/>
        </w:rPr>
        <w:t xml:space="preserve">Các nhà cung cấp dịch vụ y tế bỏ lỡ trung bình khoảng </w:t>
      </w:r>
      <w:r>
        <w:rPr>
          <w:rFonts w:ascii="Arial" w:cs="Arial" w:eastAsia="Arial" w:hAnsi="Arial"/>
          <w:b/>
          <w:bCs/>
          <w:sz w:val="22"/>
          <w:szCs w:val="22"/>
        </w:rPr>
        <w:t xml:space="preserve">29% cuộc gọi đến</w:t>
      </w:r>
      <w:r>
        <w:rPr>
          <w:rFonts w:ascii="Arial" w:cs="Arial" w:eastAsia="Arial" w:hAnsi="Arial"/>
          <w:sz w:val="22"/>
          <w:szCs w:val="22"/>
        </w:rPr>
        <w:t xml:space="preserve"> (Invoca, dẫn lại bởi Keonahealth); nghiên cứu của Talkdesk cho thấy mức trung bình khoảng </w:t>
      </w:r>
      <w:r>
        <w:rPr>
          <w:rFonts w:ascii="Arial" w:cs="Arial" w:eastAsia="Arial" w:hAnsi="Arial"/>
          <w:b/>
          <w:bCs/>
          <w:sz w:val="22"/>
          <w:szCs w:val="22"/>
        </w:rPr>
        <w:t xml:space="preserve">23%</w:t>
      </w:r>
      <w:r>
        <w:rPr>
          <w:rFonts w:ascii="Arial" w:cs="Arial" w:eastAsia="Arial" w:hAnsi="Arial"/>
          <w:sz w:val="22"/>
          <w:szCs w:val="22"/>
        </w:rPr>
        <w:t xml:space="preserve">, riêng phòng khám nhỏ/đơn lẻ thường bỏ lỡ </w:t>
      </w:r>
      <w:r>
        <w:rPr>
          <w:rFonts w:ascii="Arial" w:cs="Arial" w:eastAsia="Arial" w:hAnsi="Arial"/>
          <w:b/>
          <w:bCs/>
          <w:sz w:val="22"/>
          <w:szCs w:val="22"/>
        </w:rPr>
        <w:t xml:space="preserve">trên 30%</w:t>
      </w:r>
    </w:p>
    <w:p>
      <w:pPr>
        <w:pStyle w:val="ListParagraph"/>
        <w:numPr>
          <w:ilvl w:val="0"/>
          <w:numId w:val="2"/>
        </w:numPr>
        <w:spacing w:after="80" w:line="276" w:lineRule="auto"/>
      </w:pPr>
      <w:r>
        <w:rPr>
          <w:rFonts w:ascii="Arial" w:cs="Arial" w:eastAsia="Arial" w:hAnsi="Arial"/>
          <w:sz w:val="22"/>
          <w:szCs w:val="22"/>
        </w:rPr>
        <w:t xml:space="preserve">Commure (đăng trên Forbes, 8/2026) ước tính khoảng </w:t>
      </w:r>
      <w:r>
        <w:rPr>
          <w:rFonts w:ascii="Arial" w:cs="Arial" w:eastAsia="Arial" w:hAnsi="Arial"/>
          <w:b/>
          <w:bCs/>
          <w:sz w:val="22"/>
          <w:szCs w:val="22"/>
        </w:rPr>
        <w:t xml:space="preserve">3 trong 10 cuộc gọi</w:t>
      </w:r>
      <w:r>
        <w:rPr>
          <w:rFonts w:ascii="Arial" w:cs="Arial" w:eastAsia="Arial" w:hAnsi="Arial"/>
          <w:sz w:val="22"/>
          <w:szCs w:val="22"/>
        </w:rPr>
        <w:t xml:space="preserve"> (~30%) đến các hệ thống y tế kết thúc mà không có ai trả lời</w:t>
      </w:r>
    </w:p>
    <w:p>
      <w:pPr>
        <w:pStyle w:val="ListParagraph"/>
        <w:numPr>
          <w:ilvl w:val="0"/>
          <w:numId w:val="2"/>
        </w:numPr>
        <w:spacing w:after="80" w:line="276" w:lineRule="auto"/>
      </w:pPr>
      <w:r>
        <w:rPr>
          <w:rFonts w:ascii="Arial" w:cs="Arial" w:eastAsia="Arial" w:hAnsi="Arial"/>
          <w:sz w:val="22"/>
          <w:szCs w:val="22"/>
        </w:rPr>
        <w:t xml:space="preserve">Tiêu chuẩn ngành cho tỷ lệ bỏ cuộc (call abandonment rate) là </w:t>
      </w:r>
      <w:r>
        <w:rPr>
          <w:rFonts w:ascii="Arial" w:cs="Arial" w:eastAsia="Arial" w:hAnsi="Arial"/>
          <w:b/>
          <w:bCs/>
          <w:sz w:val="22"/>
          <w:szCs w:val="22"/>
        </w:rPr>
        <w:t xml:space="preserve">5% trở xuống</w:t>
      </w:r>
      <w:r>
        <w:rPr>
          <w:rFonts w:ascii="Arial" w:cs="Arial" w:eastAsia="Arial" w:hAnsi="Arial"/>
          <w:sz w:val="22"/>
          <w:szCs w:val="22"/>
        </w:rPr>
        <w:t xml:space="preserve">; khoảng </w:t>
      </w:r>
      <w:r>
        <w:rPr>
          <w:rFonts w:ascii="Arial" w:cs="Arial" w:eastAsia="Arial" w:hAnsi="Arial"/>
          <w:b/>
          <w:bCs/>
          <w:sz w:val="22"/>
          <w:szCs w:val="22"/>
        </w:rPr>
        <w:t xml:space="preserve">85% bệnh nhân sẽ không gọi lại</w:t>
      </w:r>
      <w:r>
        <w:rPr>
          <w:rFonts w:ascii="Arial" w:cs="Arial" w:eastAsia="Arial" w:hAnsi="Arial"/>
          <w:sz w:val="22"/>
          <w:szCs w:val="22"/>
        </w:rPr>
        <w:t xml:space="preserve"> sau lần gọi đầu không được bắt máy; khoảng </w:t>
      </w:r>
      <w:r>
        <w:rPr>
          <w:rFonts w:ascii="Arial" w:cs="Arial" w:eastAsia="Arial" w:hAnsi="Arial"/>
          <w:b/>
          <w:bCs/>
          <w:sz w:val="22"/>
          <w:szCs w:val="22"/>
        </w:rPr>
        <w:t xml:space="preserve">60% bệnh nhân sẽ cúp máy</w:t>
      </w:r>
      <w:r>
        <w:rPr>
          <w:rFonts w:ascii="Arial" w:cs="Arial" w:eastAsia="Arial" w:hAnsi="Arial"/>
          <w:sz w:val="22"/>
          <w:szCs w:val="22"/>
        </w:rPr>
        <w:t xml:space="preserve"> nếu chờ trên 1 phút (Nguồn: Keonahealth)</w:t>
      </w:r>
    </w:p>
    <w:p>
      <w:pPr>
        <w:pStyle w:val="ListParagraph"/>
        <w:numPr>
          <w:ilvl w:val="0"/>
          <w:numId w:val="2"/>
        </w:numPr>
        <w:spacing w:after="80" w:line="276" w:lineRule="auto"/>
      </w:pPr>
      <w:r>
        <w:rPr>
          <w:rFonts w:ascii="Arial" w:cs="Arial" w:eastAsia="Arial" w:hAnsi="Arial"/>
          <w:sz w:val="22"/>
          <w:szCs w:val="22"/>
        </w:rPr>
        <w:t xml:space="preserve">Khoảng </w:t>
      </w:r>
      <w:r>
        <w:rPr>
          <w:rFonts w:ascii="Arial" w:cs="Arial" w:eastAsia="Arial" w:hAnsi="Arial"/>
          <w:b/>
          <w:bCs/>
          <w:sz w:val="22"/>
          <w:szCs w:val="22"/>
        </w:rPr>
        <w:t xml:space="preserve">80% lịch khám y tế tại Mỹ vẫn được đặt qua điện thoại</w:t>
      </w:r>
      <w:r>
        <w:rPr>
          <w:rFonts w:ascii="Arial" w:cs="Arial" w:eastAsia="Arial" w:hAnsi="Arial"/>
          <w:sz w:val="22"/>
          <w:szCs w:val="22"/>
        </w:rPr>
        <w:t xml:space="preserve">, nên mỗi cuộc gọi nhỡ đều có nguy cơ làm mất một lượt đặt lịch (Nguồn: Commure/Forbes, 8/2026)</w:t>
      </w:r>
    </w:p>
    <w:p>
      <w:pPr>
        <w:spacing w:after="120" w:before="200"/>
        <w:outlineLvl w:val="1"/>
      </w:pPr>
      <w:r>
        <w:rPr>
          <w:rFonts w:ascii="Arial" w:cs="Arial" w:eastAsia="Arial" w:hAnsi="Arial"/>
          <w:color w:val="2E74B5"/>
          <w:sz w:val="26"/>
          <w:szCs w:val="26"/>
        </w:rPr>
        <w:t xml:space="preserve">1.3. Tỷ lệ bỏ lịch khám (no-show) liên quan đến vấn đề liên lạc/nhắc lịch</w:t>
      </w:r>
    </w:p>
    <w:p>
      <w:pPr>
        <w:pStyle w:val="ListParagraph"/>
        <w:numPr>
          <w:ilvl w:val="0"/>
          <w:numId w:val="2"/>
        </w:numPr>
        <w:spacing w:after="80" w:line="276" w:lineRule="auto"/>
      </w:pPr>
      <w:r>
        <w:rPr>
          <w:rFonts w:ascii="Arial" w:cs="Arial" w:eastAsia="Arial" w:hAnsi="Arial"/>
          <w:sz w:val="22"/>
          <w:szCs w:val="22"/>
        </w:rPr>
        <w:t xml:space="preserve">Kheirkhah và cộng sự (BMC Health Services Research, 2016), 10 phòng khám tại một trung tâm y tế cựu chiến binh (Mỹ): no-show trung bình </w:t>
      </w:r>
      <w:r>
        <w:rPr>
          <w:rFonts w:ascii="Arial" w:cs="Arial" w:eastAsia="Arial" w:hAnsi="Arial"/>
          <w:b/>
          <w:bCs/>
          <w:sz w:val="22"/>
          <w:szCs w:val="22"/>
        </w:rPr>
        <w:t xml:space="preserve">18,8%</w:t>
      </w:r>
      <w:r>
        <w:rPr>
          <w:rFonts w:ascii="Arial" w:cs="Arial" w:eastAsia="Arial" w:hAnsi="Arial"/>
          <w:sz w:val="22"/>
          <w:szCs w:val="22"/>
        </w:rPr>
        <w:t xml:space="preserve"> (dao động 12,6%-25,7%), thiệt hại ~</w:t>
      </w:r>
      <w:r>
        <w:rPr>
          <w:rFonts w:ascii="Arial" w:cs="Arial" w:eastAsia="Arial" w:hAnsi="Arial"/>
          <w:b/>
          <w:bCs/>
          <w:sz w:val="22"/>
          <w:szCs w:val="22"/>
        </w:rPr>
        <w:t xml:space="preserve">14,58 triệu USD/năm</w:t>
      </w:r>
      <w:r>
        <w:rPr>
          <w:rFonts w:ascii="Arial" w:cs="Arial" w:eastAsia="Arial" w:hAnsi="Arial"/>
          <w:sz w:val="22"/>
          <w:szCs w:val="22"/>
        </w:rPr>
        <w:t xml:space="preserve"> (giá trị USD 2008)</w:t>
      </w:r>
    </w:p>
    <w:p>
      <w:pPr>
        <w:spacing w:after="120" w:before="200"/>
        <w:outlineLvl w:val="1"/>
      </w:pPr>
      <w:r>
        <w:rPr>
          <w:rFonts w:ascii="Arial" w:cs="Arial" w:eastAsia="Arial" w:hAnsi="Arial"/>
          <w:color w:val="2E74B5"/>
          <w:sz w:val="26"/>
          <w:szCs w:val="26"/>
        </w:rPr>
        <w:t xml:space="preserve">1.4. Hiệu quả của nhắc lịch (reminder) trong việc giảm no-show</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400"/>
        <w:gridCol w:w="2800"/>
        <w:gridCol w:w="3200"/>
      </w:tblGrid>
      <w:tr>
        <w:trPr>
          <w:cantSplit/>
          <w:tblHeader/>
        </w:trPr>
        <w:tc>
          <w:tcPr>
            <w:tcW w:type="dxa" w:w="3400"/>
            <w:shd w:fill="1F3864" w:color="auto" w:val="clear"/>
            <w:vAlign w:val="center"/>
          </w:tcPr>
          <w:p>
            <w:pPr>
              <w:jc w:val="center"/>
            </w:pPr>
            <w:r>
              <w:rPr>
                <w:rFonts w:ascii="Arial" w:cs="Arial" w:eastAsia="Arial" w:hAnsi="Arial"/>
                <w:b/>
                <w:bCs/>
                <w:color w:val="FFFFFF"/>
                <w:sz w:val="22"/>
                <w:szCs w:val="22"/>
              </w:rPr>
              <w:t xml:space="preserve">Phương pháp nhắc lịch</w:t>
            </w:r>
          </w:p>
        </w:tc>
        <w:tc>
          <w:tcPr>
            <w:tcW w:type="dxa" w:w="2800"/>
            <w:shd w:fill="1F3864" w:color="auto" w:val="clear"/>
            <w:vAlign w:val="center"/>
          </w:tcPr>
          <w:p>
            <w:pPr>
              <w:jc w:val="center"/>
            </w:pPr>
            <w:r>
              <w:rPr>
                <w:rFonts w:ascii="Arial" w:cs="Arial" w:eastAsia="Arial" w:hAnsi="Arial"/>
                <w:b/>
                <w:bCs/>
                <w:color w:val="FFFFFF"/>
                <w:sz w:val="22"/>
                <w:szCs w:val="22"/>
              </w:rPr>
              <w:t xml:space="preserve">Mức giảm no-show</w:t>
            </w:r>
          </w:p>
        </w:tc>
        <w:tc>
          <w:tcPr>
            <w:tcW w:type="dxa" w:w="3200"/>
            <w:shd w:fill="1F3864" w:color="auto" w:val="clear"/>
            <w:vAlign w:val="center"/>
          </w:tcPr>
          <w:p>
            <w:pPr>
              <w:jc w:val="center"/>
            </w:pPr>
            <w:r>
              <w:rPr>
                <w:rFonts w:ascii="Arial" w:cs="Arial" w:eastAsia="Arial" w:hAnsi="Arial"/>
                <w:b/>
                <w:bCs/>
                <w:color w:val="FFFFFF"/>
                <w:sz w:val="22"/>
                <w:szCs w:val="22"/>
              </w:rPr>
              <w:t xml:space="preserve">Nguồn</w:t>
            </w:r>
          </w:p>
        </w:tc>
      </w:tr>
      <w:tr>
        <w:trPr>
          <w:cantSplit/>
        </w:trPr>
        <w:tc>
          <w:tcPr>
            <w:tcW w:type="dxa" w:w="3400"/>
            <w:shd w:fill="DCE6F1" w:color="auto" w:val="clear"/>
            <w:vAlign w:val="center"/>
          </w:tcPr>
          <w:p>
            <w:pPr>
              <w:spacing w:after="40"/>
            </w:pPr>
            <w:r>
              <w:rPr>
                <w:rFonts w:ascii="Arial" w:cs="Arial" w:eastAsia="Arial" w:hAnsi="Arial"/>
                <w:b/>
                <w:bCs/>
                <w:sz w:val="22"/>
                <w:szCs w:val="22"/>
              </w:rPr>
              <w:t xml:space="preserve">Cuộc gọi tự động (automated call)</w:t>
            </w:r>
          </w:p>
        </w:tc>
        <w:tc>
          <w:tcPr>
            <w:tcW w:type="dxa" w:w="2800"/>
            <w:vAlign w:val="center"/>
          </w:tcPr>
          <w:p>
            <w:pPr>
              <w:spacing w:after="40"/>
            </w:pPr>
            <w:r>
              <w:rPr>
                <w:rFonts w:ascii="Arial" w:cs="Arial" w:eastAsia="Arial" w:hAnsi="Arial"/>
                <w:sz w:val="22"/>
                <w:szCs w:val="22"/>
              </w:rPr>
              <w:t xml:space="preserve">~29% (tương đối)</w:t>
            </w:r>
          </w:p>
        </w:tc>
        <w:tc>
          <w:tcPr>
            <w:tcW w:type="dxa" w:w="3200"/>
            <w:vAlign w:val="center"/>
          </w:tcPr>
          <w:p>
            <w:pPr>
              <w:spacing w:after="40"/>
            </w:pPr>
            <w:r>
              <w:rPr>
                <w:rFonts w:ascii="Arial" w:cs="Arial" w:eastAsia="Arial" w:hAnsi="Arial"/>
                <w:sz w:val="22"/>
                <w:szCs w:val="22"/>
              </w:rPr>
              <w:t xml:space="preserve">Hasvold &amp; Wootton, 2011 (meta-analysis)</w:t>
            </w:r>
          </w:p>
        </w:tc>
      </w:tr>
      <w:tr>
        <w:trPr>
          <w:cantSplit/>
        </w:trPr>
        <w:tc>
          <w:tcPr>
            <w:tcW w:type="dxa" w:w="3400"/>
            <w:shd w:fill="DCE6F1" w:color="auto" w:val="clear"/>
            <w:vAlign w:val="center"/>
          </w:tcPr>
          <w:p>
            <w:pPr>
              <w:spacing w:after="40"/>
            </w:pPr>
            <w:r>
              <w:rPr>
                <w:rFonts w:ascii="Arial" w:cs="Arial" w:eastAsia="Arial" w:hAnsi="Arial"/>
                <w:b/>
                <w:bCs/>
                <w:sz w:val="22"/>
                <w:szCs w:val="22"/>
              </w:rPr>
              <w:t xml:space="preserve">SMS</w:t>
            </w:r>
          </w:p>
        </w:tc>
        <w:tc>
          <w:tcPr>
            <w:tcW w:type="dxa" w:w="2800"/>
            <w:vAlign w:val="center"/>
          </w:tcPr>
          <w:p>
            <w:pPr>
              <w:spacing w:after="40"/>
            </w:pPr>
            <w:r>
              <w:rPr>
                <w:rFonts w:ascii="Arial" w:cs="Arial" w:eastAsia="Arial" w:hAnsi="Arial"/>
                <w:sz w:val="22"/>
                <w:szCs w:val="22"/>
              </w:rPr>
              <w:t xml:space="preserve">~30-50% (tương đối)</w:t>
            </w:r>
          </w:p>
        </w:tc>
        <w:tc>
          <w:tcPr>
            <w:tcW w:type="dxa" w:w="3200"/>
            <w:vAlign w:val="center"/>
          </w:tcPr>
          <w:p>
            <w:pPr>
              <w:spacing w:after="40"/>
            </w:pPr>
            <w:r>
              <w:rPr>
                <w:rFonts w:ascii="Arial" w:cs="Arial" w:eastAsia="Arial" w:hAnsi="Arial"/>
                <w:sz w:val="22"/>
                <w:szCs w:val="22"/>
              </w:rPr>
              <w:t xml:space="preserve">Nhiều nghiên cứu tổng hợp</w:t>
            </w:r>
          </w:p>
        </w:tc>
      </w:tr>
      <w:tr>
        <w:trPr>
          <w:cantSplit/>
        </w:trPr>
        <w:tc>
          <w:tcPr>
            <w:tcW w:type="dxa" w:w="3400"/>
            <w:shd w:fill="DCE6F1" w:color="auto" w:val="clear"/>
            <w:vAlign w:val="center"/>
          </w:tcPr>
          <w:p>
            <w:pPr>
              <w:spacing w:after="40"/>
            </w:pPr>
            <w:r>
              <w:rPr>
                <w:rFonts w:ascii="Arial" w:cs="Arial" w:eastAsia="Arial" w:hAnsi="Arial"/>
                <w:b/>
                <w:bCs/>
                <w:sz w:val="22"/>
                <w:szCs w:val="22"/>
              </w:rPr>
              <w:t xml:space="preserve">Nhân viên gọi trực tiếp (manual call)</w:t>
            </w:r>
          </w:p>
        </w:tc>
        <w:tc>
          <w:tcPr>
            <w:tcW w:type="dxa" w:w="2800"/>
            <w:vAlign w:val="center"/>
          </w:tcPr>
          <w:p>
            <w:pPr>
              <w:spacing w:after="40"/>
            </w:pPr>
            <w:r>
              <w:rPr>
                <w:rFonts w:ascii="Arial" w:cs="Arial" w:eastAsia="Arial" w:hAnsi="Arial"/>
                <w:sz w:val="22"/>
                <w:szCs w:val="22"/>
              </w:rPr>
              <w:t xml:space="preserve">~39-41% (tương đối)</w:t>
            </w:r>
          </w:p>
        </w:tc>
        <w:tc>
          <w:tcPr>
            <w:tcW w:type="dxa" w:w="3200"/>
            <w:vAlign w:val="center"/>
          </w:tcPr>
          <w:p>
            <w:pPr>
              <w:spacing w:after="40"/>
            </w:pPr>
            <w:r>
              <w:rPr>
                <w:rFonts w:ascii="Arial" w:cs="Arial" w:eastAsia="Arial" w:hAnsi="Arial"/>
                <w:sz w:val="22"/>
                <w:szCs w:val="22"/>
              </w:rPr>
              <w:t xml:space="preserve">Hasvold &amp; Wootton, 2011</w:t>
            </w:r>
          </w:p>
        </w:tc>
      </w:tr>
      <w:tr>
        <w:trPr>
          <w:cantSplit/>
        </w:trPr>
        <w:tc>
          <w:tcPr>
            <w:tcW w:type="dxa" w:w="3400"/>
            <w:shd w:fill="DCE6F1" w:color="auto" w:val="clear"/>
            <w:vAlign w:val="center"/>
          </w:tcPr>
          <w:p>
            <w:pPr>
              <w:spacing w:after="40"/>
            </w:pPr>
            <w:r>
              <w:rPr>
                <w:rFonts w:ascii="Arial" w:cs="Arial" w:eastAsia="Arial" w:hAnsi="Arial"/>
                <w:b/>
                <w:bCs/>
                <w:sz w:val="22"/>
                <w:szCs w:val="22"/>
              </w:rPr>
              <w:t xml:space="preserve">Gọi tự động + SMS kết hợp</w:t>
            </w:r>
          </w:p>
        </w:tc>
        <w:tc>
          <w:tcPr>
            <w:tcW w:type="dxa" w:w="2800"/>
            <w:vAlign w:val="center"/>
          </w:tcPr>
          <w:p>
            <w:pPr>
              <w:spacing w:after="40"/>
            </w:pPr>
            <w:r>
              <w:rPr>
                <w:rFonts w:ascii="Arial" w:cs="Arial" w:eastAsia="Arial" w:hAnsi="Arial"/>
                <w:sz w:val="22"/>
                <w:szCs w:val="22"/>
              </w:rPr>
              <w:t xml:space="preserve">Thêm ~1-2 điểm % so với chỉ SMS</w:t>
            </w:r>
          </w:p>
        </w:tc>
        <w:tc>
          <w:tcPr>
            <w:tcW w:type="dxa" w:w="3200"/>
            <w:vAlign w:val="center"/>
          </w:tcPr>
          <w:p>
            <w:pPr>
              <w:spacing w:after="40"/>
            </w:pPr>
            <w:r>
              <w:rPr>
                <w:rFonts w:ascii="Arial" w:cs="Arial" w:eastAsia="Arial" w:hAnsi="Arial"/>
                <w:sz w:val="22"/>
                <w:szCs w:val="22"/>
              </w:rPr>
              <w:t xml:space="preserve">NEJM Catalyst, 2025</w:t>
            </w:r>
          </w:p>
        </w:tc>
      </w:tr>
    </w:tbl>
    <w:p>
      <w:pPr>
        <w:pBdr>
          <w:left w:val="single" w:color="2E74B5" w:sz="6" w:space="8"/>
        </w:pBdr>
        <w:spacing w:after="140" w:line="276" w:lineRule="auto"/>
        <w:ind w:left="360"/>
      </w:pPr>
      <w:r>
        <w:rPr>
          <w:rFonts w:ascii="Arial" w:cs="Arial" w:eastAsia="Arial" w:hAnsi="Arial"/>
          <w:i/>
          <w:iCs/>
          <w:color w:val="404040"/>
          <w:sz w:val="22"/>
          <w:szCs w:val="22"/>
        </w:rPr>
        <w:t xml:space="preserve">Điểm quan trọng: hiệu quả phụ thuộc nhiều vào việc bệnh nhân có nghe được cuộc gọi trực tiếp hay không. Một nghiên cứu tại phòng khám VHA (Mỹ) cho thấy no-show chỉ 3% nếu bệnh nhân nghe máy trực tiếp, nhưng lên tới 24% nếu chỉ để lại voicemail, và 39% nếu không liên lạc được.</w:t>
      </w:r>
    </w:p>
    <w:p>
      <w:pPr>
        <w:pBdr>
          <w:bottom w:val="single" w:color="CCCCCC" w:sz="4" w:space="1"/>
        </w:pBdr>
        <w:spacing w:after="200"/>
      </w:pPr>
    </w:p>
    <w:p>
      <w:pPr>
        <w:pBdr>
          <w:bottom w:val="single" w:color="1F4E79" w:sz="6" w:space="2"/>
        </w:pBdr>
        <w:spacing w:after="140" w:before="280"/>
        <w:outlineLvl w:val="0"/>
      </w:pPr>
      <w:r>
        <w:rPr>
          <w:rFonts w:ascii="Arial" w:cs="Arial" w:eastAsia="Arial" w:hAnsi="Arial"/>
          <w:b/>
          <w:bCs/>
          <w:color w:val="1F4E79"/>
          <w:sz w:val="28"/>
          <w:szCs w:val="28"/>
        </w:rPr>
        <w:t xml:space="preserve">2. Số liệu tại Việt Nam</w:t>
      </w:r>
    </w:p>
    <w:p>
      <w:pPr>
        <w:spacing w:after="120" w:before="200"/>
        <w:outlineLvl w:val="1"/>
      </w:pPr>
      <w:r>
        <w:rPr>
          <w:rFonts w:ascii="Arial" w:cs="Arial" w:eastAsia="Arial" w:hAnsi="Arial"/>
          <w:color w:val="2E74B5"/>
          <w:sz w:val="26"/>
          <w:szCs w:val="26"/>
        </w:rPr>
        <w:t xml:space="preserve">2.1. Nền tảng đặt khám trung gian (Medpro)</w:t>
      </w:r>
    </w:p>
    <w:p>
      <w:pPr>
        <w:pStyle w:val="ListParagraph"/>
        <w:numPr>
          <w:ilvl w:val="0"/>
          <w:numId w:val="2"/>
        </w:numPr>
        <w:spacing w:after="80" w:line="276" w:lineRule="auto"/>
      </w:pPr>
      <w:r>
        <w:rPr>
          <w:rFonts w:ascii="Arial" w:cs="Arial" w:eastAsia="Arial" w:hAnsi="Arial"/>
          <w:sz w:val="22"/>
          <w:szCs w:val="22"/>
        </w:rPr>
        <w:t xml:space="preserve">Medpro (đặt khám qua tổng đài 1900 2115, web, app) kết nối </w:t>
      </w:r>
      <w:r>
        <w:rPr>
          <w:rFonts w:ascii="Arial" w:cs="Arial" w:eastAsia="Arial" w:hAnsi="Arial"/>
          <w:b/>
          <w:bCs/>
          <w:sz w:val="22"/>
          <w:szCs w:val="22"/>
        </w:rPr>
        <w:t xml:space="preserve">hơn 100 bệnh viện, 1.000+ phòng khám/phòng mạch</w:t>
      </w:r>
      <w:r>
        <w:rPr>
          <w:rFonts w:ascii="Arial" w:cs="Arial" w:eastAsia="Arial" w:hAnsi="Arial"/>
          <w:sz w:val="22"/>
          <w:szCs w:val="22"/>
        </w:rPr>
        <w:t xml:space="preserve">, khoảng </w:t>
      </w:r>
      <w:r>
        <w:rPr>
          <w:rFonts w:ascii="Arial" w:cs="Arial" w:eastAsia="Arial" w:hAnsi="Arial"/>
          <w:b/>
          <w:bCs/>
          <w:sz w:val="22"/>
          <w:szCs w:val="22"/>
        </w:rPr>
        <w:t xml:space="preserve">4 triệu người dùng</w:t>
      </w:r>
      <w:r>
        <w:rPr>
          <w:rFonts w:ascii="Arial" w:cs="Arial" w:eastAsia="Arial" w:hAnsi="Arial"/>
          <w:sz w:val="22"/>
          <w:szCs w:val="22"/>
        </w:rPr>
        <w:t xml:space="preserve"> (Nguồn: medpro.vn)</w:t>
      </w:r>
    </w:p>
    <w:p>
      <w:pPr>
        <w:pStyle w:val="ListParagraph"/>
        <w:numPr>
          <w:ilvl w:val="0"/>
          <w:numId w:val="2"/>
        </w:numPr>
        <w:spacing w:after="80" w:line="276" w:lineRule="auto"/>
      </w:pPr>
      <w:r>
        <w:rPr>
          <w:rFonts w:ascii="Arial" w:cs="Arial" w:eastAsia="Arial" w:hAnsi="Arial"/>
          <w:sz w:val="22"/>
          <w:szCs w:val="22"/>
        </w:rPr>
        <w:t xml:space="preserve">Medpro Partner+: hợp tác </w:t>
      </w:r>
      <w:r>
        <w:rPr>
          <w:rFonts w:ascii="Arial" w:cs="Arial" w:eastAsia="Arial" w:hAnsi="Arial"/>
          <w:b/>
          <w:bCs/>
          <w:sz w:val="22"/>
          <w:szCs w:val="22"/>
        </w:rPr>
        <w:t xml:space="preserve">300+ cơ sở y tế</w:t>
      </w:r>
      <w:r>
        <w:rPr>
          <w:rFonts w:ascii="Arial" w:cs="Arial" w:eastAsia="Arial" w:hAnsi="Arial"/>
          <w:sz w:val="22"/>
          <w:szCs w:val="22"/>
        </w:rPr>
        <w:t xml:space="preserve">, </w:t>
      </w:r>
      <w:r>
        <w:rPr>
          <w:rFonts w:ascii="Arial" w:cs="Arial" w:eastAsia="Arial" w:hAnsi="Arial"/>
          <w:b/>
          <w:bCs/>
          <w:sz w:val="22"/>
          <w:szCs w:val="22"/>
        </w:rPr>
        <w:t xml:space="preserve">850.000+ lượt truy cập website/tháng</w:t>
      </w:r>
      <w:r>
        <w:rPr>
          <w:rFonts w:ascii="Arial" w:cs="Arial" w:eastAsia="Arial" w:hAnsi="Arial"/>
          <w:sz w:val="22"/>
          <w:szCs w:val="22"/>
        </w:rPr>
        <w:t xml:space="preserve">, </w:t>
      </w:r>
      <w:r>
        <w:rPr>
          <w:rFonts w:ascii="Arial" w:cs="Arial" w:eastAsia="Arial" w:hAnsi="Arial"/>
          <w:b/>
          <w:bCs/>
          <w:sz w:val="22"/>
          <w:szCs w:val="22"/>
        </w:rPr>
        <w:t xml:space="preserve">3 triệu lượt đặt khám thành công</w:t>
      </w:r>
      <w:r>
        <w:rPr>
          <w:rFonts w:ascii="Arial" w:cs="Arial" w:eastAsia="Arial" w:hAnsi="Arial"/>
          <w:sz w:val="22"/>
          <w:szCs w:val="22"/>
        </w:rPr>
        <w:t xml:space="preserve"> lũy kế (Nguồn: medpro.vn, 1/2026)</w:t>
      </w:r>
    </w:p>
    <w:p>
      <w:pPr>
        <w:pStyle w:val="ListParagraph"/>
        <w:numPr>
          <w:ilvl w:val="0"/>
          <w:numId w:val="2"/>
        </w:numPr>
        <w:spacing w:after="80" w:line="276" w:lineRule="auto"/>
      </w:pPr>
      <w:r>
        <w:rPr>
          <w:rFonts w:ascii="Arial" w:cs="Arial" w:eastAsia="Arial" w:hAnsi="Arial"/>
          <w:sz w:val="22"/>
          <w:szCs w:val="22"/>
        </w:rPr>
        <w:t xml:space="preserve">Miền Nam: Medpro xử lý </w:t>
      </w:r>
      <w:r>
        <w:rPr>
          <w:rFonts w:ascii="Arial" w:cs="Arial" w:eastAsia="Arial" w:hAnsi="Arial"/>
          <w:b/>
          <w:bCs/>
          <w:sz w:val="22"/>
          <w:szCs w:val="22"/>
        </w:rPr>
        <w:t xml:space="preserve">hàng chục nghìn lượt đặt khám mỗi ngày</w:t>
      </w:r>
      <w:r>
        <w:rPr>
          <w:rFonts w:ascii="Arial" w:cs="Arial" w:eastAsia="Arial" w:hAnsi="Arial"/>
          <w:sz w:val="22"/>
          <w:szCs w:val="22"/>
        </w:rPr>
        <w:t xml:space="preserve"> qua các bệnh viện đã kết nối (Nguồn: Báo Tuổi Trẻ, 2/2023)</w:t>
      </w:r>
    </w:p>
    <w:p>
      <w:pPr>
        <w:spacing w:after="120" w:before="200"/>
        <w:outlineLvl w:val="1"/>
      </w:pPr>
      <w:r>
        <w:rPr>
          <w:rFonts w:ascii="Arial" w:cs="Arial" w:eastAsia="Arial" w:hAnsi="Arial"/>
          <w:color w:val="2E74B5"/>
          <w:sz w:val="26"/>
          <w:szCs w:val="26"/>
        </w:rPr>
        <w:t xml:space="preserve">2.2. Quy mô bệnh nhân tại các bệnh viện tuyến cuối lớn</w:t>
      </w:r>
    </w:p>
    <w:p>
      <w:pPr>
        <w:pBdr>
          <w:left w:val="single" w:color="2E74B5" w:sz="6" w:space="8"/>
        </w:pBdr>
        <w:spacing w:after="140" w:line="276" w:lineRule="auto"/>
        <w:ind w:left="360"/>
      </w:pPr>
      <w:r>
        <w:rPr>
          <w:rFonts w:ascii="Arial" w:cs="Arial" w:eastAsia="Arial" w:hAnsi="Arial"/>
          <w:i/>
          <w:iCs/>
          <w:color w:val="404040"/>
          <w:sz w:val="22"/>
          <w:szCs w:val="22"/>
        </w:rPr>
        <w:t xml:space="preserve">Đây là số liệu về quy mô nhu cầu khám bệnh, không phải số liệu cuộc gọi trực tiếp — dùng làm bối cảnh, không dùng thay thế cho baseline call center.</w:t>
      </w:r>
    </w:p>
    <w:p>
      <w:pPr>
        <w:pStyle w:val="ListParagraph"/>
        <w:numPr>
          <w:ilvl w:val="0"/>
          <w:numId w:val="2"/>
        </w:numPr>
        <w:spacing w:after="80" w:line="276" w:lineRule="auto"/>
      </w:pPr>
      <w:r>
        <w:rPr>
          <w:rFonts w:ascii="Arial" w:cs="Arial" w:eastAsia="Arial" w:hAnsi="Arial"/>
          <w:sz w:val="22"/>
          <w:szCs w:val="22"/>
        </w:rPr>
        <w:t xml:space="preserve">Bệnh viện Bạch Mai (Hà Nội): </w:t>
      </w:r>
      <w:r>
        <w:rPr>
          <w:rFonts w:ascii="Arial" w:cs="Arial" w:eastAsia="Arial" w:hAnsi="Arial"/>
          <w:b/>
          <w:bCs/>
          <w:sz w:val="22"/>
          <w:szCs w:val="22"/>
        </w:rPr>
        <w:t xml:space="preserve">6.000-7.000 bệnh nhân khám/ngày</w:t>
      </w:r>
      <w:r>
        <w:rPr>
          <w:rFonts w:ascii="Arial" w:cs="Arial" w:eastAsia="Arial" w:hAnsi="Arial"/>
          <w:sz w:val="22"/>
          <w:szCs w:val="22"/>
        </w:rPr>
        <w:t xml:space="preserve">, </w:t>
      </w:r>
      <w:r>
        <w:rPr>
          <w:rFonts w:ascii="Arial" w:cs="Arial" w:eastAsia="Arial" w:hAnsi="Arial"/>
          <w:b/>
          <w:bCs/>
          <w:sz w:val="22"/>
          <w:szCs w:val="22"/>
        </w:rPr>
        <w:t xml:space="preserve">5.000-5.500 bệnh nhân nội trú</w:t>
      </w:r>
      <w:r>
        <w:rPr>
          <w:rFonts w:ascii="Arial" w:cs="Arial" w:eastAsia="Arial" w:hAnsi="Arial"/>
          <w:sz w:val="22"/>
          <w:szCs w:val="22"/>
        </w:rPr>
        <w:t xml:space="preserve">; chỉ khoảng </w:t>
      </w:r>
      <w:r>
        <w:rPr>
          <w:rFonts w:ascii="Arial" w:cs="Arial" w:eastAsia="Arial" w:hAnsi="Arial"/>
          <w:b/>
          <w:bCs/>
          <w:sz w:val="22"/>
          <w:szCs w:val="22"/>
        </w:rPr>
        <w:t xml:space="preserve">5% đi khám theo lịch hẹn</w:t>
      </w:r>
      <w:r>
        <w:rPr>
          <w:rFonts w:ascii="Arial" w:cs="Arial" w:eastAsia="Arial" w:hAnsi="Arial"/>
          <w:sz w:val="22"/>
          <w:szCs w:val="22"/>
        </w:rPr>
        <w:t xml:space="preserve"> đã đặt trước (Nguồn: Dân Trí, 2/2025)</w:t>
      </w:r>
    </w:p>
    <w:p>
      <w:pPr>
        <w:pStyle w:val="ListParagraph"/>
        <w:numPr>
          <w:ilvl w:val="0"/>
          <w:numId w:val="2"/>
        </w:numPr>
        <w:spacing w:after="80" w:line="276" w:lineRule="auto"/>
      </w:pPr>
      <w:r>
        <w:rPr>
          <w:rFonts w:ascii="Arial" w:cs="Arial" w:eastAsia="Arial" w:hAnsi="Arial"/>
          <w:sz w:val="22"/>
          <w:szCs w:val="22"/>
        </w:rPr>
        <w:t xml:space="preserve">Bệnh viện Chợ Rẫy (TP.HCM): </w:t>
      </w:r>
      <w:r>
        <w:rPr>
          <w:rFonts w:ascii="Arial" w:cs="Arial" w:eastAsia="Arial" w:hAnsi="Arial"/>
          <w:b/>
          <w:bCs/>
          <w:sz w:val="22"/>
          <w:szCs w:val="22"/>
        </w:rPr>
        <w:t xml:space="preserve">5.600 bệnh nhân khám/ngày</w:t>
      </w:r>
      <w:r>
        <w:rPr>
          <w:rFonts w:ascii="Arial" w:cs="Arial" w:eastAsia="Arial" w:hAnsi="Arial"/>
          <w:sz w:val="22"/>
          <w:szCs w:val="22"/>
        </w:rPr>
        <w:t xml:space="preserve">; 6 tháng đầu 2024 có </w:t>
      </w:r>
      <w:r>
        <w:rPr>
          <w:rFonts w:ascii="Arial" w:cs="Arial" w:eastAsia="Arial" w:hAnsi="Arial"/>
          <w:b/>
          <w:bCs/>
          <w:sz w:val="22"/>
          <w:szCs w:val="22"/>
        </w:rPr>
        <w:t xml:space="preserve">760.000+ lượt khám và cấp cứu</w:t>
      </w:r>
      <w:r>
        <w:rPr>
          <w:rFonts w:ascii="Arial" w:cs="Arial" w:eastAsia="Arial" w:hAnsi="Arial"/>
          <w:sz w:val="22"/>
          <w:szCs w:val="22"/>
        </w:rPr>
        <w:t xml:space="preserve">; năm 2023: </w:t>
      </w:r>
      <w:r>
        <w:rPr>
          <w:rFonts w:ascii="Arial" w:cs="Arial" w:eastAsia="Arial" w:hAnsi="Arial"/>
          <w:b/>
          <w:bCs/>
          <w:sz w:val="22"/>
          <w:szCs w:val="22"/>
        </w:rPr>
        <w:t xml:space="preserve">1,5 triệu lượt khám ngoại trú</w:t>
      </w:r>
      <w:r>
        <w:rPr>
          <w:rFonts w:ascii="Arial" w:cs="Arial" w:eastAsia="Arial" w:hAnsi="Arial"/>
          <w:sz w:val="22"/>
          <w:szCs w:val="22"/>
        </w:rPr>
        <w:t xml:space="preserve"> (Nguồn: Báo Tuổi Trẻ 8/2024, Báo SGGP)</w:t>
      </w:r>
    </w:p>
    <w:p>
      <w:pPr>
        <w:spacing w:after="120" w:before="200"/>
        <w:outlineLvl w:val="1"/>
      </w:pPr>
      <w:r>
        <w:rPr>
          <w:rFonts w:ascii="Arial" w:cs="Arial" w:eastAsia="Arial" w:hAnsi="Arial"/>
          <w:color w:val="2E74B5"/>
          <w:sz w:val="26"/>
          <w:szCs w:val="26"/>
        </w:rPr>
        <w:t xml:space="preserve">2.3. Tỷ lệ no-show — benchmark quốc tế theo quốc gia (chưa có dữ liệu Việt Nam công khai)</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00"/>
        <w:gridCol w:w="2800"/>
        <w:gridCol w:w="3200"/>
      </w:tblGrid>
      <w:tr>
        <w:trPr>
          <w:cantSplit/>
          <w:tblHeader/>
        </w:trPr>
        <w:tc>
          <w:tcPr>
            <w:tcW w:type="dxa" w:w="3200"/>
            <w:shd w:fill="1F3864" w:color="auto" w:val="clear"/>
            <w:vAlign w:val="center"/>
          </w:tcPr>
          <w:p>
            <w:pPr>
              <w:jc w:val="center"/>
            </w:pPr>
            <w:r>
              <w:rPr>
                <w:rFonts w:ascii="Arial" w:cs="Arial" w:eastAsia="Arial" w:hAnsi="Arial"/>
                <w:b/>
                <w:bCs/>
                <w:color w:val="FFFFFF"/>
                <w:sz w:val="22"/>
                <w:szCs w:val="22"/>
              </w:rPr>
              <w:t xml:space="preserve">Quốc gia/khu vực</w:t>
            </w:r>
          </w:p>
        </w:tc>
        <w:tc>
          <w:tcPr>
            <w:tcW w:type="dxa" w:w="2800"/>
            <w:shd w:fill="1F3864" w:color="auto" w:val="clear"/>
            <w:vAlign w:val="center"/>
          </w:tcPr>
          <w:p>
            <w:pPr>
              <w:jc w:val="center"/>
            </w:pPr>
            <w:r>
              <w:rPr>
                <w:rFonts w:ascii="Arial" w:cs="Arial" w:eastAsia="Arial" w:hAnsi="Arial"/>
                <w:b/>
                <w:bCs/>
                <w:color w:val="FFFFFF"/>
                <w:sz w:val="22"/>
                <w:szCs w:val="22"/>
              </w:rPr>
              <w:t xml:space="preserve">Tỷ lệ no-show</w:t>
            </w:r>
          </w:p>
        </w:tc>
        <w:tc>
          <w:tcPr>
            <w:tcW w:type="dxa" w:w="3200"/>
            <w:shd w:fill="1F3864" w:color="auto" w:val="clear"/>
            <w:vAlign w:val="center"/>
          </w:tcPr>
          <w:p>
            <w:pPr>
              <w:jc w:val="center"/>
            </w:pPr>
            <w:r>
              <w:rPr>
                <w:rFonts w:ascii="Arial" w:cs="Arial" w:eastAsia="Arial" w:hAnsi="Arial"/>
                <w:b/>
                <w:bCs/>
                <w:color w:val="FFFFFF"/>
                <w:sz w:val="22"/>
                <w:szCs w:val="22"/>
              </w:rPr>
              <w:t xml:space="preserve">Nguồn</w:t>
            </w:r>
          </w:p>
        </w:tc>
      </w:tr>
      <w:tr>
        <w:trPr>
          <w:cantSplit/>
        </w:trPr>
        <w:tc>
          <w:tcPr>
            <w:tcW w:type="dxa" w:w="3200"/>
            <w:shd w:fill="DCE6F1" w:color="auto" w:val="clear"/>
            <w:vAlign w:val="center"/>
          </w:tcPr>
          <w:p>
            <w:pPr>
              <w:spacing w:after="40"/>
            </w:pPr>
            <w:r>
              <w:rPr>
                <w:rFonts w:ascii="Arial" w:cs="Arial" w:eastAsia="Arial" w:hAnsi="Arial"/>
                <w:b/>
                <w:bCs/>
                <w:sz w:val="22"/>
                <w:szCs w:val="22"/>
              </w:rPr>
              <w:t xml:space="preserve">Hàn Quốc (đa bệnh viện)</w:t>
            </w:r>
          </w:p>
        </w:tc>
        <w:tc>
          <w:tcPr>
            <w:tcW w:type="dxa" w:w="2800"/>
            <w:vAlign w:val="center"/>
          </w:tcPr>
          <w:p>
            <w:pPr>
              <w:spacing w:after="40"/>
            </w:pPr>
            <w:r>
              <w:rPr>
                <w:rFonts w:ascii="Arial" w:cs="Arial" w:eastAsia="Arial" w:hAnsi="Arial"/>
                <w:sz w:val="22"/>
                <w:szCs w:val="22"/>
              </w:rPr>
              <w:t xml:space="preserve">5-25%</w:t>
            </w:r>
          </w:p>
        </w:tc>
        <w:tc>
          <w:tcPr>
            <w:tcW w:type="dxa" w:w="3200"/>
            <w:vAlign w:val="center"/>
          </w:tcPr>
          <w:p>
            <w:pPr>
              <w:spacing w:after="40"/>
            </w:pPr>
            <w:r>
              <w:rPr>
                <w:rFonts w:ascii="Arial" w:cs="Arial" w:eastAsia="Arial" w:hAnsi="Arial"/>
                <w:sz w:val="22"/>
                <w:szCs w:val="22"/>
              </w:rPr>
              <w:t xml:space="preserve">Nghiên cứu PMC</w:t>
            </w:r>
          </w:p>
        </w:tc>
      </w:tr>
      <w:tr>
        <w:trPr>
          <w:cantSplit/>
        </w:trPr>
        <w:tc>
          <w:tcPr>
            <w:tcW w:type="dxa" w:w="3200"/>
            <w:shd w:fill="DCE6F1" w:color="auto" w:val="clear"/>
            <w:vAlign w:val="center"/>
          </w:tcPr>
          <w:p>
            <w:pPr>
              <w:spacing w:after="40"/>
            </w:pPr>
            <w:r>
              <w:rPr>
                <w:rFonts w:ascii="Arial" w:cs="Arial" w:eastAsia="Arial" w:hAnsi="Arial"/>
                <w:b/>
                <w:bCs/>
                <w:sz w:val="22"/>
                <w:szCs w:val="22"/>
              </w:rPr>
              <w:t xml:space="preserve">Châu Âu (tổng hợp)</w:t>
            </w:r>
          </w:p>
        </w:tc>
        <w:tc>
          <w:tcPr>
            <w:tcW w:type="dxa" w:w="2800"/>
            <w:vAlign w:val="center"/>
          </w:tcPr>
          <w:p>
            <w:pPr>
              <w:spacing w:after="40"/>
            </w:pPr>
            <w:r>
              <w:rPr>
                <w:rFonts w:ascii="Arial" w:cs="Arial" w:eastAsia="Arial" w:hAnsi="Arial"/>
                <w:sz w:val="22"/>
                <w:szCs w:val="22"/>
              </w:rPr>
              <w:t xml:space="preserve">~19,3%</w:t>
            </w:r>
          </w:p>
        </w:tc>
        <w:tc>
          <w:tcPr>
            <w:tcW w:type="dxa" w:w="3200"/>
            <w:vAlign w:val="center"/>
          </w:tcPr>
          <w:p>
            <w:pPr>
              <w:spacing w:after="40"/>
            </w:pPr>
            <w:r>
              <w:rPr>
                <w:rFonts w:ascii="Arial" w:cs="Arial" w:eastAsia="Arial" w:hAnsi="Arial"/>
                <w:sz w:val="22"/>
                <w:szCs w:val="22"/>
              </w:rPr>
              <w:t xml:space="preserve">Systematic review</w:t>
            </w:r>
          </w:p>
        </w:tc>
      </w:tr>
      <w:tr>
        <w:trPr>
          <w:cantSplit/>
        </w:trPr>
        <w:tc>
          <w:tcPr>
            <w:tcW w:type="dxa" w:w="3200"/>
            <w:shd w:fill="DCE6F1" w:color="auto" w:val="clear"/>
            <w:vAlign w:val="center"/>
          </w:tcPr>
          <w:p>
            <w:pPr>
              <w:spacing w:after="40"/>
            </w:pPr>
            <w:r>
              <w:rPr>
                <w:rFonts w:ascii="Arial" w:cs="Arial" w:eastAsia="Arial" w:hAnsi="Arial"/>
                <w:b/>
                <w:bCs/>
                <w:sz w:val="22"/>
                <w:szCs w:val="22"/>
              </w:rPr>
              <w:t xml:space="preserve">Ý (một trung tâm chuyên khoa)</w:t>
            </w:r>
          </w:p>
        </w:tc>
        <w:tc>
          <w:tcPr>
            <w:tcW w:type="dxa" w:w="2800"/>
            <w:vAlign w:val="center"/>
          </w:tcPr>
          <w:p>
            <w:pPr>
              <w:spacing w:after="40"/>
            </w:pPr>
            <w:r>
              <w:rPr>
                <w:rFonts w:ascii="Arial" w:cs="Arial" w:eastAsia="Arial" w:hAnsi="Arial"/>
                <w:sz w:val="22"/>
                <w:szCs w:val="22"/>
              </w:rPr>
              <w:t xml:space="preserve">14,6%</w:t>
            </w:r>
          </w:p>
        </w:tc>
        <w:tc>
          <w:tcPr>
            <w:tcW w:type="dxa" w:w="3200"/>
            <w:vAlign w:val="center"/>
          </w:tcPr>
          <w:p>
            <w:pPr>
              <w:spacing w:after="40"/>
            </w:pPr>
            <w:r>
              <w:rPr>
                <w:rFonts w:ascii="Arial" w:cs="Arial" w:eastAsia="Arial" w:hAnsi="Arial"/>
                <w:sz w:val="22"/>
                <w:szCs w:val="22"/>
              </w:rPr>
              <w:t xml:space="preserve">Nghiên cứu Bắc Ý</w:t>
            </w:r>
          </w:p>
        </w:tc>
      </w:tr>
      <w:tr>
        <w:trPr>
          <w:cantSplit/>
        </w:trPr>
        <w:tc>
          <w:tcPr>
            <w:tcW w:type="dxa" w:w="3200"/>
            <w:shd w:fill="DCE6F1" w:color="auto" w:val="clear"/>
            <w:vAlign w:val="center"/>
          </w:tcPr>
          <w:p>
            <w:pPr>
              <w:spacing w:after="40"/>
            </w:pPr>
            <w:r>
              <w:rPr>
                <w:rFonts w:ascii="Arial" w:cs="Arial" w:eastAsia="Arial" w:hAnsi="Arial"/>
                <w:b/>
                <w:bCs/>
                <w:sz w:val="22"/>
                <w:szCs w:val="22"/>
              </w:rPr>
              <w:t xml:space="preserve">Thổ Nhĩ Kỳ (bệnh viện đại học)</w:t>
            </w:r>
          </w:p>
        </w:tc>
        <w:tc>
          <w:tcPr>
            <w:tcW w:type="dxa" w:w="2800"/>
            <w:vAlign w:val="center"/>
          </w:tcPr>
          <w:p>
            <w:pPr>
              <w:spacing w:after="40"/>
            </w:pPr>
            <w:r>
              <w:rPr>
                <w:rFonts w:ascii="Arial" w:cs="Arial" w:eastAsia="Arial" w:hAnsi="Arial"/>
                <w:sz w:val="22"/>
                <w:szCs w:val="22"/>
              </w:rPr>
              <w:t xml:space="preserve">16,2%</w:t>
            </w:r>
          </w:p>
        </w:tc>
        <w:tc>
          <w:tcPr>
            <w:tcW w:type="dxa" w:w="3200"/>
            <w:vAlign w:val="center"/>
          </w:tcPr>
          <w:p>
            <w:pPr>
              <w:spacing w:after="40"/>
            </w:pPr>
            <w:r>
              <w:rPr>
                <w:rFonts w:ascii="Arial" w:cs="Arial" w:eastAsia="Arial" w:hAnsi="Arial"/>
                <w:sz w:val="22"/>
                <w:szCs w:val="22"/>
              </w:rPr>
              <w:t xml:space="preserve">Nghiên cứu 2025</w:t>
            </w:r>
          </w:p>
        </w:tc>
      </w:tr>
      <w:tr>
        <w:trPr>
          <w:cantSplit/>
        </w:trPr>
        <w:tc>
          <w:tcPr>
            <w:tcW w:type="dxa" w:w="3200"/>
            <w:shd w:fill="DCE6F1" w:color="auto" w:val="clear"/>
            <w:vAlign w:val="center"/>
          </w:tcPr>
          <w:p>
            <w:pPr>
              <w:spacing w:after="40"/>
            </w:pPr>
            <w:r>
              <w:rPr>
                <w:rFonts w:ascii="Arial" w:cs="Arial" w:eastAsia="Arial" w:hAnsi="Arial"/>
                <w:b/>
                <w:bCs/>
                <w:sz w:val="22"/>
                <w:szCs w:val="22"/>
              </w:rPr>
              <w:t xml:space="preserve">Iran (ngoại trú, Tehran)</w:t>
            </w:r>
          </w:p>
        </w:tc>
        <w:tc>
          <w:tcPr>
            <w:tcW w:type="dxa" w:w="2800"/>
            <w:vAlign w:val="center"/>
          </w:tcPr>
          <w:p>
            <w:pPr>
              <w:spacing w:after="40"/>
            </w:pPr>
            <w:r>
              <w:rPr>
                <w:rFonts w:ascii="Arial" w:cs="Arial" w:eastAsia="Arial" w:hAnsi="Arial"/>
                <w:sz w:val="22"/>
                <w:szCs w:val="22"/>
              </w:rPr>
              <w:t xml:space="preserve">50,1% (40-80% tùy khoa)</w:t>
            </w:r>
          </w:p>
        </w:tc>
        <w:tc>
          <w:tcPr>
            <w:tcW w:type="dxa" w:w="3200"/>
            <w:vAlign w:val="center"/>
          </w:tcPr>
          <w:p>
            <w:pPr>
              <w:spacing w:after="40"/>
            </w:pPr>
            <w:r>
              <w:rPr>
                <w:rFonts w:ascii="Arial" w:cs="Arial" w:eastAsia="Arial" w:hAnsi="Arial"/>
                <w:sz w:val="22"/>
                <w:szCs w:val="22"/>
              </w:rPr>
              <w:t xml:space="preserve">Nghiên cứu Tehran</w:t>
            </w:r>
          </w:p>
        </w:tc>
      </w:tr>
      <w:tr>
        <w:trPr>
          <w:cantSplit/>
        </w:trPr>
        <w:tc>
          <w:tcPr>
            <w:tcW w:type="dxa" w:w="3200"/>
            <w:shd w:fill="DCE6F1" w:color="auto" w:val="clear"/>
            <w:vAlign w:val="center"/>
          </w:tcPr>
          <w:p>
            <w:pPr>
              <w:spacing w:after="40"/>
            </w:pPr>
            <w:r>
              <w:rPr>
                <w:rFonts w:ascii="Arial" w:cs="Arial" w:eastAsia="Arial" w:hAnsi="Arial"/>
                <w:b/>
                <w:bCs/>
                <w:sz w:val="22"/>
                <w:szCs w:val="22"/>
              </w:rPr>
              <w:t xml:space="preserve">Mỹ (trung tâm y tế VA)</w:t>
            </w:r>
          </w:p>
        </w:tc>
        <w:tc>
          <w:tcPr>
            <w:tcW w:type="dxa" w:w="2800"/>
            <w:vAlign w:val="center"/>
          </w:tcPr>
          <w:p>
            <w:pPr>
              <w:spacing w:after="40"/>
            </w:pPr>
            <w:r>
              <w:rPr>
                <w:rFonts w:ascii="Arial" w:cs="Arial" w:eastAsia="Arial" w:hAnsi="Arial"/>
                <w:sz w:val="22"/>
                <w:szCs w:val="22"/>
              </w:rPr>
              <w:t xml:space="preserve">18,8% (12,6-25,7%)</w:t>
            </w:r>
          </w:p>
        </w:tc>
        <w:tc>
          <w:tcPr>
            <w:tcW w:type="dxa" w:w="3200"/>
            <w:vAlign w:val="center"/>
          </w:tcPr>
          <w:p>
            <w:pPr>
              <w:spacing w:after="40"/>
            </w:pPr>
            <w:r>
              <w:rPr>
                <w:rFonts w:ascii="Arial" w:cs="Arial" w:eastAsia="Arial" w:hAnsi="Arial"/>
                <w:sz w:val="22"/>
                <w:szCs w:val="22"/>
              </w:rPr>
              <w:t xml:space="preserve">Kheirkhah et al., 2016</w:t>
            </w:r>
          </w:p>
        </w:tc>
      </w:tr>
    </w:tbl>
    <w:p>
      <w:pPr>
        <w:pBdr>
          <w:left w:val="single" w:color="2E74B5" w:sz="6" w:space="8"/>
        </w:pBdr>
        <w:spacing w:after="140" w:line="276" w:lineRule="auto"/>
        <w:ind w:left="360"/>
      </w:pPr>
      <w:r>
        <w:rPr>
          <w:rFonts w:ascii="Arial" w:cs="Arial" w:eastAsia="Arial" w:hAnsi="Arial"/>
          <w:i/>
          <w:iCs/>
          <w:color w:val="404040"/>
          <w:sz w:val="22"/>
          <w:szCs w:val="22"/>
        </w:rPr>
        <w:t xml:space="preserve">Hạn chế của dữ liệu: chưa tìm được số liệu công khai, chính thức về số cuộc gọi/ngày, tỷ lệ missed calls, thời gian chờ trung bình, tỷ lệ bỏ cuộc, hoặc no-show rate riêng cho các bệnh viện Việt Nam (bao gồm Vinmec). Nên ưu tiên thay bằng số liệu nội bộ thực tế ngay khi có thể tiếp cận được.</w:t>
      </w:r>
    </w:p>
    <w:p>
      <w:pPr>
        <w:pBdr>
          <w:bottom w:val="single" w:color="CCCCCC" w:sz="4" w:space="1"/>
        </w:pBdr>
        <w:spacing w:after="200"/>
      </w:pPr>
    </w:p>
    <w:p>
      <w:pPr>
        <w:pBdr>
          <w:bottom w:val="single" w:color="1F4E79" w:sz="6" w:space="2"/>
        </w:pBdr>
        <w:spacing w:after="140" w:before="280"/>
        <w:outlineLvl w:val="0"/>
      </w:pPr>
      <w:r>
        <w:rPr>
          <w:rFonts w:ascii="Arial" w:cs="Arial" w:eastAsia="Arial" w:hAnsi="Arial"/>
          <w:b/>
          <w:bCs/>
          <w:color w:val="1F4E79"/>
          <w:sz w:val="28"/>
          <w:szCs w:val="28"/>
        </w:rPr>
        <w:t xml:space="preserve">3. Gợi ý sử dụng cho slide thuyết trình</w:t>
      </w:r>
    </w:p>
    <w:p>
      <w:pPr>
        <w:pStyle w:val="ListParagraph"/>
        <w:numPr>
          <w:ilvl w:val="0"/>
          <w:numId w:val="2"/>
        </w:numPr>
        <w:spacing w:after="80" w:line="276" w:lineRule="auto"/>
      </w:pPr>
      <w:r>
        <w:rPr>
          <w:rFonts w:ascii="Arial" w:cs="Arial" w:eastAsia="Arial" w:hAnsi="Arial"/>
          <w:sz w:val="22"/>
          <w:szCs w:val="22"/>
        </w:rPr>
        <w:t xml:space="preserve">Slide "Vấn đề/Pain point": dùng số liệu missed calls (23-30%), call abandonment chuẩn ngành (≤5%), và tỷ lệ chỉ 5% bệnh nhân đặt lịch trước tại Bạch Mai để cho thấy khoảng cách giữa thực trạng VN và benchmark quốc tế</w:t>
      </w:r>
    </w:p>
    <w:p>
      <w:pPr>
        <w:pStyle w:val="ListParagraph"/>
        <w:numPr>
          <w:ilvl w:val="0"/>
          <w:numId w:val="2"/>
        </w:numPr>
        <w:spacing w:after="80" w:line="276" w:lineRule="auto"/>
      </w:pPr>
      <w:r>
        <w:rPr>
          <w:rFonts w:ascii="Arial" w:cs="Arial" w:eastAsia="Arial" w:hAnsi="Arial"/>
          <w:sz w:val="22"/>
          <w:szCs w:val="22"/>
        </w:rPr>
        <w:t xml:space="preserve">Slide "Quy mô thị trường/cơ hội": dùng số liệu Medpro (4 triệu người dùng, 100+ bệnh viện) và lượng bệnh nhân Bạch Mai/Chợ Rẫy để minh họa quy mô nhu cầu</w:t>
      </w:r>
    </w:p>
    <w:p>
      <w:pPr>
        <w:pStyle w:val="ListParagraph"/>
        <w:numPr>
          <w:ilvl w:val="0"/>
          <w:numId w:val="2"/>
        </w:numPr>
        <w:spacing w:after="80" w:line="276" w:lineRule="auto"/>
      </w:pPr>
      <w:r>
        <w:rPr>
          <w:rFonts w:ascii="Arial" w:cs="Arial" w:eastAsia="Arial" w:hAnsi="Arial"/>
          <w:sz w:val="22"/>
          <w:szCs w:val="22"/>
        </w:rPr>
        <w:t xml:space="preserve">Slide "Giá trị mang lại": dùng bảng hiệu quả reminder giảm no-show (25-40%) để ước tính lợi ích tài chính tiềm năng</w:t>
      </w:r>
    </w:p>
    <w:p>
      <w:pPr>
        <w:pStyle w:val="ListParagraph"/>
        <w:numPr>
          <w:ilvl w:val="0"/>
          <w:numId w:val="2"/>
        </w:numPr>
        <w:spacing w:after="80" w:line="276" w:lineRule="auto"/>
      </w:pPr>
      <w:r>
        <w:rPr>
          <w:rFonts w:ascii="Arial" w:cs="Arial" w:eastAsia="Arial" w:hAnsi="Arial"/>
          <w:sz w:val="22"/>
          <w:szCs w:val="22"/>
        </w:rPr>
        <w:t xml:space="preserve">Tất cả số liệu quốc tế nên ghi rõ nguồn và ngày công bố trên slide, tránh áp trực tiếp vào bối cảnh Việt Nam như số liệu thật của Vinmec</w:t>
      </w:r>
    </w:p>
    <w:sectPr>
      <w:headerReference w:type="default" r:id="rId7"/>
      <w:footerReference w:type="default" r:id="rId8"/>
      <w:pgSz w:w="11906" w:h="16838" w:orient="portrait"/>
      <w:pgMar w:top="1134" w:right="1134" w:bottom="1134" w:left="1134"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808080"/>
        <w:sz w:val="16"/>
        <w:szCs w:val="16"/>
      </w:rPr>
      <w:t xml:space="preserve">MedicBot – Data Reference</w:t>
    </w:r>
    <w:r>
      <w:rPr>
        <w:rFonts w:ascii="Arial" w:cs="Arial" w:eastAsia="Arial" w:hAnsi="Arial"/>
        <w:color w:val="808080"/>
        <w:sz w:val="16"/>
        <w:szCs w:val="16"/>
      </w:rPr>
      <w:t xml:space="preserve">	</w:t>
    </w:r>
    <w:r>
      <w:rPr>
        <w:rFonts w:ascii="Arial" w:cs="Arial" w:eastAsia="Arial" w:hAnsi="Arial"/>
        <w:color w:val="808080"/>
        <w:sz w:val="16"/>
        <w:szCs w:val="16"/>
      </w:rPr>
      <w:t xml:space="preserve">Trang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b/>
        <w:bCs/>
        <w:color w:val="808080"/>
        <w:sz w:val="16"/>
        <w:szCs w:val="16"/>
      </w:rPr>
      <w:t xml:space="preserve">Số liệu tham khảo – MedicBot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420" w:hanging="2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2026-09-23T03:33:07.490Z</dcterms:created>
  <dcterms:modified xsi:type="dcterms:W3CDTF">2026-09-23T03:33:07.499Z</dcterms:modified>
</cp:coreProperties>
</file>

<file path=docProps/custom.xml><?xml version="1.0" encoding="utf-8"?>
<Properties xmlns="http://schemas.openxmlformats.org/officeDocument/2006/custom-properties" xmlns:vt="http://schemas.openxmlformats.org/officeDocument/2006/docPropsVTypes"/>
</file>