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Analysis of combined_data.csv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Sample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330"/>
        <w:tblGridChange w:id="0">
          <w:tblGrid>
            <w:gridCol w:w="4065"/>
            <w:gridCol w:w="3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 of Samples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 of Samples with Purchases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Attribute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new categorical attribute was created to enable analysis of players as broken into 2 categories (HighRollers and PennyPinchers).  A screenshot of the attribute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&lt;Fill In Screenshot&gt;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&lt;Fill In: Describe the design of your attribute in 1-3 sentences.&gt;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creation of this new categorical attribute was necessary because </w:t>
      </w:r>
      <w:r w:rsidDel="00000000" w:rsidR="00000000" w:rsidRPr="00000000">
        <w:rPr>
          <w:rtl w:val="0"/>
        </w:rPr>
        <w:t xml:space="preserve">&lt;Fill in 1-2 sentences&gt;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attributes were filtered from the dataset for the following reasons: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Rationale for Filtering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&lt;Optional Fill in 1-3 sentences&gt;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