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4629150" cy="12552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4906" cy="1264923"/>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xml:space="preserve">, tốt nhất nên ràng buộc việc sử dụng các tài nguyên này trong khoảng thời gian mà các tài nguyên này thực sự được </w:t>
      </w:r>
      <w:r>
        <w:rPr>
          <w:rFonts w:ascii="Times New Roman" w:hAnsi="Times New Roman" w:cs="Times New Roman"/>
          <w:lang w:val="en-US"/>
        </w:rPr>
        <w:lastRenderedPageBreak/>
        <w:t>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4838700" cy="13698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202" cy="1377683"/>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drawing>
          <wp:inline distT="0" distB="0" distL="0" distR="0">
            <wp:extent cx="5257800" cy="2898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162" cy="2902813"/>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lastRenderedPageBreak/>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drawing>
          <wp:inline distT="0" distB="0" distL="0" distR="0">
            <wp:extent cx="4724400" cy="314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83" cy="3151096"/>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 xml:space="preserve">ng. Các tác vụ sau đó có thể được bắt đầu trực tiếp với các ngắt đó, và sẽ không cần phải gọi hệ điều </w:t>
      </w:r>
      <w:r w:rsidR="000663F2">
        <w:rPr>
          <w:rFonts w:ascii="Times New Roman" w:hAnsi="Times New Roman" w:cs="Times New Roman"/>
        </w:rPr>
        <w:lastRenderedPageBreak/>
        <w:t>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drawing>
          <wp:inline distT="0" distB="0" distL="0" distR="0">
            <wp:extent cx="2228850" cy="27588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516" cy="2769608"/>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w:t>
      </w:r>
      <w:r>
        <w:rPr>
          <w:rFonts w:ascii="Times New Roman" w:hAnsi="Times New Roman" w:cs="Times New Roman"/>
        </w:rPr>
        <w:lastRenderedPageBreak/>
        <w:t xml:space="preserve">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w:t>
      </w:r>
      <w:r w:rsidR="00C94E7C">
        <w:rPr>
          <w:rFonts w:ascii="Times New Roman" w:hAnsi="Times New Roman" w:cs="Times New Roman"/>
        </w:rPr>
        <w:lastRenderedPageBreak/>
        <w:t>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rPr>
        <w:drawing>
          <wp:inline distT="0" distB="0" distL="0" distR="0">
            <wp:extent cx="1162050" cy="2541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364" cy="2564547"/>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rPr>
        <w:lastRenderedPageBreak/>
        <w:drawing>
          <wp:inline distT="0" distB="0" distL="0" distR="0">
            <wp:extent cx="383387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184" cy="693011"/>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rPr>
        <w:drawing>
          <wp:inline distT="0" distB="0" distL="0" distR="0">
            <wp:extent cx="3405994" cy="876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8244" cy="892316"/>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371850" cy="67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25" cy="675125"/>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rPr>
        <w:lastRenderedPageBreak/>
        <w:drawing>
          <wp:inline distT="0" distB="0" distL="0" distR="0">
            <wp:extent cx="3362325" cy="15969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72" cy="1622606"/>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rPr>
        <w:drawing>
          <wp:inline distT="0" distB="0" distL="0" distR="0">
            <wp:extent cx="5734049" cy="16383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586" cy="1650168"/>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rPr>
        <w:lastRenderedPageBreak/>
        <w:drawing>
          <wp:inline distT="0" distB="0" distL="0" distR="0">
            <wp:extent cx="3629025" cy="2234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60" cy="2261325"/>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rPr>
        <w:drawing>
          <wp:inline distT="0" distB="0" distL="0" distR="0">
            <wp:extent cx="575310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lastRenderedPageBreak/>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sao 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247470">
      <w:pPr>
        <w:rPr>
          <w:rFonts w:hint="eastAsia"/>
        </w:rPr>
      </w:pPr>
      <w:r>
        <w:rPr>
          <w:noProof/>
        </w:rPr>
        <w:drawing>
          <wp:inline distT="0" distB="0" distL="0" distR="0">
            <wp:extent cx="5038725" cy="86759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804" cy="906351"/>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r>
        <w:rPr>
          <w:noProof/>
        </w:rPr>
        <w:drawing>
          <wp:inline distT="0" distB="0" distL="0" distR="0">
            <wp:extent cx="3376209"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4790" cy="3342760"/>
                    </a:xfrm>
                    <a:prstGeom prst="rect">
                      <a:avLst/>
                    </a:prstGeom>
                    <a:noFill/>
                    <a:ln>
                      <a:noFill/>
                    </a:ln>
                  </pic:spPr>
                </pic:pic>
              </a:graphicData>
            </a:graphic>
          </wp:inline>
        </w:drawing>
      </w:r>
    </w:p>
    <w:p w:rsidR="009F0F67" w:rsidRDefault="009F0F67" w:rsidP="003F3FC0">
      <w:pPr>
        <w:rPr>
          <w:rFonts w:hint="eastAsia"/>
        </w:rPr>
      </w:pPr>
      <w:r>
        <w:lastRenderedPageBreak/>
        <w:t>Sử dụng thuật toán của Falk, nhóm vòng lặp này được chuyển đổi thành như sau:</w:t>
      </w:r>
    </w:p>
    <w:p w:rsidR="009F0F67" w:rsidRDefault="009F0F67" w:rsidP="003F3FC0">
      <w:pPr>
        <w:rPr>
          <w:rFonts w:hint="eastAsia"/>
        </w:rPr>
      </w:pPr>
      <w:r>
        <w:rPr>
          <w:rFonts w:hint="eastAsia"/>
          <w:noProof/>
        </w:rPr>
        <w:drawing>
          <wp:inline distT="0" distB="0" distL="0" distR="0">
            <wp:extent cx="3128963" cy="4943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904" cy="4970240"/>
                    </a:xfrm>
                    <a:prstGeom prst="rect">
                      <a:avLst/>
                    </a:prstGeom>
                    <a:noFill/>
                    <a:ln>
                      <a:noFill/>
                    </a:ln>
                  </pic:spPr>
                </pic:pic>
              </a:graphicData>
            </a:graphic>
          </wp:inline>
        </w:drawing>
      </w:r>
    </w:p>
    <w:p w:rsidR="007E0193" w:rsidRDefault="009F0F67" w:rsidP="009F0F67">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r>
        <w:t>Hình 5.11 chỉ ra số các vòng lặp có thể tiết kiệm được với việc chia tách nhóm vòng lặp trong rất nhiều các ứng dụng và bộ vi xử lý mục tiêu.</w:t>
      </w:r>
    </w:p>
    <w:p w:rsidR="00F411B6" w:rsidRDefault="00F411B6" w:rsidP="009F0F67">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rPr>
        <w:lastRenderedPageBreak/>
        <w:drawing>
          <wp:inline distT="0" distB="0" distL="0" distR="0">
            <wp:extent cx="5450306"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8848" cy="3606093"/>
                    </a:xfrm>
                    <a:prstGeom prst="rect">
                      <a:avLst/>
                    </a:prstGeom>
                    <a:noFill/>
                    <a:ln>
                      <a:noFill/>
                    </a:ln>
                  </pic:spPr>
                </pic:pic>
              </a:graphicData>
            </a:graphic>
          </wp:inline>
        </w:drawing>
      </w:r>
    </w:p>
    <w:p w:rsidR="00F411B6" w:rsidRDefault="00F411B6" w:rsidP="00F411B6">
      <w:pPr>
        <w:jc w:val="center"/>
      </w:pPr>
      <w:r>
        <w:t>Hình 5.11. Kết quả của việc chia tách vòng lặp</w:t>
      </w:r>
    </w:p>
    <w:p w:rsidR="00F411B6" w:rsidRDefault="00F411B6" w:rsidP="00F411B6">
      <w:pPr>
        <w:rPr>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B87AC0">
      <w:pPr>
        <w:tabs>
          <w:tab w:val="left" w:pos="3990"/>
        </w:tabs>
        <w:rPr>
          <w:rFonts w:hint="eastAsia"/>
        </w:rPr>
      </w:pPr>
      <w:r>
        <w:rPr>
          <w:rFonts w:hint="eastAsia"/>
        </w:rPr>
        <w:tab/>
      </w:r>
      <w:r>
        <w:rPr>
          <w:rFonts w:hint="eastAsia"/>
          <w:noProof/>
        </w:rPr>
        <w:drawing>
          <wp:inline distT="0" distB="0" distL="0" distR="0">
            <wp:extent cx="57531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B87AC0" w:rsidRDefault="00785A18" w:rsidP="00785A18">
      <w:pPr>
        <w:jc w:val="center"/>
      </w:pPr>
      <w:r>
        <w:t>Hình 5.12. Các mô hình tham chiếu cho các mảng</w:t>
      </w:r>
    </w:p>
    <w:p w:rsidR="00785A18" w:rsidRDefault="00785A18" w:rsidP="00785A18">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rPr>
        <w:lastRenderedPageBreak/>
        <w:drawing>
          <wp:inline distT="0" distB="0" distL="0" distR="0">
            <wp:extent cx="5762625" cy="2695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695575"/>
                    </a:xfrm>
                    <a:prstGeom prst="rect">
                      <a:avLst/>
                    </a:prstGeom>
                    <a:noFill/>
                    <a:ln>
                      <a:noFill/>
                    </a:ln>
                  </pic:spPr>
                </pic:pic>
              </a:graphicData>
            </a:graphic>
          </wp:inline>
        </w:drawing>
      </w:r>
    </w:p>
    <w:p w:rsidR="00785A18" w:rsidRDefault="00785A18" w:rsidP="00785A18">
      <w:pPr>
        <w:tabs>
          <w:tab w:val="left" w:pos="3180"/>
          <w:tab w:val="left" w:pos="4065"/>
        </w:tabs>
        <w:jc w:val="cente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rPr>
        <w:drawing>
          <wp:inline distT="0" distB="0" distL="0" distR="0">
            <wp:extent cx="1952625" cy="23865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5539" cy="2414548"/>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r>
        <w:t>Hải loại nén cũng có thể kết hợp lại.</w:t>
      </w:r>
    </w:p>
    <w:p w:rsidR="00411E9C" w:rsidRDefault="00411E9C" w:rsidP="00411E9C">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w:t>
      </w:r>
      <w:r>
        <w:lastRenderedPageBreak/>
        <w:t>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b/>
        </w:rPr>
      </w:pPr>
      <w:r w:rsidRPr="00B04A23">
        <w:rPr>
          <w:b/>
        </w:rPr>
        <w:t>5.3 Phân vùng phần cứng/phần mềm</w:t>
      </w:r>
    </w:p>
    <w:p w:rsidR="00B04A23" w:rsidRDefault="00B04A23" w:rsidP="00411E9C">
      <w:pPr>
        <w:rPr>
          <w:b/>
        </w:rPr>
      </w:pPr>
      <w:r w:rsidRPr="00B04A23">
        <w:rPr>
          <w:b/>
        </w:rPr>
        <w:t xml:space="preserve">5.3.1 Giới </w:t>
      </w:r>
      <w:r>
        <w:rPr>
          <w:b/>
        </w:rPr>
        <w:t>t</w:t>
      </w:r>
      <w:r w:rsidRPr="00B04A23">
        <w:rPr>
          <w:b/>
        </w:rPr>
        <w:t>hiệu</w:t>
      </w:r>
    </w:p>
    <w:p w:rsidR="00B04A23" w:rsidRDefault="00B04A23" w:rsidP="00411E9C">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pPr>
      <w:r>
        <w:rPr>
          <w:rFonts w:hint="eastAsia"/>
          <w:noProof/>
        </w:rPr>
        <w:drawing>
          <wp:inline distT="0" distB="0" distL="0" distR="0">
            <wp:extent cx="3562350" cy="23431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633" cy="2386134"/>
                    </a:xfrm>
                    <a:prstGeom prst="rect">
                      <a:avLst/>
                    </a:prstGeom>
                    <a:noFill/>
                    <a:ln>
                      <a:noFill/>
                    </a:ln>
                  </pic:spPr>
                </pic:pic>
              </a:graphicData>
            </a:graphic>
          </wp:inline>
        </w:drawing>
      </w:r>
    </w:p>
    <w:p w:rsidR="00111AB1" w:rsidRDefault="00111AB1" w:rsidP="0091036A">
      <w:pPr>
        <w:jc w:val="center"/>
      </w:pPr>
      <w:r>
        <w:t>Hình 5.15. Cái nhìn tổng thể về phân vùng phần cứng/phần mềm</w:t>
      </w:r>
    </w:p>
    <w:p w:rsidR="00111AB1" w:rsidRDefault="00111AB1" w:rsidP="00111AB1">
      <w:r>
        <w:lastRenderedPageBreak/>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r>
        <w:t>Các thuật toán phân vùng phức tạp hơn có khả năng ánh xạ đồ các nút đồ thị tới các hệ thống đa xử lý</w:t>
      </w:r>
      <w:r w:rsidR="00356DFE">
        <w:t xml:space="preserve"> </w:t>
      </w:r>
      <w:r w:rsidR="00356DFE">
        <w:t>và phần cứ</w:t>
      </w:r>
      <w:r w:rsidR="00356DFE">
        <w:t xml:space="preserve">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b/>
        </w:rPr>
      </w:pPr>
      <w:r w:rsidRPr="00356DFE">
        <w:rPr>
          <w:b/>
        </w:rPr>
        <w:t>5.3.2 COOL</w:t>
      </w:r>
    </w:p>
    <w:p w:rsidR="00AF23B7" w:rsidRDefault="00AF23B7" w:rsidP="00111AB1">
      <w:r>
        <w:t>Đối với COOL, đầu vào bao gồm ba phần:</w:t>
      </w:r>
    </w:p>
    <w:p w:rsidR="00AF23B7" w:rsidRDefault="00AF23B7" w:rsidP="00111AB1">
      <w:r>
        <w:rPr>
          <w:b/>
        </w:rPr>
        <w:t>Công nghệ mục tiêu</w:t>
      </w:r>
      <w:r w:rsidR="00F975E9">
        <w:rPr>
          <w:b/>
        </w:rPr>
        <w:t>:</w:t>
      </w:r>
      <w:r w:rsidR="00F975E9">
        <w:t xml:space="preserve"> 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A39B3" w:rsidRDefault="00AA39B3" w:rsidP="00111AB1">
      <w:r>
        <w:rPr>
          <w:b/>
        </w:rPr>
        <w:t>Các ràng buộc về thiết kế:</w:t>
      </w:r>
      <w:r>
        <w:t xml:space="preserve"> Phần thứ hai của đầu vào bao gồm các ràng buộc thiết kế như lưu lượng được yêu cầu, đỗ trễ, kích thước bộ nhớ tối đa, hoặc diện tích tối đa cho</w:t>
      </w:r>
      <w:bookmarkStart w:id="0" w:name="_GoBack"/>
      <w:bookmarkEnd w:id="0"/>
      <w:r>
        <w:t xml:space="preserve"> phần cứng dành riêng cho ứng dụng.</w:t>
      </w:r>
    </w:p>
    <w:p w:rsidR="0091036A" w:rsidRPr="00B04A23" w:rsidRDefault="0091036A" w:rsidP="0091036A">
      <w:pPr>
        <w:jc w:val="center"/>
        <w:rPr>
          <w:rFonts w:hint="eastAsia"/>
        </w:rPr>
      </w:pPr>
    </w:p>
    <w:sectPr w:rsidR="0091036A" w:rsidRPr="00B04A23" w:rsidSect="00BD32E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663F2"/>
    <w:rsid w:val="0009172D"/>
    <w:rsid w:val="000C1995"/>
    <w:rsid w:val="000E45B4"/>
    <w:rsid w:val="0010535A"/>
    <w:rsid w:val="00111AB1"/>
    <w:rsid w:val="00115D3A"/>
    <w:rsid w:val="00135222"/>
    <w:rsid w:val="0018611E"/>
    <w:rsid w:val="00196753"/>
    <w:rsid w:val="001C365E"/>
    <w:rsid w:val="00221CB3"/>
    <w:rsid w:val="00240CAD"/>
    <w:rsid w:val="00247470"/>
    <w:rsid w:val="00267175"/>
    <w:rsid w:val="0030613D"/>
    <w:rsid w:val="003202C3"/>
    <w:rsid w:val="00356DFE"/>
    <w:rsid w:val="00360362"/>
    <w:rsid w:val="003765E1"/>
    <w:rsid w:val="003876C9"/>
    <w:rsid w:val="003C366B"/>
    <w:rsid w:val="003D22CA"/>
    <w:rsid w:val="003F3FC0"/>
    <w:rsid w:val="00411E9C"/>
    <w:rsid w:val="004509EB"/>
    <w:rsid w:val="00460F7E"/>
    <w:rsid w:val="0046721C"/>
    <w:rsid w:val="00482499"/>
    <w:rsid w:val="004E4DF8"/>
    <w:rsid w:val="00535250"/>
    <w:rsid w:val="00544163"/>
    <w:rsid w:val="00584EC7"/>
    <w:rsid w:val="005C3E31"/>
    <w:rsid w:val="005C75C8"/>
    <w:rsid w:val="005D286D"/>
    <w:rsid w:val="006041C1"/>
    <w:rsid w:val="0061425C"/>
    <w:rsid w:val="00636D6E"/>
    <w:rsid w:val="0067533A"/>
    <w:rsid w:val="006947CF"/>
    <w:rsid w:val="006B0A01"/>
    <w:rsid w:val="006C2588"/>
    <w:rsid w:val="006C596A"/>
    <w:rsid w:val="006C6EC9"/>
    <w:rsid w:val="00732BDB"/>
    <w:rsid w:val="0074675F"/>
    <w:rsid w:val="0078153C"/>
    <w:rsid w:val="00785A18"/>
    <w:rsid w:val="00791E31"/>
    <w:rsid w:val="00794C1F"/>
    <w:rsid w:val="007D6152"/>
    <w:rsid w:val="007E0193"/>
    <w:rsid w:val="007E5B7A"/>
    <w:rsid w:val="00800DF6"/>
    <w:rsid w:val="00801FFA"/>
    <w:rsid w:val="0082369D"/>
    <w:rsid w:val="008264B3"/>
    <w:rsid w:val="0082696A"/>
    <w:rsid w:val="008B5228"/>
    <w:rsid w:val="008D28CE"/>
    <w:rsid w:val="008E1E74"/>
    <w:rsid w:val="0091036A"/>
    <w:rsid w:val="00942114"/>
    <w:rsid w:val="00961172"/>
    <w:rsid w:val="00974BFA"/>
    <w:rsid w:val="0099516D"/>
    <w:rsid w:val="009A0468"/>
    <w:rsid w:val="009D62D5"/>
    <w:rsid w:val="009D6C77"/>
    <w:rsid w:val="009E4DFF"/>
    <w:rsid w:val="009F0F67"/>
    <w:rsid w:val="00A203CC"/>
    <w:rsid w:val="00A710C1"/>
    <w:rsid w:val="00A85843"/>
    <w:rsid w:val="00AA39B3"/>
    <w:rsid w:val="00AB3069"/>
    <w:rsid w:val="00AF23B7"/>
    <w:rsid w:val="00B04A23"/>
    <w:rsid w:val="00B12533"/>
    <w:rsid w:val="00B87AC0"/>
    <w:rsid w:val="00BD32E4"/>
    <w:rsid w:val="00BD3A33"/>
    <w:rsid w:val="00C05D60"/>
    <w:rsid w:val="00C66BC4"/>
    <w:rsid w:val="00C70883"/>
    <w:rsid w:val="00C73365"/>
    <w:rsid w:val="00C94E7C"/>
    <w:rsid w:val="00CA29D4"/>
    <w:rsid w:val="00CC095C"/>
    <w:rsid w:val="00CD4F00"/>
    <w:rsid w:val="00D218B5"/>
    <w:rsid w:val="00D575B9"/>
    <w:rsid w:val="00DA1D6F"/>
    <w:rsid w:val="00DB5441"/>
    <w:rsid w:val="00DD3C22"/>
    <w:rsid w:val="00DE1C8A"/>
    <w:rsid w:val="00E2763B"/>
    <w:rsid w:val="00E528A1"/>
    <w:rsid w:val="00F05278"/>
    <w:rsid w:val="00F20852"/>
    <w:rsid w:val="00F302EE"/>
    <w:rsid w:val="00F411B6"/>
    <w:rsid w:val="00F5163B"/>
    <w:rsid w:val="00F975E9"/>
    <w:rsid w:val="00FC3DA8"/>
    <w:rsid w:val="00FD22AF"/>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15</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40</cp:revision>
  <dcterms:created xsi:type="dcterms:W3CDTF">2014-08-11T01:33:00Z</dcterms:created>
  <dcterms:modified xsi:type="dcterms:W3CDTF">2014-08-13T05:41:00Z</dcterms:modified>
</cp:coreProperties>
</file>