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1E3EB4">
        <w:t>three</w:t>
      </w:r>
      <w:r w:rsidR="0007042A">
        <w:t xml:space="preserve"> to </w:t>
      </w:r>
      <w:r w:rsidR="001E3EB4">
        <w:t>eight</w:t>
      </w:r>
      <w:r w:rsidR="00504F69">
        <w:t xml:space="preserve"> times faster </w:t>
      </w:r>
      <w:r w:rsidR="0007042A">
        <w:t>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346073">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important factor to be considered.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The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val="en-GB"/>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w:t>
      </w:r>
      <w:r w:rsidR="002B07FA">
        <w:t>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archite</w:t>
      </w:r>
      <w:r w:rsidR="00D25610">
        <w:t xml:space="preserve">cture. GTX 760 has </w:t>
      </w:r>
      <w:r w:rsidR="002B07FA">
        <w:t xml:space="preserve">up to </w:t>
      </w:r>
      <w:r w:rsidR="00D25610">
        <w:t xml:space="preserve">6 </w:t>
      </w:r>
      <w:r w:rsidR="002B07FA" w:rsidRPr="002B07FA">
        <w:t xml:space="preserve">independent </w:t>
      </w:r>
      <w:r w:rsidR="002B07FA">
        <w:t>m</w:t>
      </w:r>
      <w:r w:rsidR="002B07FA">
        <w:t>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w:t>
      </w:r>
      <w:r w:rsidR="00D25610">
        <w:t>192</w:t>
      </w:r>
      <w:r w:rsidR="00D25610">
        <w:t xml:space="preserve"> Scalar Processors (SPs), </w:t>
      </w:r>
      <w:r w:rsidR="002B07FA">
        <w:t>so up to</w:t>
      </w:r>
      <w:r w:rsidR="00D25610">
        <w:t xml:space="preserve"> </w:t>
      </w:r>
      <w:r w:rsidR="00D25610">
        <w:t xml:space="preserve">1152 </w:t>
      </w:r>
      <w:r w:rsidR="002B07FA">
        <w:t xml:space="preserve">thread </w:t>
      </w:r>
      <w:r w:rsidR="00D25610">
        <w:t>processor cores</w:t>
      </w:r>
      <w:r w:rsidR="002B07FA">
        <w:t xml:space="preserve"> can run in parallel</w:t>
      </w:r>
      <w:r w:rsidR="00D25610">
        <w:t>. Each SM has four different types of on-chip memory, namely registers,</w:t>
      </w:r>
      <w:r w:rsidR="00D25610">
        <w:t xml:space="preserve"> shared memory, </w:t>
      </w:r>
      <w:r w:rsidR="00D25610">
        <w:t>constant cache, and texture cache, as shown in Fig.</w:t>
      </w:r>
      <w:r w:rsidR="003C75BC">
        <w:t>2</w:t>
      </w:r>
      <w:r w:rsidR="00D25610">
        <w:t>. Constant cache and texture cache are</w:t>
      </w:r>
      <w:r w:rsidR="00D25610">
        <w:t xml:space="preserve"> both read-only memories shared </w:t>
      </w:r>
      <w:r w:rsidR="00D25610">
        <w:t xml:space="preserve">by all SPs. Off-chip memories such as local memory and global memory have relatively long access latency, usually 400 </w:t>
      </w:r>
      <w:r w:rsidR="00D25610">
        <w:t xml:space="preserve">to </w:t>
      </w:r>
      <w:r w:rsidR="00D25610">
        <w:t>600 clock cycles [</w:t>
      </w:r>
      <w:r w:rsidR="002401F7">
        <w:t>4</w:t>
      </w:r>
      <w:r w:rsidR="00D25610">
        <w:t>]. The properties of the different types of memory have been summariz</w:t>
      </w:r>
      <w:r w:rsidR="00D25610">
        <w:t>ed in [</w:t>
      </w:r>
      <w:r w:rsidR="002401F7">
        <w:t>4</w:t>
      </w:r>
      <w:r w:rsidR="00D25610">
        <w:t xml:space="preserve">]. In general, the </w:t>
      </w:r>
      <w:r w:rsidR="00D25610">
        <w:t xml:space="preserve">scarce </w:t>
      </w:r>
      <w:r w:rsidR="00D25610">
        <w:lastRenderedPageBreak/>
        <w:t>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w:t>
      </w:r>
      <w:r>
        <w:t xml:space="preserve">umber of threads in parallel. A </w:t>
      </w:r>
      <w:r>
        <w:t>single source program includes host codes running on CPU and also kernel codes runnin</w:t>
      </w:r>
      <w:r>
        <w:t xml:space="preserve">g on GPU. Compute-intensive and </w:t>
      </w:r>
      <w:r>
        <w:t>data-parallel tasks have to be implemented as kernel codes so as to be executed on GPU. GPU threads are organized into</w:t>
      </w:r>
      <w:r>
        <w:t xml:space="preserve"> </w:t>
      </w:r>
      <w:r>
        <w:t>thread blocks, and each block of threads are executed concurrently on one SM. Threads i</w:t>
      </w:r>
      <w:r>
        <w:t xml:space="preserve">n a thread block can share data </w:t>
      </w:r>
      <w:r>
        <w:t>through the shared memory and can perform barrier synchronization. But there is no nativ</w:t>
      </w:r>
      <w:r>
        <w:t xml:space="preserve">e synchronization mechanism for </w:t>
      </w:r>
      <w:r>
        <w:t>different thread blocks except by terminating the kernel. Another important concept in CUDA</w:t>
      </w:r>
      <w:r>
        <w:t xml:space="preserve"> is warp, which is formed by 32 </w:t>
      </w:r>
      <w:r>
        <w:t>parallel threads and is the scheduling unit of each SM. When a warp stalls, the SM can schedule another warp to execute. A</w:t>
      </w:r>
      <w:r>
        <w:t xml:space="preserve"> </w:t>
      </w:r>
      <w:r>
        <w:t>warp executes one instruction at a time, so full efficiency can only be achieved when all 32 th</w:t>
      </w:r>
      <w:r>
        <w:t xml:space="preserve">reads in the warp have the same </w:t>
      </w:r>
      <w:r>
        <w:t>execution path. There are two consequences: first, if the threads in a warp have different exe</w:t>
      </w:r>
      <w:r>
        <w:t xml:space="preserve">cution paths due to conditional </w:t>
      </w:r>
      <w:r>
        <w:t>branch, the warp will serially execute each branch which increases the total time of instr</w:t>
      </w:r>
      <w:r>
        <w:t xml:space="preserve">uctions executed for this warp; </w:t>
      </w:r>
      <w:r>
        <w:t>second, if the number of threads in a block is not a multiple of warp size, the remaining instruction cycles will be wasted.</w:t>
      </w:r>
    </w:p>
    <w:p w:rsidR="00F973C7" w:rsidRDefault="00F973C7" w:rsidP="00F973C7">
      <w:pPr>
        <w:pStyle w:val="BodyText"/>
        <w:spacing w:line="360" w:lineRule="auto"/>
      </w:pPr>
      <w:r>
        <w:t xml:space="preserve">Besides, when accessing the memory, half-warp executes as a group, which has 16 threads. </w:t>
      </w:r>
      <w:r>
        <w:t xml:space="preserve">If the half-warp threads access </w:t>
      </w:r>
      <w:r>
        <w:t>the coalesced data, the data access operation will perform within one instruction cycle. Other</w:t>
      </w:r>
      <w:r>
        <w:t xml:space="preserve">wise, the access operation will </w:t>
      </w:r>
      <w:r>
        <w:t>occupy up to 16 instruction cycles.</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9" o:title=""/>
          </v:shape>
          <o:OLEObject Type="Embed" ProgID="Equation.3" ShapeID="_x0000_i1025" DrawAspect="Content" ObjectID="_1482668816" r:id="rId10"/>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1" o:title=""/>
          </v:shape>
          <o:OLEObject Type="Embed" ProgID="Equation.3" ShapeID="_x0000_i1026" DrawAspect="Content" ObjectID="_1482668817"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pt" o:ole="">
            <v:imagedata r:id="rId13" o:title=""/>
          </v:shape>
          <o:OLEObject Type="Embed" ProgID="Equation.3" ShapeID="_x0000_i1027" DrawAspect="Content" ObjectID="_1482668818"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5pt;height:19.5pt" o:ole="">
            <v:imagedata r:id="rId15" o:title=""/>
          </v:shape>
          <o:OLEObject Type="Embed" ProgID="Equation.3" ShapeID="_x0000_i1028" DrawAspect="Content" ObjectID="_1482668819" r:id="rId16"/>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5pt;height:21pt" o:ole="">
            <v:imagedata r:id="rId17" o:title=""/>
          </v:shape>
          <o:OLEObject Type="Embed" ProgID="Equation.3" ShapeID="_x0000_i1029" DrawAspect="Content" ObjectID="_1482668820"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pt;height:21pt" o:ole="">
            <v:imagedata r:id="rId19" o:title=""/>
          </v:shape>
          <o:OLEObject Type="Embed" ProgID="Equation.3" ShapeID="_x0000_i1030" DrawAspect="Content" ObjectID="_1482668821" r:id="rId20"/>
        </w:object>
      </w:r>
      <w:r w:rsidR="009876B2">
        <w:rPr>
          <w:rFonts w:hint="eastAsia"/>
        </w:rPr>
        <w:t xml:space="preserve"> = </w:t>
      </w:r>
      <w:r w:rsidR="009876B2" w:rsidRPr="00AC4131">
        <w:rPr>
          <w:b/>
          <w:position w:val="-14"/>
        </w:rPr>
        <w:object w:dxaOrig="340" w:dyaOrig="400">
          <v:shape id="_x0000_i1031" type="#_x0000_t75" style="width:17.5pt;height:21pt" o:ole="">
            <v:imagedata r:id="rId17" o:title=""/>
          </v:shape>
          <o:OLEObject Type="Embed" ProgID="Equation.3" ShapeID="_x0000_i1031" DrawAspect="Content" ObjectID="_1482668822" r:id="rId21"/>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2" o:title=""/>
          </v:shape>
          <o:OLEObject Type="Embed" ProgID="Equation.3" ShapeID="_x0000_i1032" DrawAspect="Content" ObjectID="_1482668823"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1pt" o:ole="">
            <v:imagedata r:id="rId24" o:title=""/>
          </v:shape>
          <o:OLEObject Type="Embed" ProgID="Equation.3" ShapeID="_x0000_i1033" DrawAspect="Content" ObjectID="_1482668824" r:id="rId25"/>
        </w:object>
      </w:r>
      <w:r>
        <w:rPr>
          <w:b/>
        </w:rPr>
        <w:t xml:space="preserve"> </w:t>
      </w:r>
      <w:r>
        <w:rPr>
          <w:rFonts w:hint="eastAsia"/>
        </w:rPr>
        <w:t>=</w:t>
      </w:r>
      <w:r>
        <w:t xml:space="preserve"> </w:t>
      </w:r>
      <w:r w:rsidRPr="00DC79AE">
        <w:rPr>
          <w:position w:val="-42"/>
        </w:rPr>
        <w:object w:dxaOrig="2659" w:dyaOrig="999">
          <v:shape id="_x0000_i1034" type="#_x0000_t75" style="width:132.5pt;height:50pt" o:ole="">
            <v:imagedata r:id="rId26" o:title=""/>
          </v:shape>
          <o:OLEObject Type="Embed" ProgID="Equation.3" ShapeID="_x0000_i1034" DrawAspect="Content" ObjectID="_1482668825"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2pt;height:1in" o:ole="">
            <v:imagedata r:id="rId28" o:title=""/>
          </v:shape>
          <o:OLEObject Type="Embed" ProgID="Equation.3" ShapeID="_x0000_i1035" DrawAspect="Content" ObjectID="_1482668826"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5pt;height:19.5pt" o:ole="">
            <v:imagedata r:id="rId15" o:title=""/>
          </v:shape>
          <o:OLEObject Type="Embed" ProgID="Equation.3" ShapeID="_x0000_i1036" DrawAspect="Content" ObjectID="_1482668827" r:id="rId30"/>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pt" o:ole="">
            <v:imagedata r:id="rId31" o:title=""/>
          </v:shape>
          <o:OLEObject Type="Embed" ProgID="Equation.3" ShapeID="_x0000_i1037" DrawAspect="Content" ObjectID="_1482668828"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3" o:title=""/>
          </v:shape>
          <o:OLEObject Type="Embed" ProgID="Equation.3" ShapeID="_x0000_i1038" DrawAspect="Content" ObjectID="_1482668829" r:id="rId34"/>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9938E3" w:rsidRPr="00452D92" w:rsidRDefault="009938E3" w:rsidP="009938E3">
      <w:pPr>
        <w:pStyle w:val="ListParagraph"/>
        <w:spacing w:after="0" w:line="300" w:lineRule="auto"/>
        <w:rPr>
          <w:rFonts w:eastAsiaTheme="minorEastAsia"/>
        </w:rPr>
      </w:pPr>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1pt" o:ole="">
            <v:imagedata r:id="rId35" o:title=""/>
          </v:shape>
          <o:OLEObject Type="Embed" ProgID="Equation.3" ShapeID="_x0000_i1039" DrawAspect="Content" ObjectID="_1482668830"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40" type="#_x0000_t75" style="width:17.5pt;height:21pt" o:ole="">
            <v:imagedata r:id="rId19" o:title=""/>
          </v:shape>
          <o:OLEObject Type="Embed" ProgID="Equation.3" ShapeID="_x0000_i1040" DrawAspect="Content" ObjectID="_1482668831"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1pt" o:ole="">
            <v:imagedata r:id="rId38" o:title=""/>
          </v:shape>
          <o:OLEObject Type="Embed" ProgID="Equation.3" ShapeID="_x0000_i1041" DrawAspect="Content" ObjectID="_1482668832"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pt;height:21pt" o:ole="">
            <v:imagedata r:id="rId40" o:title=""/>
          </v:shape>
          <o:OLEObject Type="Embed" ProgID="Equation.3" ShapeID="_x0000_i1042" DrawAspect="Content" ObjectID="_1482668833"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1pt" o:ole="">
            <v:imagedata r:id="rId38" o:title=""/>
          </v:shape>
          <o:OLEObject Type="Embed" ProgID="Equation.3" ShapeID="_x0000_i1043" DrawAspect="Content" ObjectID="_1482668834"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1pt" o:ole="">
            <v:imagedata r:id="rId38" o:title=""/>
          </v:shape>
          <o:OLEObject Type="Embed" ProgID="Equation.3" ShapeID="_x0000_i1044" DrawAspect="Content" ObjectID="_1482668835"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1pt" o:ole="">
            <v:imagedata r:id="rId38" o:title=""/>
          </v:shape>
          <o:OLEObject Type="Embed" ProgID="Equation.3" ShapeID="_x0000_i1045" DrawAspect="Content" ObjectID="_1482668836"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1pt" o:ole="">
            <v:imagedata r:id="rId38" o:title=""/>
          </v:shape>
          <o:OLEObject Type="Embed" ProgID="Equation.3" ShapeID="_x0000_i1046" DrawAspect="Content" ObjectID="_1482668837"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w:t>
      </w:r>
      <w:r w:rsidRPr="00A31DDB">
        <w:lastRenderedPageBreak/>
        <w:t xml:space="preserve">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pt;height:18pt" o:ole="">
            <v:imagedata r:id="rId11" o:title=""/>
          </v:shape>
          <o:OLEObject Type="Embed" ProgID="Equation.3" ShapeID="_x0000_i1047" DrawAspect="Content" ObjectID="_1482668838"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w:t>
      </w:r>
      <w:r w:rsidR="006A01E6">
        <w:rPr>
          <w:rFonts w:eastAsiaTheme="minorEastAsia"/>
        </w:rPr>
        <w:lastRenderedPageBreak/>
        <w:t xml:space="preserve">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lang w:val="en-GB" w:eastAsia="zh-TW"/>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lastRenderedPageBreak/>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the NNT array is sorted,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48" type="#_x0000_t75" style="width:17.5pt;height:21pt" o:ole="">
            <v:imagedata r:id="rId48" o:title=""/>
          </v:shape>
          <o:OLEObject Type="Embed" ProgID="Equation.3" ShapeID="_x0000_i1048" DrawAspect="Content" ObjectID="_1482668839" r:id="rId49"/>
        </w:object>
      </w:r>
      <w:r w:rsidR="00523BC8">
        <w:t xml:space="preserve">for the </w:t>
      </w:r>
      <w:r w:rsidR="00523BC8">
        <w:rPr>
          <w:i/>
        </w:rPr>
        <w:t>j</w:t>
      </w:r>
      <w:r w:rsidR="00523BC8">
        <w:t xml:space="preserve">th cluster as well </w:t>
      </w:r>
      <w:r w:rsidR="00523BC8" w:rsidRPr="00E6371A">
        <w:rPr>
          <w:b/>
          <w:position w:val="-14"/>
        </w:rPr>
        <w:object w:dxaOrig="600" w:dyaOrig="400">
          <v:shape id="_x0000_i1049" type="#_x0000_t75" style="width:29.5pt;height:21pt" o:ole="">
            <v:imagedata r:id="rId50" o:title=""/>
          </v:shape>
          <o:OLEObject Type="Embed" ProgID="Equation.3" ShapeID="_x0000_i1049" DrawAspect="Content" ObjectID="_1482668840" r:id="rId51"/>
        </w:object>
      </w:r>
      <w:r w:rsidR="00523BC8">
        <w:t xml:space="preserve">for the </w:t>
      </w:r>
      <w:r w:rsidR="00523BC8">
        <w:rPr>
          <w:i/>
        </w:rPr>
        <w:t>j</w:t>
      </w:r>
      <w:r w:rsidR="00523BC8">
        <w:t xml:space="preserve">th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50" type="#_x0000_t75" style="width:17.5pt;height:21pt" o:ole="">
            <v:imagedata r:id="rId48" o:title=""/>
          </v:shape>
          <o:OLEObject Type="Embed" ProgID="Equation.3" ShapeID="_x0000_i1050" DrawAspect="Content" ObjectID="_1482668841" r:id="rId52"/>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m:t>
        </m:r>
        <m:r>
          <w:rPr>
            <w:rFonts w:ascii="Cambria Math" w:hAnsi="Cambria Math"/>
          </w:rPr>
          <m:t>=</m:t>
        </m:r>
        <m:r>
          <w:rPr>
            <w:rFonts w:ascii="Cambria Math" w:hAnsi="Cambria Math"/>
          </w:rPr>
          <m:t>histo[j</m:t>
        </m:r>
        <m:r>
          <w:rPr>
            <w:rFonts w:ascii="Cambria Math" w:hAnsi="Cambria Math"/>
          </w:rPr>
          <m:t>]</m:t>
        </m:r>
        <m:r>
          <w:rPr>
            <w:rFonts w:ascii="Cambria Math" w:hAnsi="Cambria Math"/>
          </w:rPr>
          <m:t>/(blockDim*</m:t>
        </m:r>
        <m:r>
          <w:rPr>
            <w:rFonts w:ascii="Cambria Math" w:hAnsi="Cambria Math"/>
          </w:rPr>
          <m:t>4</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m:t>
        </m:r>
        <m:r>
          <w:rPr>
            <w:rFonts w:ascii="Cambria Math" w:hAnsi="Cambria Math"/>
          </w:rPr>
          <m:t>×</m:t>
        </m:r>
        <m:r>
          <w:rPr>
            <w:rFonts w:ascii="Cambria Math" w:hAnsi="Cambria Math"/>
          </w:rPr>
          <m:t>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r>
          <w:rPr>
            <w:rFonts w:ascii="Cambria Math" w:hAnsi="Cambria Math"/>
          </w:rPr>
          <m:t>blockDim</m:t>
        </m:r>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1" type="#_x0000_t75" style="width:29.5pt;height:21pt" o:ole="">
            <v:imagedata r:id="rId50" o:title=""/>
          </v:shape>
          <o:OLEObject Type="Embed" ProgID="Equation.3" ShapeID="_x0000_i1051" DrawAspect="Content" ObjectID="_1482668842" r:id="rId53"/>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m:t>
        </m:r>
        <m:r>
          <w:rPr>
            <w:rFonts w:ascii="Cambria Math" w:hAnsi="Cambria Math"/>
          </w:rPr>
          <m:t>=</m:t>
        </m:r>
        <m:r>
          <w:rPr>
            <w:rFonts w:ascii="Cambria Math" w:hAnsi="Cambria Math"/>
          </w:rPr>
          <m:t>histo[j</m:t>
        </m:r>
        <m:r>
          <w:rPr>
            <w:rFonts w:ascii="Cambria Math" w:hAnsi="Cambria Math"/>
          </w:rPr>
          <m:t>]</m:t>
        </m:r>
        <m:r>
          <w:rPr>
            <w:rFonts w:ascii="Cambria Math" w:hAnsi="Cambria Math"/>
          </w:rPr>
          <m:t>/(blockDim*</m:t>
        </m:r>
        <m:r>
          <w:rPr>
            <w:rFonts w:ascii="Cambria Math" w:hAnsi="Cambria Math"/>
          </w:rPr>
          <m:t>4</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m:t>
        </m:r>
        <m:r>
          <w:rPr>
            <w:rFonts w:ascii="Cambria Math" w:hAnsi="Cambria Math"/>
          </w:rPr>
          <m:t>×</m:t>
        </m:r>
        <m:r>
          <w:rPr>
            <w:rFonts w:ascii="Cambria Math" w:hAnsi="Cambria Math"/>
          </w:rPr>
          <m:t>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r>
          <w:rPr>
            <w:rFonts w:ascii="Cambria Math" w:hAnsi="Cambria Math"/>
          </w:rPr>
          <m:t>blockDim</m:t>
        </m:r>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B562DC" w:rsidRPr="00E6371A">
        <w:rPr>
          <w:b/>
          <w:position w:val="-14"/>
        </w:rPr>
        <w:object w:dxaOrig="360" w:dyaOrig="400">
          <v:shape id="_x0000_i1052" type="#_x0000_t75" style="width:17.5pt;height:21pt" o:ole="">
            <v:imagedata r:id="rId48" o:title=""/>
          </v:shape>
          <o:OLEObject Type="Embed" ProgID="Equation.3" ShapeID="_x0000_i1052" DrawAspect="Content" ObjectID="_1482668843" r:id="rId54"/>
        </w:object>
      </w:r>
      <w:r w:rsidR="00B562DC">
        <w:rPr>
          <w:b/>
        </w:rPr>
        <w:t xml:space="preserve"> </w:t>
      </w:r>
      <w:r w:rsidR="00B562DC">
        <w:t>as well</w:t>
      </w:r>
      <w:r w:rsidR="005B3C42">
        <w:t xml:space="preserve"> </w:t>
      </w:r>
      <w:r w:rsidR="00B562DC" w:rsidRPr="00E6371A">
        <w:rPr>
          <w:b/>
          <w:position w:val="-14"/>
        </w:rPr>
        <w:object w:dxaOrig="600" w:dyaOrig="400">
          <v:shape id="_x0000_i1053" type="#_x0000_t75" style="width:29.5pt;height:21pt" o:ole="">
            <v:imagedata r:id="rId50" o:title=""/>
          </v:shape>
          <o:OLEObject Type="Embed" ProgID="Equation.3" ShapeID="_x0000_i1053" DrawAspect="Content" ObjectID="_1482668844" r:id="rId55"/>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l</m:t>
        </m:r>
        <m:r>
          <w:rPr>
            <w:rFonts w:ascii="Cambria Math" w:hAnsi="Cambria Math"/>
          </w:rPr>
          <m:t xml:space="preserve">=1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Calculating new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x</m:t>
        </m:r>
        <m:r>
          <w:rPr>
            <w:rFonts w:ascii="Cambria Math" w:hAnsi="Cambria Math"/>
          </w:rPr>
          <m:t xml:space="preserve">=1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4" type="#_x0000_t75" style="width:16.5pt;height:19.5pt" o:ole="">
            <v:imagedata r:id="rId15" o:title=""/>
          </v:shape>
          <o:OLEObject Type="Embed" ProgID="Equation.3" ShapeID="_x0000_i1054" DrawAspect="Content" ObjectID="_1482668845" r:id="rId56"/>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5" type="#_x0000_t75" style="width:15pt;height:21pt" o:ole="">
            <v:imagedata r:id="rId38" o:title=""/>
          </v:shape>
          <o:OLEObject Type="Embed" ProgID="Equation.3" ShapeID="_x0000_i1055" DrawAspect="Content" ObjectID="_1482668846" r:id="rId57"/>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6" type="#_x0000_t75" style="width:15pt;height:21pt" o:ole="">
            <v:imagedata r:id="rId38" o:title=""/>
          </v:shape>
          <o:OLEObject Type="Embed" ProgID="Equation.3" ShapeID="_x0000_i1056" DrawAspect="Content" ObjectID="_1482668847" r:id="rId58"/>
        </w:object>
      </w:r>
      <w:r w:rsidR="009C5364">
        <w:t xml:space="preserve">and </w:t>
      </w:r>
      <w:r w:rsidR="009C5364" w:rsidRPr="00CC61A4">
        <w:rPr>
          <w:position w:val="-14"/>
        </w:rPr>
        <w:object w:dxaOrig="600" w:dyaOrig="400">
          <v:shape id="_x0000_i1057" type="#_x0000_t75" style="width:30pt;height:21pt" o:ole="">
            <v:imagedata r:id="rId59" o:title=""/>
          </v:shape>
          <o:OLEObject Type="Embed" ProgID="Equation.3" ShapeID="_x0000_i1057" DrawAspect="Content" ObjectID="_1482668848" r:id="rId60"/>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m:t>
        </m:r>
        <m:r>
          <w:rPr>
            <w:rFonts w:ascii="Cambria Math" w:hAnsi="Cambria Math"/>
          </w:rPr>
          <m:t>4</m:t>
        </m:r>
        <m:r>
          <w:rPr>
            <w:rFonts w:ascii="Cambria Math" w:hAnsi="Cambria Math"/>
          </w:rPr>
          <m:t>);</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m:t>
        </m:r>
        <m:r>
          <w:rPr>
            <w:rFonts w:ascii="Cambria Math" w:hAnsi="Cambria Math"/>
          </w:rPr>
          <m:t>×</m:t>
        </m:r>
        <m:r>
          <w:rPr>
            <w:rFonts w:ascii="Cambria Math" w:hAnsi="Cambria Math"/>
          </w:rPr>
          <m:t>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r>
          <w:rPr>
            <w:rFonts w:ascii="Cambria Math" w:hAnsi="Cambria Math"/>
          </w:rPr>
          <m:t>blockDim</m:t>
        </m:r>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bookmarkStart w:id="0" w:name="_GoBack"/>
      <w:bookmarkEnd w:id="0"/>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lastRenderedPageBreak/>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73572E" w:rsidRDefault="0073572E" w:rsidP="00E76507">
      <w:pPr>
        <w:pStyle w:val="BodyText"/>
        <w:spacing w:line="360" w:lineRule="auto"/>
        <w:jc w:val="center"/>
      </w:pPr>
    </w:p>
    <w:p w:rsidR="0073572E" w:rsidRDefault="0073572E" w:rsidP="00E76507">
      <w:pPr>
        <w:pStyle w:val="BodyText"/>
        <w:spacing w:line="360" w:lineRule="auto"/>
        <w:jc w:val="center"/>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547" w:rsidRDefault="008B5547" w:rsidP="003249A5">
      <w:pPr>
        <w:spacing w:after="0" w:line="240" w:lineRule="auto"/>
      </w:pPr>
      <w:r>
        <w:separator/>
      </w:r>
    </w:p>
  </w:endnote>
  <w:endnote w:type="continuationSeparator" w:id="0">
    <w:p w:rsidR="008B5547" w:rsidRDefault="008B5547"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0F" w:rsidRDefault="005B4E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5B4E0F" w:rsidRDefault="005B4E0F">
        <w:pPr>
          <w:pStyle w:val="Footer"/>
          <w:jc w:val="center"/>
        </w:pPr>
        <w:r>
          <w:fldChar w:fldCharType="begin"/>
        </w:r>
        <w:r>
          <w:instrText xml:space="preserve"> PAGE   \* MERGEFORMAT </w:instrText>
        </w:r>
        <w:r>
          <w:fldChar w:fldCharType="separate"/>
        </w:r>
        <w:r w:rsidR="00D71EFC">
          <w:rPr>
            <w:noProof/>
          </w:rPr>
          <w:t>20</w:t>
        </w:r>
        <w:r>
          <w:rPr>
            <w:noProof/>
          </w:rPr>
          <w:fldChar w:fldCharType="end"/>
        </w:r>
      </w:p>
    </w:sdtContent>
  </w:sdt>
  <w:p w:rsidR="005B4E0F" w:rsidRDefault="005B4E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0F" w:rsidRDefault="005B4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547" w:rsidRDefault="008B5547" w:rsidP="003249A5">
      <w:pPr>
        <w:spacing w:after="0" w:line="240" w:lineRule="auto"/>
      </w:pPr>
      <w:r>
        <w:separator/>
      </w:r>
    </w:p>
  </w:footnote>
  <w:footnote w:type="continuationSeparator" w:id="0">
    <w:p w:rsidR="008B5547" w:rsidRDefault="008B5547"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0F" w:rsidRDefault="005B4E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0F" w:rsidRDefault="005B4E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0F" w:rsidRDefault="005B4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59AE"/>
    <w:rsid w:val="00146349"/>
    <w:rsid w:val="00161D67"/>
    <w:rsid w:val="001629D1"/>
    <w:rsid w:val="00166143"/>
    <w:rsid w:val="0016619E"/>
    <w:rsid w:val="00171FA6"/>
    <w:rsid w:val="001766B8"/>
    <w:rsid w:val="0018304B"/>
    <w:rsid w:val="00186B1A"/>
    <w:rsid w:val="00195599"/>
    <w:rsid w:val="001A0B9F"/>
    <w:rsid w:val="001A3E25"/>
    <w:rsid w:val="001A5D04"/>
    <w:rsid w:val="001A6E55"/>
    <w:rsid w:val="001B11B4"/>
    <w:rsid w:val="001B3975"/>
    <w:rsid w:val="001B56E4"/>
    <w:rsid w:val="001C4580"/>
    <w:rsid w:val="001E1EF8"/>
    <w:rsid w:val="001E3EB4"/>
    <w:rsid w:val="001E64BE"/>
    <w:rsid w:val="001F5452"/>
    <w:rsid w:val="001F596D"/>
    <w:rsid w:val="002131DD"/>
    <w:rsid w:val="00213367"/>
    <w:rsid w:val="00223220"/>
    <w:rsid w:val="00230EEC"/>
    <w:rsid w:val="00232906"/>
    <w:rsid w:val="0023382E"/>
    <w:rsid w:val="00234FC1"/>
    <w:rsid w:val="002401F7"/>
    <w:rsid w:val="00240A1C"/>
    <w:rsid w:val="00246FC6"/>
    <w:rsid w:val="00251AF4"/>
    <w:rsid w:val="00260DC2"/>
    <w:rsid w:val="00273586"/>
    <w:rsid w:val="00290C3A"/>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35CF3"/>
    <w:rsid w:val="00337972"/>
    <w:rsid w:val="00345B51"/>
    <w:rsid w:val="00346073"/>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40ED"/>
    <w:rsid w:val="003B62D7"/>
    <w:rsid w:val="003C260B"/>
    <w:rsid w:val="003C3AF0"/>
    <w:rsid w:val="003C3C21"/>
    <w:rsid w:val="003C75BC"/>
    <w:rsid w:val="003E0968"/>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52D92"/>
    <w:rsid w:val="004753F9"/>
    <w:rsid w:val="0048021A"/>
    <w:rsid w:val="00484D91"/>
    <w:rsid w:val="004910C0"/>
    <w:rsid w:val="00493884"/>
    <w:rsid w:val="0049664A"/>
    <w:rsid w:val="004A3D3D"/>
    <w:rsid w:val="004B7074"/>
    <w:rsid w:val="004C2817"/>
    <w:rsid w:val="004C34E9"/>
    <w:rsid w:val="004C3CAF"/>
    <w:rsid w:val="004D2800"/>
    <w:rsid w:val="004D4B30"/>
    <w:rsid w:val="004E1132"/>
    <w:rsid w:val="004E241C"/>
    <w:rsid w:val="004E2BC7"/>
    <w:rsid w:val="004E48C1"/>
    <w:rsid w:val="004E51F8"/>
    <w:rsid w:val="004F1F1C"/>
    <w:rsid w:val="004F207A"/>
    <w:rsid w:val="004F2276"/>
    <w:rsid w:val="004F2EBA"/>
    <w:rsid w:val="004F3CE1"/>
    <w:rsid w:val="004F52F3"/>
    <w:rsid w:val="004F536D"/>
    <w:rsid w:val="00504F69"/>
    <w:rsid w:val="005107D9"/>
    <w:rsid w:val="00523BC8"/>
    <w:rsid w:val="0053166E"/>
    <w:rsid w:val="00534E24"/>
    <w:rsid w:val="005410AF"/>
    <w:rsid w:val="005448BA"/>
    <w:rsid w:val="0055434A"/>
    <w:rsid w:val="00556982"/>
    <w:rsid w:val="005631A3"/>
    <w:rsid w:val="0056625F"/>
    <w:rsid w:val="00580804"/>
    <w:rsid w:val="00582BA3"/>
    <w:rsid w:val="005835FA"/>
    <w:rsid w:val="00583F50"/>
    <w:rsid w:val="0058680E"/>
    <w:rsid w:val="00586F8E"/>
    <w:rsid w:val="0059545E"/>
    <w:rsid w:val="005977AE"/>
    <w:rsid w:val="005A0401"/>
    <w:rsid w:val="005A3E85"/>
    <w:rsid w:val="005A742C"/>
    <w:rsid w:val="005B042A"/>
    <w:rsid w:val="005B3C42"/>
    <w:rsid w:val="005B4E0F"/>
    <w:rsid w:val="005C19DB"/>
    <w:rsid w:val="005C4BC0"/>
    <w:rsid w:val="005C7244"/>
    <w:rsid w:val="005D214D"/>
    <w:rsid w:val="005F4EFE"/>
    <w:rsid w:val="005F7224"/>
    <w:rsid w:val="00605368"/>
    <w:rsid w:val="0060704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B3BC3"/>
    <w:rsid w:val="006C752A"/>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4B7D"/>
    <w:rsid w:val="00714BFD"/>
    <w:rsid w:val="00722735"/>
    <w:rsid w:val="00723176"/>
    <w:rsid w:val="00734FD8"/>
    <w:rsid w:val="0073505B"/>
    <w:rsid w:val="0073572E"/>
    <w:rsid w:val="00751255"/>
    <w:rsid w:val="00752A66"/>
    <w:rsid w:val="00756EBC"/>
    <w:rsid w:val="00772CBA"/>
    <w:rsid w:val="007933A8"/>
    <w:rsid w:val="0079787F"/>
    <w:rsid w:val="007A150E"/>
    <w:rsid w:val="007B0C37"/>
    <w:rsid w:val="007B159B"/>
    <w:rsid w:val="007B330E"/>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353B5"/>
    <w:rsid w:val="00845F7C"/>
    <w:rsid w:val="00850A8D"/>
    <w:rsid w:val="00852187"/>
    <w:rsid w:val="008542A5"/>
    <w:rsid w:val="00861F14"/>
    <w:rsid w:val="008649B0"/>
    <w:rsid w:val="00870B1B"/>
    <w:rsid w:val="00873EA5"/>
    <w:rsid w:val="00877E44"/>
    <w:rsid w:val="008842A0"/>
    <w:rsid w:val="0088640D"/>
    <w:rsid w:val="00891E88"/>
    <w:rsid w:val="008942D3"/>
    <w:rsid w:val="00897ED9"/>
    <w:rsid w:val="008A2675"/>
    <w:rsid w:val="008A2D18"/>
    <w:rsid w:val="008A356D"/>
    <w:rsid w:val="008B3397"/>
    <w:rsid w:val="008B4886"/>
    <w:rsid w:val="008B5547"/>
    <w:rsid w:val="008C11F3"/>
    <w:rsid w:val="008C1EE9"/>
    <w:rsid w:val="008D4AFB"/>
    <w:rsid w:val="008D65DC"/>
    <w:rsid w:val="008E59E7"/>
    <w:rsid w:val="008F089C"/>
    <w:rsid w:val="008F2A4F"/>
    <w:rsid w:val="00916B51"/>
    <w:rsid w:val="00921879"/>
    <w:rsid w:val="00924BA9"/>
    <w:rsid w:val="00930B83"/>
    <w:rsid w:val="00930BE9"/>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A4DA3"/>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2635"/>
    <w:rsid w:val="00B33203"/>
    <w:rsid w:val="00B35F5A"/>
    <w:rsid w:val="00B3662E"/>
    <w:rsid w:val="00B41767"/>
    <w:rsid w:val="00B44655"/>
    <w:rsid w:val="00B456D7"/>
    <w:rsid w:val="00B54896"/>
    <w:rsid w:val="00B551F9"/>
    <w:rsid w:val="00B55D8D"/>
    <w:rsid w:val="00B562DC"/>
    <w:rsid w:val="00B70446"/>
    <w:rsid w:val="00B72665"/>
    <w:rsid w:val="00B7280B"/>
    <w:rsid w:val="00B75612"/>
    <w:rsid w:val="00B8587A"/>
    <w:rsid w:val="00B919B5"/>
    <w:rsid w:val="00B92802"/>
    <w:rsid w:val="00B94EF9"/>
    <w:rsid w:val="00B954AC"/>
    <w:rsid w:val="00BA05CA"/>
    <w:rsid w:val="00BA28E2"/>
    <w:rsid w:val="00BA60D4"/>
    <w:rsid w:val="00BA7775"/>
    <w:rsid w:val="00BB2DED"/>
    <w:rsid w:val="00BB3B52"/>
    <w:rsid w:val="00BB61D1"/>
    <w:rsid w:val="00BC114B"/>
    <w:rsid w:val="00BC4B7D"/>
    <w:rsid w:val="00BC6B5E"/>
    <w:rsid w:val="00BD1A28"/>
    <w:rsid w:val="00BD4AEF"/>
    <w:rsid w:val="00BD6B73"/>
    <w:rsid w:val="00BD7A94"/>
    <w:rsid w:val="00BE7431"/>
    <w:rsid w:val="00BE7A4B"/>
    <w:rsid w:val="00BF012C"/>
    <w:rsid w:val="00BF20F7"/>
    <w:rsid w:val="00BF2841"/>
    <w:rsid w:val="00C00336"/>
    <w:rsid w:val="00C008A8"/>
    <w:rsid w:val="00C04A1D"/>
    <w:rsid w:val="00C11CE8"/>
    <w:rsid w:val="00C17EF3"/>
    <w:rsid w:val="00C25F0C"/>
    <w:rsid w:val="00C31032"/>
    <w:rsid w:val="00C410B7"/>
    <w:rsid w:val="00C46C04"/>
    <w:rsid w:val="00C55C07"/>
    <w:rsid w:val="00C614F7"/>
    <w:rsid w:val="00C6191A"/>
    <w:rsid w:val="00C7087D"/>
    <w:rsid w:val="00C71E76"/>
    <w:rsid w:val="00C81891"/>
    <w:rsid w:val="00C82F52"/>
    <w:rsid w:val="00C83B24"/>
    <w:rsid w:val="00C86101"/>
    <w:rsid w:val="00C870E3"/>
    <w:rsid w:val="00C91932"/>
    <w:rsid w:val="00C936F3"/>
    <w:rsid w:val="00C95F7B"/>
    <w:rsid w:val="00CA5FD2"/>
    <w:rsid w:val="00CB2720"/>
    <w:rsid w:val="00CB2EB3"/>
    <w:rsid w:val="00CB37F0"/>
    <w:rsid w:val="00CB48DC"/>
    <w:rsid w:val="00CB4DD4"/>
    <w:rsid w:val="00CB6CD4"/>
    <w:rsid w:val="00CE604A"/>
    <w:rsid w:val="00CF50DE"/>
    <w:rsid w:val="00D0172A"/>
    <w:rsid w:val="00D0468C"/>
    <w:rsid w:val="00D12CA6"/>
    <w:rsid w:val="00D13A87"/>
    <w:rsid w:val="00D20C54"/>
    <w:rsid w:val="00D25059"/>
    <w:rsid w:val="00D25610"/>
    <w:rsid w:val="00D35AFB"/>
    <w:rsid w:val="00D426D3"/>
    <w:rsid w:val="00D61A0C"/>
    <w:rsid w:val="00D71EFC"/>
    <w:rsid w:val="00D7204A"/>
    <w:rsid w:val="00D7609A"/>
    <w:rsid w:val="00D82094"/>
    <w:rsid w:val="00D84321"/>
    <w:rsid w:val="00D85B99"/>
    <w:rsid w:val="00D8680C"/>
    <w:rsid w:val="00D92387"/>
    <w:rsid w:val="00DA15A1"/>
    <w:rsid w:val="00DA4E2E"/>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7F8E"/>
    <w:rsid w:val="00E80902"/>
    <w:rsid w:val="00E822D2"/>
    <w:rsid w:val="00E848A1"/>
    <w:rsid w:val="00E85353"/>
    <w:rsid w:val="00E8788F"/>
    <w:rsid w:val="00E9148E"/>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95E8F"/>
    <w:rsid w:val="00F973C7"/>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oleObject" Target="embeddings/oleObject29.bin"/><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2.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30.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image" Target="media/image20.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FD1B-3A0D-40DF-A408-D30339C1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9777</TotalTime>
  <Pages>1</Pages>
  <Words>5237</Words>
  <Characters>29854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289</cp:revision>
  <dcterms:created xsi:type="dcterms:W3CDTF">2014-07-06T06:48:00Z</dcterms:created>
  <dcterms:modified xsi:type="dcterms:W3CDTF">2015-01-13T07:36:00Z</dcterms:modified>
  <cp:category>Thesis</cp:category>
</cp:coreProperties>
</file>