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eastAsia="Times New Roman"/>
          <w:b/>
          <w:i w:val="0"/>
        </w:rPr>
        <w:t>CỘNG HOÀ XÃ HỘI CHỦ NGHĨA VIỆT NAM</w:t>
      </w:r>
    </w:p>
    <w:p>
      <w:pPr>
        <w:spacing w:after="0"/>
        <w:jc w:val="center"/>
      </w:pPr>
      <w:r>
        <w:rPr>
          <w:rFonts w:ascii="Times New Roman" w:hAnsi="Times New Roman" w:eastAsia="Times New Roman"/>
          <w:b/>
          <w:i w:val="0"/>
        </w:rPr>
        <w:t>Độc lập - Tự do - Hạnh phúc</w:t>
      </w:r>
    </w:p>
    <w:p>
      <w:pPr>
        <w:spacing w:after="160"/>
        <w:jc w:val="center"/>
      </w:pPr>
      <w:r>
        <w:rPr>
          <w:rFonts w:ascii="Times New Roman" w:hAnsi="Times New Roman" w:eastAsia="Times New Roman"/>
          <w:b w:val="0"/>
          <w:i w:val="0"/>
        </w:rPr>
        <w:t>------------o0o------------</w:t>
      </w:r>
    </w:p>
    <w:p>
      <w:pPr>
        <w:spacing w:after="0"/>
        <w:jc w:val="left"/>
      </w:pPr>
      <w:r>
        <w:rPr>
          <w:rFonts w:ascii="Times New Roman" w:hAnsi="Times New Roman" w:eastAsia="Times New Roman"/>
          <w:b/>
          <w:i w:val="0"/>
        </w:rPr>
        <w:t>CÔNG TY TNHH THƯƠNG MẠI VÀ CÔNG NGHIỆP TRUNG KIÊN</w:t>
      </w:r>
    </w:p>
    <w:p>
      <w:pPr>
        <w:spacing w:after="0"/>
        <w:jc w:val="left"/>
      </w:pPr>
      <w:r>
        <w:rPr>
          <w:rFonts w:ascii="Times New Roman" w:hAnsi="Times New Roman" w:eastAsia="Times New Roman"/>
          <w:b w:val="0"/>
          <w:i w:val="0"/>
          <w:sz w:val="24"/>
        </w:rPr>
        <w:t>Địa chỉ: Số 5, Ngõ 196, Đường Thạch Bàn, Phường Long Biên, TP Hà Nội</w:t>
      </w:r>
    </w:p>
    <w:p>
      <w:pPr>
        <w:spacing w:after="120"/>
        <w:jc w:val="left"/>
      </w:pPr>
      <w:r>
        <w:rPr>
          <w:rFonts w:ascii="Times New Roman" w:hAnsi="Times New Roman" w:eastAsia="Times New Roman"/>
          <w:b w:val="0"/>
          <w:i w:val="0"/>
          <w:sz w:val="24"/>
        </w:rPr>
        <w:t>Mã số thuế: 0109546164   |   Điện thoại: 096.432.9898</w:t>
      </w:r>
    </w:p>
    <w:p>
      <w:pPr>
        <w:spacing w:after="120"/>
        <w:jc w:val="right"/>
      </w:pPr>
      <w:r>
        <w:rPr>
          <w:rFonts w:ascii="Times New Roman" w:hAnsi="Times New Roman" w:eastAsia="Times New Roman"/>
          <w:b w:val="0"/>
          <w:i/>
        </w:rPr>
        <w:t>Hà Nội, ngày 28 tháng 10 năm 2026</w:t>
      </w:r>
    </w:p>
    <w:p>
      <w:pPr>
        <w:spacing w:after="120"/>
        <w:jc w:val="center"/>
      </w:pPr>
      <w:r>
        <w:rPr>
          <w:rFonts w:ascii="Times New Roman" w:hAnsi="Times New Roman" w:eastAsia="Times New Roman"/>
          <w:b/>
          <w:i w:val="0"/>
          <w:sz w:val="30"/>
        </w:rPr>
        <w:t>GIẤY ĐỀ NGHỊ THANH TOÁN</w:t>
      </w:r>
    </w:p>
    <w:p>
      <w:pPr>
        <w:spacing w:after="60"/>
        <w:jc w:val="both"/>
      </w:pPr>
      <w:r>
        <w:rPr>
          <w:rFonts w:ascii="Times New Roman" w:hAnsi="Times New Roman" w:eastAsia="Times New Roman"/>
          <w:b/>
          <w:i w:val="0"/>
        </w:rPr>
        <w:t xml:space="preserve">Kính gửi: </w:t>
      </w:r>
      <w:r>
        <w:rPr>
          <w:rFonts w:ascii="Times New Roman" w:hAnsi="Times New Roman" w:eastAsia="Times New Roman"/>
          <w:b/>
          <w:i w:val="0"/>
        </w:rPr>
        <w:t>CÔNG TY TNHH HOÀNG VIÊN QUẢNG BÁ</w:t>
      </w:r>
    </w:p>
    <w:p>
      <w:pPr>
        <w:spacing w:after="0"/>
        <w:jc w:val="both"/>
      </w:pPr>
      <w:r>
        <w:rPr>
          <w:rFonts w:ascii="Times New Roman" w:hAnsi="Times New Roman" w:eastAsia="Times New Roman"/>
          <w:b w:val="0"/>
          <w:i w:val="0"/>
        </w:rPr>
        <w:t>Địa chỉ: Số 96, đường Tô Ngọc Vân, Phường Tây Hồ, TP Hà Nội, Việt Nam</w:t>
      </w:r>
    </w:p>
    <w:p>
      <w:pPr>
        <w:spacing w:after="120"/>
        <w:jc w:val="both"/>
      </w:pPr>
      <w:r>
        <w:rPr>
          <w:rFonts w:ascii="Times New Roman" w:hAnsi="Times New Roman" w:eastAsia="Times New Roman"/>
          <w:b w:val="0"/>
          <w:i w:val="0"/>
        </w:rPr>
        <w:t>Mã số thuế: 0100143403</w:t>
      </w:r>
    </w:p>
    <w:p>
      <w:pPr>
        <w:spacing w:after="60"/>
        <w:jc w:val="both"/>
      </w:pPr>
      <w:r>
        <w:rPr>
          <w:rFonts w:ascii="Times New Roman" w:hAnsi="Times New Roman" w:eastAsia="Times New Roman"/>
          <w:b w:val="0"/>
          <w:i w:val="0"/>
        </w:rPr>
        <w:t>Căn cứ Báo giá số BG-28102026-006 ngày 27/10/2026 của CÔNG TY TNHH THƯƠNG MẠI VÀ CÔNG NGHIỆP TRUNG KIÊN về việc cung cấp 02 máy bơm chìm nước thải PEROTAC, model 65WC25-15-2.2 (2,2 kW, 3 pha, 380V);</w:t>
      </w:r>
    </w:p>
    <w:p>
      <w:pPr>
        <w:spacing w:after="60"/>
        <w:jc w:val="both"/>
      </w:pPr>
      <w:r>
        <w:rPr>
          <w:rFonts w:ascii="Times New Roman" w:hAnsi="Times New Roman" w:eastAsia="Times New Roman"/>
          <w:b w:val="0"/>
          <w:i w:val="0"/>
        </w:rPr>
        <w:t>Căn cứ phương thức thanh toán: 100% trước khi nhận hàng hoặc ngay khi nhận hàng (theo báo giá),</w:t>
      </w:r>
    </w:p>
    <w:p>
      <w:pPr>
        <w:spacing w:after="80"/>
        <w:jc w:val="both"/>
      </w:pPr>
      <w:r>
        <w:rPr>
          <w:rFonts w:ascii="Times New Roman" w:hAnsi="Times New Roman" w:eastAsia="Times New Roman"/>
          <w:b w:val="0"/>
          <w:i w:val="0"/>
        </w:rPr>
        <w:t>chúng tôi kính đề nghị Quý Công ty thanh toán 100% giá trị đơn hàng như sau:</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6237"/>
        <w:gridCol w:w="2551"/>
      </w:tblGrid>
      <w:tr>
        <w:trPr>
          <w:cantSplit/>
        </w:trPr>
        <w:tc>
          <w:tcPr>
            <w:tcW w:type="dxa" w:w="6236"/>
          </w:tcPr>
          <w:p>
            <w:pPr>
              <w:jc w:val="center"/>
            </w:pPr>
            <w:r>
              <w:rPr>
                <w:rFonts w:ascii="Times New Roman" w:hAnsi="Times New Roman" w:eastAsia="Times New Roman"/>
                <w:b/>
                <w:i w:val="0"/>
                <w:sz w:val="24"/>
              </w:rPr>
              <w:t>Nội dung</w:t>
            </w:r>
          </w:p>
        </w:tc>
        <w:tc>
          <w:tcPr>
            <w:tcW w:type="dxa" w:w="2551"/>
          </w:tcPr>
          <w:p>
            <w:pPr>
              <w:jc w:val="center"/>
            </w:pPr>
            <w:r>
              <w:rPr>
                <w:rFonts w:ascii="Times New Roman" w:hAnsi="Times New Roman" w:eastAsia="Times New Roman"/>
                <w:b/>
                <w:i w:val="0"/>
                <w:sz w:val="24"/>
              </w:rPr>
              <w:t>Số tiền (đồng)</w:t>
            </w:r>
          </w:p>
        </w:tc>
      </w:tr>
      <w:tr>
        <w:trPr>
          <w:cantSplit/>
        </w:trPr>
        <w:tc>
          <w:tcPr>
            <w:tcW w:type="dxa" w:w="6236"/>
          </w:tcPr>
          <w:p>
            <w:pPr>
              <w:jc w:val="left"/>
            </w:pPr>
            <w:r>
              <w:rPr>
                <w:rFonts w:ascii="Times New Roman" w:hAnsi="Times New Roman" w:eastAsia="Times New Roman"/>
                <w:b w:val="0"/>
                <w:i w:val="0"/>
                <w:sz w:val="24"/>
              </w:rPr>
              <w:t>Giá trị hàng hóa (chưa VAT)</w:t>
            </w:r>
          </w:p>
        </w:tc>
        <w:tc>
          <w:tcPr>
            <w:tcW w:type="dxa" w:w="2551"/>
          </w:tcPr>
          <w:p>
            <w:pPr>
              <w:jc w:val="center"/>
            </w:pPr>
            <w:r>
              <w:rPr>
                <w:rFonts w:ascii="Times New Roman" w:hAnsi="Times New Roman" w:eastAsia="Times New Roman"/>
                <w:b w:val="0"/>
                <w:i w:val="0"/>
                <w:sz w:val="24"/>
              </w:rPr>
              <w:t>11.600.000</w:t>
            </w:r>
          </w:p>
        </w:tc>
      </w:tr>
      <w:tr>
        <w:trPr>
          <w:cantSplit/>
        </w:trPr>
        <w:tc>
          <w:tcPr>
            <w:tcW w:type="dxa" w:w="6236"/>
          </w:tcPr>
          <w:p>
            <w:pPr>
              <w:jc w:val="left"/>
            </w:pPr>
            <w:r>
              <w:rPr>
                <w:rFonts w:ascii="Times New Roman" w:hAnsi="Times New Roman" w:eastAsia="Times New Roman"/>
                <w:b w:val="0"/>
                <w:i w:val="0"/>
                <w:sz w:val="24"/>
              </w:rPr>
              <w:t>Thuế VAT 8%</w:t>
            </w:r>
          </w:p>
        </w:tc>
        <w:tc>
          <w:tcPr>
            <w:tcW w:type="dxa" w:w="2551"/>
          </w:tcPr>
          <w:p>
            <w:pPr>
              <w:jc w:val="center"/>
            </w:pPr>
            <w:r>
              <w:rPr>
                <w:rFonts w:ascii="Times New Roman" w:hAnsi="Times New Roman" w:eastAsia="Times New Roman"/>
                <w:b w:val="0"/>
                <w:i w:val="0"/>
                <w:sz w:val="24"/>
              </w:rPr>
              <w:t>928.000</w:t>
            </w:r>
          </w:p>
        </w:tc>
      </w:tr>
      <w:tr>
        <w:trPr>
          <w:cantSplit/>
        </w:trPr>
        <w:tc>
          <w:tcPr>
            <w:tcW w:type="dxa" w:w="6236"/>
          </w:tcPr>
          <w:p>
            <w:pPr>
              <w:jc w:val="left"/>
            </w:pPr>
            <w:r>
              <w:rPr>
                <w:rFonts w:ascii="Times New Roman" w:hAnsi="Times New Roman" w:eastAsia="Times New Roman"/>
                <w:b/>
                <w:i w:val="0"/>
                <w:sz w:val="24"/>
              </w:rPr>
              <w:t>Tổng giá trị đơn hàng (đã gồm VAT)</w:t>
            </w:r>
          </w:p>
        </w:tc>
        <w:tc>
          <w:tcPr>
            <w:tcW w:type="dxa" w:w="2551"/>
          </w:tcPr>
          <w:p>
            <w:pPr>
              <w:jc w:val="center"/>
            </w:pPr>
            <w:r>
              <w:rPr>
                <w:rFonts w:ascii="Times New Roman" w:hAnsi="Times New Roman" w:eastAsia="Times New Roman"/>
                <w:b w:val="0"/>
                <w:i w:val="0"/>
                <w:sz w:val="24"/>
              </w:rPr>
              <w:t>12.528.000</w:t>
            </w:r>
          </w:p>
        </w:tc>
      </w:tr>
      <w:tr>
        <w:trPr>
          <w:cantSplit/>
        </w:trPr>
        <w:tc>
          <w:tcPr>
            <w:tcW w:type="dxa" w:w="6236"/>
          </w:tcPr>
          <w:p>
            <w:pPr>
              <w:jc w:val="left"/>
            </w:pPr>
            <w:r>
              <w:rPr>
                <w:rFonts w:ascii="Times New Roman" w:hAnsi="Times New Roman" w:eastAsia="Times New Roman"/>
                <w:b w:val="0"/>
                <w:i w:val="0"/>
                <w:sz w:val="24"/>
              </w:rPr>
              <w:t>Số tiền đề nghị thanh toán (100%)</w:t>
            </w:r>
          </w:p>
        </w:tc>
        <w:tc>
          <w:tcPr>
            <w:tcW w:type="dxa" w:w="2551"/>
          </w:tcPr>
          <w:p>
            <w:pPr>
              <w:jc w:val="center"/>
            </w:pPr>
            <w:r>
              <w:rPr>
                <w:rFonts w:ascii="Times New Roman" w:hAnsi="Times New Roman" w:eastAsia="Times New Roman"/>
                <w:b w:val="0"/>
                <w:i w:val="0"/>
                <w:sz w:val="24"/>
              </w:rPr>
              <w:t>12.528.000</w:t>
            </w:r>
          </w:p>
        </w:tc>
      </w:tr>
    </w:tbl>
    <w:p>
      <w:pPr>
        <w:spacing w:after="0" w:line="120" w:lineRule="exact"/>
      </w:pPr>
    </w:p>
    <w:p>
      <w:pPr>
        <w:spacing w:after="60"/>
        <w:jc w:val="both"/>
      </w:pPr>
      <w:r>
        <w:rPr>
          <w:rFonts w:ascii="Times New Roman" w:hAnsi="Times New Roman" w:eastAsia="Times New Roman"/>
          <w:b/>
          <w:i w:val="0"/>
        </w:rPr>
        <w:t>Bằng chữ: Mười hai triệu năm trăm hai mươi tám nghìn đồng.</w:t>
      </w:r>
    </w:p>
    <w:p>
      <w:pPr>
        <w:keepNext/>
        <w:spacing w:after="80"/>
        <w:jc w:val="both"/>
      </w:pPr>
      <w:r>
        <w:rPr>
          <w:rFonts w:ascii="Times New Roman" w:hAnsi="Times New Roman" w:eastAsia="Times New Roman"/>
          <w:b w:val="0"/>
          <w:i w:val="0"/>
        </w:rPr>
        <w:t>Kính đề nghị Quý Công ty chuyển khoản cho CÔNG TY TNHH THƯƠNG MẠI VÀ CÔNG NGHIỆP TRUNG KIÊN, số tài khoản 1040801350 tại Ngân hàng TMCP Ngoại thương Việt Nam (Vietcombank) – CN Hà Nội – PGD số 2; nội dung: Thanh toán 100% đơn hàng theo báo giá BG-28102026-006. Trân trọng cảm ơn Quý Công ty!</w:t>
      </w:r>
    </w:p>
    <w:tbl>
      <w:tblPr>
        <w:tblW w:type="auto" w:w="0"/>
        <w:tblLayout w:type="fixed"/>
        <w:tblLook w:firstColumn="1" w:firstRow="1" w:lastColumn="0" w:lastRow="0" w:noHBand="0" w:noVBand="1" w:val="04A0"/>
        <w:tblBorders>
          <w:top w:val="nil" w:sz="4" w:color="000000"/>
          <w:left w:val="nil" w:sz="4" w:color="000000"/>
          <w:bottom w:val="nil" w:sz="4" w:color="000000"/>
          <w:right w:val="nil" w:sz="4" w:color="000000"/>
          <w:insideH w:val="nil" w:sz="4" w:color="000000"/>
          <w:insideV w:val="nil" w:sz="4" w:color="000000"/>
        </w:tblBorders>
        <w:tblLayout w:type="fixed"/>
      </w:tblPr>
      <w:tblGrid>
        <w:gridCol w:w="4592"/>
        <w:gridCol w:w="4592"/>
      </w:tblGrid>
      <w:tr>
        <w:trPr>
          <w:cantSplit/>
        </w:trPr>
        <w:tc>
          <w:tcPr>
            <w:tcW w:type="dxa" w:w="4592"/>
          </w:tcPr>
          <w:p>
            <w:pPr>
              <w:keepNext/>
              <w:jc w:val="center"/>
            </w:pPr>
            <w:r>
              <w:rPr>
                <w:rFonts w:ascii="Times New Roman" w:hAnsi="Times New Roman" w:eastAsia="Times New Roman"/>
                <w:b/>
                <w:i w:val="0"/>
              </w:rPr>
            </w:r>
          </w:p>
          <w:p>
            <w:pPr>
              <w:keepNext/>
              <w:jc w:val="center"/>
            </w:pPr>
            <w:r>
              <w:rPr>
                <w:rFonts w:ascii="Times New Roman" w:hAnsi="Times New Roman" w:eastAsia="Times New Roman"/>
                <w:b w:val="0"/>
                <w:i/>
                <w:sz w:val="24"/>
              </w:rPr>
            </w:r>
          </w:p>
          <w:p>
            <w:pPr>
              <w:keepNext/>
            </w:pPr>
          </w:p>
          <w:p>
            <w:pPr>
              <w:keepNext/>
            </w:pPr>
          </w:p>
          <w:p/>
        </w:tc>
        <w:tc>
          <w:tcPr>
            <w:tcW w:type="dxa" w:w="4592"/>
          </w:tcPr>
          <w:p>
            <w:pPr>
              <w:keepNext/>
              <w:jc w:val="center"/>
            </w:pPr>
            <w:r>
              <w:rPr>
                <w:rFonts w:ascii="Times New Roman" w:hAnsi="Times New Roman" w:eastAsia="Times New Roman"/>
                <w:b/>
                <w:i w:val="0"/>
              </w:rPr>
              <w:t>BÊN ĐỀ NGHỊ THANH TOÁN</w:t>
            </w:r>
          </w:p>
          <w:p>
            <w:pPr>
              <w:spacing w:after="0"/>
              <w:jc w:val="center"/>
            </w:pPr>
            <w:r>
              <w:drawing>
                <wp:inline xmlns:a="http://schemas.openxmlformats.org/drawingml/2006/main" xmlns:pic="http://schemas.openxmlformats.org/drawingml/2006/picture">
                  <wp:extent cx="2499339" cy="1953391"/>
                  <wp:docPr id="1" name="Picture 1"/>
                  <wp:cNvGraphicFramePr>
                    <a:graphicFrameLocks noChangeAspect="1"/>
                  </wp:cNvGraphicFramePr>
                  <a:graphic>
                    <a:graphicData uri="http://schemas.openxmlformats.org/drawingml/2006/picture">
                      <pic:pic>
                        <pic:nvPicPr>
                          <pic:cNvPr id="0" name="dau_chu_ky_moi_ghep.png"/>
                          <pic:cNvPicPr/>
                        </pic:nvPicPr>
                        <pic:blipFill>
                          <a:blip r:embed="rId9"/>
                          <a:stretch>
                            <a:fillRect/>
                          </a:stretch>
                        </pic:blipFill>
                        <pic:spPr>
                          <a:xfrm>
                            <a:off x="0" y="0"/>
                            <a:ext cx="2499339" cy="1953391"/>
                          </a:xfrm>
                          <a:prstGeom prst="rect"/>
                        </pic:spPr>
                      </pic:pic>
                    </a:graphicData>
                  </a:graphic>
                </wp:inline>
              </w:drawing>
            </w:r>
          </w:p>
        </w:tc>
      </w:tr>
    </w:tbl>
    <w:p>
      <w:pPr>
        <w:spacing w:after="0" w:line="120" w:lineRule="exact"/>
      </w:pP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