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keepNext/>
        <w:spacing w:after="40"/>
        <w:jc w:val="center"/>
      </w:pPr>
      <w:r>
        <w:rPr>
          <w:rFonts w:ascii="Times New Roman" w:hAnsi="Times New Roman" w:eastAsia="Times New Roman"/>
          <w:b/>
          <w:i w:val="0"/>
          <w:sz w:val="30"/>
        </w:rPr>
        <w:t>HỢP ĐỒNG KINH TẾ</w:t>
      </w:r>
    </w:p>
    <w:p>
      <w:pPr>
        <w:spacing w:after="40"/>
        <w:jc w:val="center"/>
      </w:pPr>
      <w:r>
        <w:rPr>
          <w:rFonts w:ascii="Times New Roman" w:hAnsi="Times New Roman" w:eastAsia="Times New Roman"/>
          <w:b w:val="0"/>
          <w:i/>
        </w:rPr>
        <w:t>(Số: ..............................)</w:t>
      </w:r>
    </w:p>
    <w:p>
      <w:pPr>
        <w:spacing w:after="20"/>
        <w:jc w:val="both"/>
      </w:pPr>
      <w:r>
        <w:rPr>
          <w:rFonts w:ascii="Times New Roman" w:hAnsi="Times New Roman" w:eastAsia="Times New Roman"/>
          <w:b w:val="0"/>
          <w:i/>
        </w:rPr>
        <w:t>- Căn cứ Bộ luật Dân sự số 91/2015/QH13 ngày 24/11/2015 và các văn bản hướng dẫn thi hành</w:t>
      </w:r>
    </w:p>
    <w:p>
      <w:pPr>
        <w:spacing w:after="20"/>
        <w:jc w:val="both"/>
      </w:pPr>
      <w:r>
        <w:rPr>
          <w:rFonts w:ascii="Times New Roman" w:hAnsi="Times New Roman" w:eastAsia="Times New Roman"/>
          <w:b w:val="0"/>
          <w:i/>
        </w:rPr>
        <w:t>- Căn cứ vào Luật thương mại của Quốc hội nước CHXHCN Việt Nam có hiệu lực thi hành từ ngày 01/01/2006.</w:t>
      </w:r>
    </w:p>
    <w:p>
      <w:pPr>
        <w:spacing w:after="20"/>
        <w:jc w:val="both"/>
      </w:pPr>
      <w:r>
        <w:rPr>
          <w:rFonts w:ascii="Times New Roman" w:hAnsi="Times New Roman" w:eastAsia="Times New Roman"/>
          <w:b w:val="0"/>
          <w:i/>
        </w:rPr>
        <w:t>- Căn cứ nhu cầu của bên mua và khả năng cung cấp của bên bán.</w:t>
      </w:r>
    </w:p>
    <w:p>
      <w:pPr>
        <w:spacing w:after="80"/>
        <w:jc w:val="both"/>
      </w:pPr>
      <w:r>
        <w:rPr>
          <w:rFonts w:ascii="Times New Roman" w:hAnsi="Times New Roman" w:eastAsia="Times New Roman"/>
          <w:b w:val="0"/>
          <w:i w:val="0"/>
        </w:rPr>
        <w:t>Hôm nay, ngày ..... tháng ..... năm 2026, chúng tôi đại diện cho các bên ký hợp đồng, gồm có:</w:t>
      </w:r>
    </w:p>
    <w:p>
      <w:pPr>
        <w:spacing w:after="60"/>
        <w:jc w:val="both"/>
      </w:pPr>
      <w:r>
        <w:rPr>
          <w:rFonts w:ascii="Times New Roman" w:hAnsi="Times New Roman" w:eastAsia="Times New Roman"/>
          <w:b/>
          <w:i w:val="0"/>
        </w:rPr>
        <w:t xml:space="preserve">BÊN MUA: </w:t>
      </w:r>
      <w:r>
        <w:rPr>
          <w:rFonts w:ascii="Times New Roman" w:hAnsi="Times New Roman" w:eastAsia="Times New Roman"/>
          <w:b/>
          <w:i w:val="0"/>
        </w:rPr>
        <w:t>CÔNG TY TNHH TIẾN ĐẠI</w:t>
      </w:r>
      <w:r>
        <w:rPr>
          <w:rFonts w:ascii="Times New Roman" w:hAnsi="Times New Roman" w:eastAsia="Times New Roman"/>
          <w:b w:val="0"/>
          <w:i w:val="0"/>
        </w:rPr>
        <w:t xml:space="preserve"> (gọi tắt là bên A)</w:t>
      </w:r>
    </w:p>
    <w:p>
      <w:pPr>
        <w:spacing w:after="0"/>
        <w:jc w:val="both"/>
      </w:pPr>
      <w:r>
        <w:rPr>
          <w:rFonts w:ascii="Times New Roman" w:hAnsi="Times New Roman" w:eastAsia="Times New Roman"/>
          <w:b w:val="0"/>
          <w:i w:val="0"/>
        </w:rPr>
        <w:t>Địa chỉ: Thôn Câu Đông, xã An Quang, TP Hải Phòng, Việt Nam</w:t>
      </w:r>
    </w:p>
    <w:p>
      <w:pPr>
        <w:spacing w:after="0"/>
        <w:jc w:val="both"/>
      </w:pPr>
      <w:r>
        <w:rPr>
          <w:rFonts w:ascii="Times New Roman" w:hAnsi="Times New Roman" w:eastAsia="Times New Roman"/>
          <w:b w:val="0"/>
          <w:i w:val="0"/>
        </w:rPr>
        <w:t>Điện thoại kế toán: Ms Luyến: 0915.264.659; Ms Hương: 0915.144.219 / 0326.126.865</w:t>
      </w:r>
    </w:p>
    <w:p>
      <w:pPr>
        <w:spacing w:after="0"/>
        <w:jc w:val="both"/>
      </w:pPr>
      <w:r>
        <w:rPr>
          <w:rFonts w:ascii="Times New Roman" w:hAnsi="Times New Roman" w:eastAsia="Times New Roman"/>
          <w:b w:val="0"/>
          <w:i w:val="0"/>
        </w:rPr>
        <w:t>Mã số thuế: 0200447853</w:t>
      </w:r>
    </w:p>
    <w:p>
      <w:pPr>
        <w:spacing w:after="0"/>
        <w:jc w:val="both"/>
      </w:pPr>
      <w:r>
        <w:rPr>
          <w:rFonts w:ascii="Times New Roman" w:hAnsi="Times New Roman" w:eastAsia="Times New Roman"/>
          <w:b w:val="0"/>
          <w:i w:val="0"/>
        </w:rPr>
        <w:t>Số tài khoản: 110000121971 tại Ngân hàng Vietinbank, chi nhánh Kiến An, Hải Phòng</w:t>
      </w:r>
    </w:p>
    <w:p>
      <w:pPr>
        <w:spacing w:after="120"/>
        <w:jc w:val="both"/>
      </w:pPr>
      <w:r>
        <w:rPr>
          <w:rFonts w:ascii="Times New Roman" w:hAnsi="Times New Roman" w:eastAsia="Times New Roman"/>
          <w:b w:val="0"/>
          <w:i w:val="0"/>
        </w:rPr>
        <w:t>Đại diện: Nguyễn Tiến Đại          Chức vụ: Giám đốc</w:t>
      </w:r>
    </w:p>
    <w:p>
      <w:pPr>
        <w:spacing w:after="60"/>
        <w:jc w:val="both"/>
      </w:pPr>
      <w:r>
        <w:rPr>
          <w:rFonts w:ascii="Times New Roman" w:hAnsi="Times New Roman" w:eastAsia="Times New Roman"/>
          <w:b/>
          <w:i w:val="0"/>
        </w:rPr>
        <w:t xml:space="preserve">BÊN BÁN: </w:t>
      </w:r>
      <w:r>
        <w:rPr>
          <w:rFonts w:ascii="Times New Roman" w:hAnsi="Times New Roman" w:eastAsia="Times New Roman"/>
          <w:b/>
          <w:i w:val="0"/>
        </w:rPr>
        <w:t>CÔNG TY TNHH THƯƠNG MẠI VÀ CÔNG NGHIỆP TRUNG KIÊN</w:t>
      </w:r>
      <w:r>
        <w:rPr>
          <w:rFonts w:ascii="Times New Roman" w:hAnsi="Times New Roman" w:eastAsia="Times New Roman"/>
          <w:b w:val="0"/>
          <w:i w:val="0"/>
        </w:rPr>
        <w:t xml:space="preserve"> (gọi tắt là bên B)</w:t>
      </w:r>
    </w:p>
    <w:p>
      <w:pPr>
        <w:spacing w:after="0"/>
        <w:jc w:val="both"/>
      </w:pPr>
      <w:r>
        <w:rPr>
          <w:rFonts w:ascii="Times New Roman" w:hAnsi="Times New Roman" w:eastAsia="Times New Roman"/>
          <w:b w:val="0"/>
          <w:i w:val="0"/>
        </w:rPr>
        <w:t>Địa chỉ: Số 5, Ngõ 196, Đường Thạch Bàn, Phường Long Biên, TP Hà Nội</w:t>
      </w:r>
    </w:p>
    <w:p>
      <w:pPr>
        <w:spacing w:after="0"/>
        <w:jc w:val="both"/>
      </w:pPr>
      <w:r>
        <w:rPr>
          <w:rFonts w:ascii="Times New Roman" w:hAnsi="Times New Roman" w:eastAsia="Times New Roman"/>
          <w:b w:val="0"/>
          <w:i w:val="0"/>
        </w:rPr>
        <w:t>Điện thoại: 096.432.9898</w:t>
      </w:r>
    </w:p>
    <w:p>
      <w:pPr>
        <w:spacing w:after="0"/>
        <w:jc w:val="both"/>
      </w:pPr>
      <w:r>
        <w:rPr>
          <w:rFonts w:ascii="Times New Roman" w:hAnsi="Times New Roman" w:eastAsia="Times New Roman"/>
          <w:b w:val="0"/>
          <w:i w:val="0"/>
        </w:rPr>
        <w:t>Mã số thuế: 0109546164</w:t>
      </w:r>
    </w:p>
    <w:p>
      <w:pPr>
        <w:spacing w:after="0"/>
        <w:jc w:val="both"/>
      </w:pPr>
      <w:r>
        <w:rPr>
          <w:rFonts w:ascii="Times New Roman" w:hAnsi="Times New Roman" w:eastAsia="Times New Roman"/>
          <w:b w:val="0"/>
          <w:i w:val="0"/>
        </w:rPr>
        <w:t>Số tài khoản: 1040801350 tại Ngân hàng TMCP Ngoại thương Việt Nam (Vietcombank) – CN Hà Nội – PGD số 2</w:t>
      </w:r>
    </w:p>
    <w:p>
      <w:pPr>
        <w:spacing w:after="120"/>
        <w:jc w:val="both"/>
      </w:pPr>
      <w:r>
        <w:rPr>
          <w:rFonts w:ascii="Times New Roman" w:hAnsi="Times New Roman" w:eastAsia="Times New Roman"/>
          <w:b w:val="0"/>
          <w:i w:val="0"/>
        </w:rPr>
        <w:t>Đại diện: Nguyễn Việt Trung          Chức vụ: Giám đốc</w:t>
      </w:r>
    </w:p>
    <w:p>
      <w:pPr>
        <w:keepNext/>
        <w:spacing w:after="40"/>
        <w:jc w:val="both"/>
      </w:pPr>
      <w:r>
        <w:rPr>
          <w:rFonts w:ascii="Times New Roman" w:hAnsi="Times New Roman" w:eastAsia="Times New Roman"/>
          <w:b/>
          <w:i w:val="0"/>
        </w:rPr>
        <w:t>Điều 1: Nội dung Hợp đồng</w:t>
      </w:r>
    </w:p>
    <w:p>
      <w:pPr>
        <w:spacing w:after="60"/>
        <w:jc w:val="both"/>
      </w:pPr>
      <w:r>
        <w:rPr>
          <w:rFonts w:ascii="Times New Roman" w:hAnsi="Times New Roman" w:eastAsia="Times New Roman"/>
          <w:b w:val="0"/>
          <w:i w:val="0"/>
        </w:rPr>
        <w:t>Bên A đồng ý mua, bên B đồng ý bán hàng hóa với đơn giá, số lượng, thông số kỹ thuật như sau: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37"/>
        <w:gridCol w:w="3572"/>
        <w:gridCol w:w="850"/>
        <w:gridCol w:w="793"/>
        <w:gridCol w:w="1530"/>
        <w:gridCol w:w="1587"/>
      </w:tblGrid>
      <w:tr>
        <w:trPr>
          <w:cantSplit/>
        </w:trPr>
        <w:tc>
          <w:tcPr>
            <w:tcW w:type="dxa" w:w="737"/>
          </w:tcPr>
          <w:p>
            <w:pPr>
              <w:jc w:val="center"/>
            </w:pPr>
            <w:r>
              <w:rPr>
                <w:rFonts w:ascii="Times New Roman" w:hAnsi="Times New Roman" w:eastAsia="Times New Roman"/>
                <w:b/>
                <w:i w:val="0"/>
                <w:sz w:val="24"/>
              </w:rPr>
              <w:t>STT</w:t>
            </w:r>
          </w:p>
        </w:tc>
        <w:tc>
          <w:tcPr>
            <w:tcW w:type="dxa" w:w="3572"/>
          </w:tcPr>
          <w:p>
            <w:pPr>
              <w:jc w:val="center"/>
            </w:pPr>
            <w:r>
              <w:rPr>
                <w:rFonts w:ascii="Times New Roman" w:hAnsi="Times New Roman" w:eastAsia="Times New Roman"/>
                <w:b/>
                <w:i w:val="0"/>
                <w:sz w:val="24"/>
              </w:rPr>
              <w:t>Nội dung hàng hóa / Model</w:t>
            </w:r>
          </w:p>
        </w:tc>
        <w:tc>
          <w:tcPr>
            <w:tcW w:type="dxa" w:w="850"/>
          </w:tcPr>
          <w:p>
            <w:pPr>
              <w:jc w:val="center"/>
            </w:pPr>
            <w:r>
              <w:rPr>
                <w:rFonts w:ascii="Times New Roman" w:hAnsi="Times New Roman" w:eastAsia="Times New Roman"/>
                <w:b/>
                <w:i w:val="0"/>
                <w:sz w:val="24"/>
              </w:rPr>
              <w:t>ĐVT</w:t>
            </w:r>
          </w:p>
        </w:tc>
        <w:tc>
          <w:tcPr>
            <w:tcW w:type="dxa" w:w="794"/>
          </w:tcPr>
          <w:p>
            <w:pPr>
              <w:jc w:val="center"/>
            </w:pPr>
            <w:r>
              <w:rPr>
                <w:rFonts w:ascii="Times New Roman" w:hAnsi="Times New Roman" w:eastAsia="Times New Roman"/>
                <w:b/>
                <w:i w:val="0"/>
                <w:sz w:val="24"/>
              </w:rPr>
              <w:t>SL</w:t>
            </w:r>
          </w:p>
        </w:tc>
        <w:tc>
          <w:tcPr>
            <w:tcW w:type="dxa" w:w="1531"/>
          </w:tcPr>
          <w:p>
            <w:pPr>
              <w:jc w:val="center"/>
            </w:pPr>
            <w:r>
              <w:rPr>
                <w:rFonts w:ascii="Times New Roman" w:hAnsi="Times New Roman" w:eastAsia="Times New Roman"/>
                <w:b/>
                <w:i w:val="0"/>
                <w:sz w:val="24"/>
              </w:rPr>
              <w:t>Đơn giá (VNĐ)</w:t>
            </w:r>
          </w:p>
        </w:tc>
        <w:tc>
          <w:tcPr>
            <w:tcW w:type="dxa" w:w="1587"/>
          </w:tcPr>
          <w:p>
            <w:pPr>
              <w:jc w:val="center"/>
            </w:pPr>
            <w:r>
              <w:rPr>
                <w:rFonts w:ascii="Times New Roman" w:hAnsi="Times New Roman" w:eastAsia="Times New Roman"/>
                <w:b/>
                <w:i w:val="0"/>
                <w:sz w:val="24"/>
              </w:rPr>
              <w:t>Thành tiền (VNĐ)</w:t>
            </w:r>
          </w:p>
        </w:tc>
      </w:tr>
      <w:tr>
        <w:trPr>
          <w:cantSplit/>
        </w:trPr>
        <w:tc>
          <w:tcPr>
            <w:tcW w:type="dxa" w:w="737"/>
          </w:tcPr>
          <w:p>
            <w:pPr>
              <w:jc w:val="center"/>
            </w:pPr>
            <w:r>
              <w:rPr>
                <w:rFonts w:ascii="Times New Roman" w:hAnsi="Times New Roman" w:eastAsia="Times New Roman"/>
                <w:b w:val="0"/>
                <w:i w:val="0"/>
                <w:sz w:val="24"/>
              </w:rPr>
              <w:t>1</w:t>
            </w:r>
          </w:p>
        </w:tc>
        <w:tc>
          <w:tcPr>
            <w:tcW w:type="dxa" w:w="3572"/>
          </w:tcPr>
          <w:p>
            <w:pPr>
              <w:jc w:val="left"/>
            </w:pPr>
            <w:r>
              <w:rPr>
                <w:rFonts w:ascii="Times New Roman" w:hAnsi="Times New Roman" w:eastAsia="Times New Roman"/>
                <w:b w:val="0"/>
                <w:i w:val="0"/>
                <w:sz w:val="24"/>
              </w:rPr>
              <w:t>Máy bơm nước, model: SVm-1500F</w:t>
            </w:r>
          </w:p>
        </w:tc>
        <w:tc>
          <w:tcPr>
            <w:tcW w:type="dxa" w:w="850"/>
          </w:tcPr>
          <w:p>
            <w:pPr>
              <w:jc w:val="center"/>
            </w:pPr>
            <w:r>
              <w:rPr>
                <w:rFonts w:ascii="Times New Roman" w:hAnsi="Times New Roman" w:eastAsia="Times New Roman"/>
                <w:b w:val="0"/>
                <w:i w:val="0"/>
                <w:sz w:val="24"/>
              </w:rPr>
              <w:t>cái</w:t>
            </w:r>
          </w:p>
        </w:tc>
        <w:tc>
          <w:tcPr>
            <w:tcW w:type="dxa" w:w="794"/>
          </w:tcPr>
          <w:p>
            <w:pPr>
              <w:jc w:val="center"/>
            </w:pPr>
            <w:r>
              <w:rPr>
                <w:rFonts w:ascii="Times New Roman" w:hAnsi="Times New Roman" w:eastAsia="Times New Roman"/>
                <w:b w:val="0"/>
                <w:i w:val="0"/>
                <w:sz w:val="24"/>
              </w:rPr>
              <w:t>2</w:t>
            </w:r>
          </w:p>
        </w:tc>
        <w:tc>
          <w:tcPr>
            <w:tcW w:type="dxa" w:w="1531"/>
          </w:tcPr>
          <w:p>
            <w:pPr>
              <w:jc w:val="center"/>
            </w:pPr>
            <w:r>
              <w:rPr>
                <w:rFonts w:ascii="Times New Roman" w:hAnsi="Times New Roman" w:eastAsia="Times New Roman"/>
                <w:b w:val="0"/>
                <w:i w:val="0"/>
                <w:sz w:val="24"/>
              </w:rPr>
              <w:t>4.500.000</w:t>
            </w:r>
          </w:p>
        </w:tc>
        <w:tc>
          <w:tcPr>
            <w:tcW w:type="dxa" w:w="1587"/>
          </w:tcPr>
          <w:p>
            <w:pPr>
              <w:jc w:val="center"/>
            </w:pPr>
            <w:r>
              <w:rPr>
                <w:rFonts w:ascii="Times New Roman" w:hAnsi="Times New Roman" w:eastAsia="Times New Roman"/>
                <w:b w:val="0"/>
                <w:i w:val="0"/>
                <w:sz w:val="24"/>
              </w:rPr>
              <w:t>9.000.000</w:t>
            </w:r>
          </w:p>
        </w:tc>
      </w:tr>
      <w:tr>
        <w:trPr>
          <w:cantSplit/>
        </w:trPr>
        <w:tc>
          <w:tcPr>
            <w:tcW w:type="dxa" w:w="737"/>
          </w:tcPr>
          <w:p>
            <w:pPr>
              <w:jc w:val="center"/>
            </w:pPr>
            <w:r>
              <w:rPr>
                <w:rFonts w:ascii="Times New Roman" w:hAnsi="Times New Roman" w:eastAsia="Times New Roman"/>
                <w:b w:val="0"/>
                <w:i w:val="0"/>
                <w:sz w:val="24"/>
              </w:rPr>
              <w:t>2</w:t>
            </w:r>
          </w:p>
        </w:tc>
        <w:tc>
          <w:tcPr>
            <w:tcW w:type="dxa" w:w="3572"/>
          </w:tcPr>
          <w:p>
            <w:pPr>
              <w:jc w:val="left"/>
            </w:pPr>
            <w:r>
              <w:rPr>
                <w:rFonts w:ascii="Times New Roman" w:hAnsi="Times New Roman" w:eastAsia="Times New Roman"/>
                <w:b w:val="0"/>
                <w:i w:val="0"/>
                <w:sz w:val="24"/>
              </w:rPr>
              <w:t>Ống cốt dù phủ nhựa PVC, DK65mm</w:t>
            </w:r>
          </w:p>
        </w:tc>
        <w:tc>
          <w:tcPr>
            <w:tcW w:type="dxa" w:w="850"/>
          </w:tcPr>
          <w:p>
            <w:pPr>
              <w:jc w:val="center"/>
            </w:pPr>
            <w:r>
              <w:rPr>
                <w:rFonts w:ascii="Times New Roman" w:hAnsi="Times New Roman" w:eastAsia="Times New Roman"/>
                <w:b w:val="0"/>
                <w:i w:val="0"/>
                <w:sz w:val="24"/>
              </w:rPr>
              <w:t>mét</w:t>
            </w:r>
          </w:p>
        </w:tc>
        <w:tc>
          <w:tcPr>
            <w:tcW w:type="dxa" w:w="794"/>
          </w:tcPr>
          <w:p>
            <w:pPr>
              <w:jc w:val="center"/>
            </w:pPr>
            <w:r>
              <w:rPr>
                <w:rFonts w:ascii="Times New Roman" w:hAnsi="Times New Roman" w:eastAsia="Times New Roman"/>
                <w:b w:val="0"/>
                <w:i w:val="0"/>
                <w:sz w:val="24"/>
              </w:rPr>
              <w:t>100</w:t>
            </w:r>
          </w:p>
        </w:tc>
        <w:tc>
          <w:tcPr>
            <w:tcW w:type="dxa" w:w="1531"/>
          </w:tcPr>
          <w:p>
            <w:pPr>
              <w:jc w:val="center"/>
            </w:pPr>
            <w:r>
              <w:rPr>
                <w:rFonts w:ascii="Times New Roman" w:hAnsi="Times New Roman" w:eastAsia="Times New Roman"/>
                <w:b w:val="0"/>
                <w:i w:val="0"/>
                <w:sz w:val="24"/>
              </w:rPr>
              <w:t>17.000</w:t>
            </w:r>
          </w:p>
        </w:tc>
        <w:tc>
          <w:tcPr>
            <w:tcW w:type="dxa" w:w="1587"/>
          </w:tcPr>
          <w:p>
            <w:pPr>
              <w:jc w:val="center"/>
            </w:pPr>
            <w:r>
              <w:rPr>
                <w:rFonts w:ascii="Times New Roman" w:hAnsi="Times New Roman" w:eastAsia="Times New Roman"/>
                <w:b w:val="0"/>
                <w:i w:val="0"/>
                <w:sz w:val="24"/>
              </w:rPr>
              <w:t>1.700.000</w:t>
            </w:r>
          </w:p>
        </w:tc>
      </w:tr>
      <w:tr>
        <w:trPr>
          <w:cantSplit/>
        </w:trPr>
        <w:tc>
          <w:tcPr>
            <w:tcW w:type="dxa" w:w="737"/>
          </w:tcPr>
          <w:p>
            <w:pPr>
              <w:jc w:val="center"/>
            </w:pPr>
            <w:r>
              <w:rPr>
                <w:rFonts w:ascii="Times New Roman" w:hAnsi="Times New Roman" w:eastAsia="Times New Roman"/>
                <w:b w:val="0"/>
                <w:i w:val="0"/>
                <w:sz w:val="24"/>
              </w:rPr>
            </w:r>
          </w:p>
        </w:tc>
        <w:tc>
          <w:tcPr>
            <w:tcW w:type="dxa" w:w="3572"/>
          </w:tcPr>
          <w:p>
            <w:pPr>
              <w:jc w:val="left"/>
            </w:pPr>
            <w:r>
              <w:rPr>
                <w:rFonts w:ascii="Times New Roman" w:hAnsi="Times New Roman" w:eastAsia="Times New Roman"/>
                <w:b/>
                <w:i w:val="0"/>
                <w:sz w:val="24"/>
              </w:rPr>
              <w:t>Tổng:</w:t>
            </w:r>
          </w:p>
        </w:tc>
        <w:tc>
          <w:tcPr>
            <w:tcW w:type="dxa" w:w="850"/>
          </w:tcPr>
          <w:p>
            <w:pPr>
              <w:jc w:val="center"/>
            </w:pPr>
            <w:r>
              <w:rPr>
                <w:rFonts w:ascii="Times New Roman" w:hAnsi="Times New Roman" w:eastAsia="Times New Roman"/>
                <w:b w:val="0"/>
                <w:i w:val="0"/>
                <w:sz w:val="24"/>
              </w:rPr>
            </w:r>
          </w:p>
        </w:tc>
        <w:tc>
          <w:tcPr>
            <w:tcW w:type="dxa" w:w="794"/>
          </w:tcPr>
          <w:p>
            <w:pPr>
              <w:jc w:val="center"/>
            </w:pPr>
            <w:r>
              <w:rPr>
                <w:rFonts w:ascii="Times New Roman" w:hAnsi="Times New Roman" w:eastAsia="Times New Roman"/>
                <w:b w:val="0"/>
                <w:i w:val="0"/>
                <w:sz w:val="24"/>
              </w:rPr>
            </w:r>
          </w:p>
        </w:tc>
        <w:tc>
          <w:tcPr>
            <w:tcW w:type="dxa" w:w="1531"/>
          </w:tcPr>
          <w:p>
            <w:pPr>
              <w:jc w:val="center"/>
            </w:pPr>
            <w:r>
              <w:rPr>
                <w:rFonts w:ascii="Times New Roman" w:hAnsi="Times New Roman" w:eastAsia="Times New Roman"/>
                <w:b w:val="0"/>
                <w:i w:val="0"/>
                <w:sz w:val="24"/>
              </w:rPr>
            </w:r>
          </w:p>
        </w:tc>
        <w:tc>
          <w:tcPr>
            <w:tcW w:type="dxa" w:w="1587"/>
          </w:tcPr>
          <w:p>
            <w:pPr>
              <w:jc w:val="center"/>
            </w:pPr>
            <w:r>
              <w:rPr>
                <w:rFonts w:ascii="Times New Roman" w:hAnsi="Times New Roman" w:eastAsia="Times New Roman"/>
                <w:b w:val="0"/>
                <w:i w:val="0"/>
                <w:sz w:val="24"/>
              </w:rPr>
              <w:t>10.700.000</w:t>
            </w:r>
          </w:p>
        </w:tc>
      </w:tr>
      <w:tr>
        <w:trPr>
          <w:cantSplit/>
        </w:trPr>
        <w:tc>
          <w:tcPr>
            <w:tcW w:type="dxa" w:w="737"/>
          </w:tcPr>
          <w:p>
            <w:pPr>
              <w:jc w:val="center"/>
            </w:pPr>
            <w:r>
              <w:rPr>
                <w:rFonts w:ascii="Times New Roman" w:hAnsi="Times New Roman" w:eastAsia="Times New Roman"/>
                <w:b w:val="0"/>
                <w:i w:val="0"/>
                <w:sz w:val="24"/>
              </w:rPr>
            </w:r>
          </w:p>
        </w:tc>
        <w:tc>
          <w:tcPr>
            <w:tcW w:type="dxa" w:w="3572"/>
          </w:tcPr>
          <w:p>
            <w:pPr>
              <w:jc w:val="left"/>
            </w:pPr>
            <w:r>
              <w:rPr>
                <w:rFonts w:ascii="Times New Roman" w:hAnsi="Times New Roman" w:eastAsia="Times New Roman"/>
                <w:b w:val="0"/>
                <w:i w:val="0"/>
                <w:sz w:val="24"/>
              </w:rPr>
              <w:t>VAT (8%):</w:t>
            </w:r>
          </w:p>
        </w:tc>
        <w:tc>
          <w:tcPr>
            <w:tcW w:type="dxa" w:w="850"/>
          </w:tcPr>
          <w:p>
            <w:pPr>
              <w:jc w:val="center"/>
            </w:pPr>
            <w:r>
              <w:rPr>
                <w:rFonts w:ascii="Times New Roman" w:hAnsi="Times New Roman" w:eastAsia="Times New Roman"/>
                <w:b w:val="0"/>
                <w:i w:val="0"/>
                <w:sz w:val="24"/>
              </w:rPr>
            </w:r>
          </w:p>
        </w:tc>
        <w:tc>
          <w:tcPr>
            <w:tcW w:type="dxa" w:w="794"/>
          </w:tcPr>
          <w:p>
            <w:pPr>
              <w:jc w:val="center"/>
            </w:pPr>
            <w:r>
              <w:rPr>
                <w:rFonts w:ascii="Times New Roman" w:hAnsi="Times New Roman" w:eastAsia="Times New Roman"/>
                <w:b w:val="0"/>
                <w:i w:val="0"/>
                <w:sz w:val="24"/>
              </w:rPr>
            </w:r>
          </w:p>
        </w:tc>
        <w:tc>
          <w:tcPr>
            <w:tcW w:type="dxa" w:w="1531"/>
          </w:tcPr>
          <w:p>
            <w:pPr>
              <w:jc w:val="center"/>
            </w:pPr>
            <w:r>
              <w:rPr>
                <w:rFonts w:ascii="Times New Roman" w:hAnsi="Times New Roman" w:eastAsia="Times New Roman"/>
                <w:b w:val="0"/>
                <w:i w:val="0"/>
                <w:sz w:val="24"/>
              </w:rPr>
            </w:r>
          </w:p>
        </w:tc>
        <w:tc>
          <w:tcPr>
            <w:tcW w:type="dxa" w:w="1587"/>
          </w:tcPr>
          <w:p>
            <w:pPr>
              <w:jc w:val="center"/>
            </w:pPr>
            <w:r>
              <w:rPr>
                <w:rFonts w:ascii="Times New Roman" w:hAnsi="Times New Roman" w:eastAsia="Times New Roman"/>
                <w:b w:val="0"/>
                <w:i w:val="0"/>
                <w:sz w:val="24"/>
              </w:rPr>
              <w:t>856.000</w:t>
            </w:r>
          </w:p>
        </w:tc>
      </w:tr>
      <w:tr>
        <w:trPr>
          <w:cantSplit/>
        </w:trPr>
        <w:tc>
          <w:tcPr>
            <w:tcW w:type="dxa" w:w="737"/>
          </w:tcPr>
          <w:p>
            <w:pPr>
              <w:jc w:val="center"/>
            </w:pPr>
            <w:r>
              <w:rPr>
                <w:rFonts w:ascii="Times New Roman" w:hAnsi="Times New Roman" w:eastAsia="Times New Roman"/>
                <w:b w:val="0"/>
                <w:i w:val="0"/>
                <w:sz w:val="24"/>
              </w:rPr>
            </w:r>
          </w:p>
        </w:tc>
        <w:tc>
          <w:tcPr>
            <w:tcW w:type="dxa" w:w="3572"/>
          </w:tcPr>
          <w:p>
            <w:pPr>
              <w:jc w:val="left"/>
            </w:pPr>
            <w:r>
              <w:rPr>
                <w:rFonts w:ascii="Times New Roman" w:hAnsi="Times New Roman" w:eastAsia="Times New Roman"/>
                <w:b w:val="0"/>
                <w:i w:val="0"/>
                <w:sz w:val="24"/>
              </w:rPr>
              <w:t>TỔNG CỘNG:</w:t>
            </w:r>
          </w:p>
        </w:tc>
        <w:tc>
          <w:tcPr>
            <w:tcW w:type="dxa" w:w="850"/>
          </w:tcPr>
          <w:p>
            <w:pPr>
              <w:jc w:val="center"/>
            </w:pPr>
            <w:r>
              <w:rPr>
                <w:rFonts w:ascii="Times New Roman" w:hAnsi="Times New Roman" w:eastAsia="Times New Roman"/>
                <w:b w:val="0"/>
                <w:i w:val="0"/>
                <w:sz w:val="24"/>
              </w:rPr>
            </w:r>
          </w:p>
        </w:tc>
        <w:tc>
          <w:tcPr>
            <w:tcW w:type="dxa" w:w="794"/>
          </w:tcPr>
          <w:p>
            <w:pPr>
              <w:jc w:val="center"/>
            </w:pPr>
            <w:r>
              <w:rPr>
                <w:rFonts w:ascii="Times New Roman" w:hAnsi="Times New Roman" w:eastAsia="Times New Roman"/>
                <w:b w:val="0"/>
                <w:i w:val="0"/>
                <w:sz w:val="24"/>
              </w:rPr>
            </w:r>
          </w:p>
        </w:tc>
        <w:tc>
          <w:tcPr>
            <w:tcW w:type="dxa" w:w="1531"/>
          </w:tcPr>
          <w:p>
            <w:pPr>
              <w:jc w:val="center"/>
            </w:pPr>
            <w:r>
              <w:rPr>
                <w:rFonts w:ascii="Times New Roman" w:hAnsi="Times New Roman" w:eastAsia="Times New Roman"/>
                <w:b w:val="0"/>
                <w:i w:val="0"/>
                <w:sz w:val="24"/>
              </w:rPr>
            </w:r>
          </w:p>
        </w:tc>
        <w:tc>
          <w:tcPr>
            <w:tcW w:type="dxa" w:w="1587"/>
          </w:tcPr>
          <w:p>
            <w:pPr>
              <w:jc w:val="center"/>
            </w:pPr>
            <w:r>
              <w:rPr>
                <w:rFonts w:ascii="Times New Roman" w:hAnsi="Times New Roman" w:eastAsia="Times New Roman"/>
                <w:b w:val="0"/>
                <w:i w:val="0"/>
                <w:sz w:val="24"/>
              </w:rPr>
              <w:t>11.556.000</w:t>
            </w:r>
          </w:p>
        </w:tc>
      </w:tr>
    </w:tbl>
    <w:p>
      <w:pPr>
        <w:spacing w:after="0" w:line="120" w:lineRule="exact"/>
      </w:pPr>
    </w:p>
    <w:p>
      <w:pPr>
        <w:spacing w:after="60"/>
        <w:jc w:val="both"/>
      </w:pPr>
      <w:r>
        <w:rPr>
          <w:rFonts w:ascii="Times New Roman" w:hAnsi="Times New Roman" w:eastAsia="Times New Roman"/>
          <w:b w:val="0"/>
          <w:i/>
        </w:rPr>
        <w:t>(Bằng chữ: Mười một triệu năm trăm năm mươi sáu nghìn đồng./.)</w:t>
      </w:r>
    </w:p>
    <w:p>
      <w:pPr>
        <w:spacing w:after="60"/>
        <w:jc w:val="both"/>
      </w:pPr>
      <w:r>
        <w:rPr>
          <w:rFonts w:ascii="Times New Roman" w:hAnsi="Times New Roman" w:eastAsia="Times New Roman"/>
          <w:b w:val="0"/>
          <w:i w:val="0"/>
        </w:rPr>
        <w:t>Hàng hóa đã được bên B xuất Hóa đơn GTGT số 00002469, ký hiệu 1C26TYY, ngày 18/09/2026.</w:t>
      </w:r>
    </w:p>
    <w:p>
      <w:pPr>
        <w:keepNext/>
        <w:spacing w:after="40"/>
        <w:jc w:val="both"/>
      </w:pPr>
      <w:r>
        <w:rPr>
          <w:rFonts w:ascii="Times New Roman" w:hAnsi="Times New Roman" w:eastAsia="Times New Roman"/>
          <w:b/>
          <w:i w:val="0"/>
        </w:rPr>
        <w:t>Điều 2: Phương thức thanh toán</w:t>
      </w:r>
    </w:p>
    <w:p>
      <w:pPr>
        <w:spacing w:after="60"/>
        <w:jc w:val="both"/>
      </w:pPr>
      <w:r>
        <w:rPr>
          <w:rFonts w:ascii="Times New Roman" w:hAnsi="Times New Roman" w:eastAsia="Times New Roman"/>
          <w:b w:val="0"/>
          <w:i w:val="0"/>
        </w:rPr>
        <w:t>Việc thanh toán của Hợp đồng được thực hiện bằng đồng tiền Việt Nam, bằng tiền mặt hoặc chuyển khoản. Bên A thanh toán cho bên B 100% giá trị hợp đồng trước khi nhận hàng hoặc ngay khi nhận hàng.</w:t>
      </w:r>
    </w:p>
    <w:p>
      <w:pPr>
        <w:keepNext/>
        <w:spacing w:after="40"/>
        <w:jc w:val="both"/>
      </w:pPr>
      <w:r>
        <w:rPr>
          <w:rFonts w:ascii="Times New Roman" w:hAnsi="Times New Roman" w:eastAsia="Times New Roman"/>
          <w:b/>
          <w:i w:val="0"/>
        </w:rPr>
        <w:t>Điều 3: Thời gian và địa điểm giao hàng.</w:t>
      </w:r>
    </w:p>
    <w:p>
      <w:pPr>
        <w:spacing w:after="60"/>
        <w:jc w:val="both"/>
      </w:pPr>
      <w:r>
        <w:rPr>
          <w:rFonts w:ascii="Times New Roman" w:hAnsi="Times New Roman" w:eastAsia="Times New Roman"/>
          <w:b w:val="0"/>
          <w:i w:val="0"/>
        </w:rPr>
        <w:t>3.1. Thời gian giao hàng: Trong vòng 1 ngày kể từ ngày nhận được tiền của bên mua</w:t>
      </w:r>
    </w:p>
    <w:p>
      <w:pPr>
        <w:spacing w:after="60"/>
        <w:jc w:val="both"/>
      </w:pPr>
      <w:r>
        <w:rPr>
          <w:rFonts w:ascii="Times New Roman" w:hAnsi="Times New Roman" w:eastAsia="Times New Roman"/>
          <w:b w:val="0"/>
          <w:i w:val="0"/>
        </w:rPr>
        <w:t>3.2. Địa điểm giao hàng: Theo thỏa thuận của 2 bên</w:t>
      </w:r>
    </w:p>
    <w:p>
      <w:pPr>
        <w:keepNext/>
        <w:spacing w:after="40"/>
        <w:jc w:val="both"/>
      </w:pPr>
      <w:r>
        <w:rPr>
          <w:rFonts w:ascii="Times New Roman" w:hAnsi="Times New Roman" w:eastAsia="Times New Roman"/>
          <w:b/>
          <w:i w:val="0"/>
        </w:rPr>
        <w:t>Điều 4: Trách nhiệm của bên A</w:t>
      </w:r>
    </w:p>
    <w:p>
      <w:pPr>
        <w:spacing w:after="60"/>
        <w:jc w:val="both"/>
      </w:pPr>
      <w:r>
        <w:rPr>
          <w:rFonts w:ascii="Times New Roman" w:hAnsi="Times New Roman" w:eastAsia="Times New Roman"/>
          <w:b w:val="0"/>
          <w:i w:val="0"/>
        </w:rPr>
        <w:t>4.1. Thanh toán đúng tiến độ cho bên B theo điều 2 của Hợp đồng và có quyền kiểm tra hàng hoá khi giao nhận hàng có mặt của hai bên.</w:t>
      </w:r>
    </w:p>
    <w:p>
      <w:pPr>
        <w:spacing w:after="60"/>
        <w:jc w:val="both"/>
      </w:pPr>
      <w:r>
        <w:rPr>
          <w:rFonts w:ascii="Times New Roman" w:hAnsi="Times New Roman" w:eastAsia="Times New Roman"/>
          <w:b w:val="0"/>
          <w:i w:val="0"/>
        </w:rPr>
        <w:t>4.2. Tổ chức bố trí nhân sự để tiếp nhận, bàn giao thiết bị ngay sau khi bên B tiến hành giao hàng.</w:t>
      </w:r>
    </w:p>
    <w:p>
      <w:pPr>
        <w:keepNext/>
        <w:spacing w:after="40"/>
        <w:jc w:val="both"/>
      </w:pPr>
      <w:r>
        <w:rPr>
          <w:rFonts w:ascii="Times New Roman" w:hAnsi="Times New Roman" w:eastAsia="Times New Roman"/>
          <w:b/>
          <w:i w:val="0"/>
        </w:rPr>
        <w:t>Điều 5: Trách nhiệm của bên B</w:t>
      </w:r>
    </w:p>
    <w:p>
      <w:pPr>
        <w:spacing w:after="60"/>
        <w:jc w:val="both"/>
      </w:pPr>
      <w:r>
        <w:rPr>
          <w:rFonts w:ascii="Times New Roman" w:hAnsi="Times New Roman" w:eastAsia="Times New Roman"/>
          <w:b w:val="0"/>
          <w:i w:val="0"/>
        </w:rPr>
        <w:t>5.1. Bên B có trách nhiệm giao hàng cho bên A tại địa điểm giao hàng và phải đảm bảo hàng hoá được giao đủ số lượng, chủng loại và tiêu chuẩn kỹ thuật, chất lượng được mô tả tại Điều 1. Mọi hàng hóa cung cấp theo Hợp đồng phải là thiết bị mới 100% không bị lỗi hoặc khuyết tật so với tiêu chuẩn. Những hàng hoá không trong danh mục, không đúng mẫu sẽ không được chấp thuận và bên B phải chịu chi phí vận chuyển cho việc đổi trả hàng hóa khác thay thế cho số hàng không đúng thỏa thuận.</w:t>
      </w:r>
    </w:p>
    <w:p>
      <w:pPr>
        <w:spacing w:after="60"/>
        <w:jc w:val="both"/>
      </w:pPr>
      <w:r>
        <w:rPr>
          <w:rFonts w:ascii="Times New Roman" w:hAnsi="Times New Roman" w:eastAsia="Times New Roman"/>
          <w:b w:val="0"/>
          <w:i w:val="0"/>
        </w:rPr>
        <w:t>5.2. Bên B sẽ sửa chữa hoặc thay thế cho bên A nếu hàng hóa bị lỗi do nhà sản xuất, và phải còn trong thời gian bảo hành tại địa chỉ giao hàng.</w:t>
      </w:r>
    </w:p>
    <w:p>
      <w:pPr>
        <w:spacing w:after="60"/>
        <w:jc w:val="both"/>
      </w:pPr>
      <w:r>
        <w:rPr>
          <w:rFonts w:ascii="Times New Roman" w:hAnsi="Times New Roman" w:eastAsia="Times New Roman"/>
          <w:b w:val="0"/>
          <w:i w:val="0"/>
        </w:rPr>
        <w:t>5.3. Bên B giao hàng phải mới 100% chưa qua sử dụng, việc giao nhận sẽ được hai bên lập biên bản bàn giao theo quy định.</w:t>
      </w:r>
    </w:p>
    <w:p>
      <w:pPr>
        <w:spacing w:after="60"/>
        <w:jc w:val="both"/>
      </w:pPr>
      <w:r>
        <w:rPr>
          <w:rFonts w:ascii="Times New Roman" w:hAnsi="Times New Roman" w:eastAsia="Times New Roman"/>
          <w:b w:val="0"/>
          <w:i w:val="0"/>
        </w:rPr>
        <w:t>5.4. Giao hàng đúng tiến độ, nếu chậm giao hàng sau thời hạn cuối cùng ghi trong Hợp đồng thì bên B sẽ phải trả cho bên A 0,05% tổng giá trị Hợp đồng sau mỗi ngày chậm hàng nhưng không vượt quá 8% tổng giá trị hàng giao chậm.</w:t>
      </w:r>
    </w:p>
    <w:p>
      <w:pPr>
        <w:spacing w:after="60"/>
        <w:jc w:val="both"/>
      </w:pPr>
      <w:r>
        <w:rPr>
          <w:rFonts w:ascii="Times New Roman" w:hAnsi="Times New Roman" w:eastAsia="Times New Roman"/>
          <w:b w:val="0"/>
          <w:i w:val="0"/>
        </w:rPr>
        <w:t>5.5. Bên B phải bàn giao đầy đủ cho bên A các giấy tờ bản gốc kèm theo hàng hóa ngay khi nhận được tiền thanh toán từ bên A:</w:t>
      </w:r>
    </w:p>
    <w:p>
      <w:pPr>
        <w:spacing w:after="60"/>
        <w:jc w:val="both"/>
      </w:pPr>
      <w:r>
        <w:rPr>
          <w:rFonts w:ascii="Times New Roman" w:hAnsi="Times New Roman" w:eastAsia="Times New Roman"/>
          <w:b w:val="0"/>
          <w:i w:val="0"/>
        </w:rPr>
        <w:t>+ Hóa đơn VAT bản gốc</w:t>
      </w:r>
    </w:p>
    <w:p>
      <w:pPr>
        <w:spacing w:after="60"/>
        <w:jc w:val="both"/>
      </w:pPr>
      <w:r>
        <w:rPr>
          <w:rFonts w:ascii="Times New Roman" w:hAnsi="Times New Roman" w:eastAsia="Times New Roman"/>
          <w:b w:val="0"/>
          <w:i w:val="0"/>
        </w:rPr>
        <w:t>+ Biên bản bàn giao có ký và đóng dấu: 02 bản</w:t>
      </w:r>
    </w:p>
    <w:p>
      <w:pPr>
        <w:spacing w:after="60"/>
        <w:jc w:val="both"/>
      </w:pPr>
      <w:r>
        <w:rPr>
          <w:rFonts w:ascii="Times New Roman" w:hAnsi="Times New Roman" w:eastAsia="Times New Roman"/>
          <w:b w:val="0"/>
          <w:i w:val="0"/>
        </w:rPr>
        <w:t>+ Chứng từ xuất nhập khẩu CO CQ</w:t>
      </w:r>
    </w:p>
    <w:p>
      <w:pPr>
        <w:spacing w:after="60"/>
        <w:jc w:val="both"/>
      </w:pPr>
      <w:r>
        <w:rPr>
          <w:rFonts w:ascii="Times New Roman" w:hAnsi="Times New Roman" w:eastAsia="Times New Roman"/>
          <w:b w:val="0"/>
          <w:i w:val="0"/>
        </w:rPr>
        <w:t>Địa chỉ giao nhận chứng từ: Công ty TNHH Tiến Đại, Thôn Câu Đông, xã An Quang, TP Hải Phòng, Việt Nam; hóa đơn điện tử gửi về congtytiendaihddt@gmail.com.</w:t>
      </w:r>
    </w:p>
    <w:p>
      <w:pPr>
        <w:keepNext/>
        <w:spacing w:after="40"/>
        <w:jc w:val="both"/>
      </w:pPr>
      <w:r>
        <w:rPr>
          <w:rFonts w:ascii="Times New Roman" w:hAnsi="Times New Roman" w:eastAsia="Times New Roman"/>
          <w:b/>
          <w:i w:val="0"/>
        </w:rPr>
        <w:t>Điều 6: Bảo hành</w:t>
      </w:r>
    </w:p>
    <w:p>
      <w:pPr>
        <w:spacing w:after="60"/>
        <w:jc w:val="both"/>
      </w:pPr>
      <w:r>
        <w:rPr>
          <w:rFonts w:ascii="Times New Roman" w:hAnsi="Times New Roman" w:eastAsia="Times New Roman"/>
          <w:b w:val="0"/>
          <w:i w:val="0"/>
        </w:rPr>
        <w:t>6.1. Bên B có trách nhiệm bảo hành miễn phí toàn bộ số hàng hóa đã bán cho bên A trong hợp đồng với thời hạn 12 tháng kể từ ngày hai bên ký vào biên bản bàn giao hàng hóa.</w:t>
      </w:r>
    </w:p>
    <w:p>
      <w:pPr>
        <w:spacing w:after="60"/>
        <w:jc w:val="both"/>
      </w:pPr>
      <w:r>
        <w:rPr>
          <w:rFonts w:ascii="Times New Roman" w:hAnsi="Times New Roman" w:eastAsia="Times New Roman"/>
          <w:b w:val="0"/>
          <w:i w:val="0"/>
        </w:rPr>
        <w:t>6.2. Điều kiện bảo hành: Khi thiết bị đã mua bị hư hỏng do lỗi sản xuất, cung ứng hoặc có hiện tượng hoạt động không bình thường, bên A phải báo ngay cho bên B bằng văn bản. Trong trường hợp đột xuất bên A có thể thông báo bằng điện thoại nhưng sau đó phải có văn bản xác nhận. Bên B cam kết sẽ có mặt để xác minh sự cố trong vòng 3 ngày kể từ khi nhận được thông báo từ bên A. Nếu xác minh hàng hóa là do lỗi của nhà sản xuất, Bên B sẽ có biện pháp khắc phục sự cố sau 3 ngày.</w:t>
      </w:r>
    </w:p>
    <w:p>
      <w:pPr>
        <w:spacing w:after="60"/>
        <w:jc w:val="both"/>
      </w:pPr>
      <w:r>
        <w:rPr>
          <w:rFonts w:ascii="Times New Roman" w:hAnsi="Times New Roman" w:eastAsia="Times New Roman"/>
          <w:b w:val="0"/>
          <w:i w:val="0"/>
        </w:rPr>
        <w:t>6.3. Dịch vụ bảo hành miễn phí bao gồm: Sửa chữa, thay thế thiết bị hoặc thay sửa từng bộ phận, linh kiện bị hư hỏng do lỗi của nhà sản xuất.</w:t>
      </w:r>
    </w:p>
    <w:p>
      <w:pPr>
        <w:spacing w:after="60"/>
        <w:jc w:val="both"/>
      </w:pPr>
      <w:r>
        <w:rPr>
          <w:rFonts w:ascii="Times New Roman" w:hAnsi="Times New Roman" w:eastAsia="Times New Roman"/>
          <w:b w:val="0"/>
          <w:i w:val="0"/>
        </w:rPr>
        <w:t>6.4. Bên B không chịu trách nhiệm về hư hỏng của thiết bị trong các trường hợp:</w:t>
      </w:r>
    </w:p>
    <w:p>
      <w:pPr>
        <w:spacing w:after="60"/>
        <w:jc w:val="both"/>
      </w:pPr>
      <w:r>
        <w:rPr>
          <w:rFonts w:ascii="Times New Roman" w:hAnsi="Times New Roman" w:eastAsia="Times New Roman"/>
          <w:b w:val="0"/>
          <w:i w:val="0"/>
        </w:rPr>
        <w:t>+ Sử dụng không đúng quy trình kỹ thuật</w:t>
      </w:r>
    </w:p>
    <w:p>
      <w:pPr>
        <w:spacing w:after="60"/>
        <w:jc w:val="both"/>
      </w:pPr>
      <w:r>
        <w:rPr>
          <w:rFonts w:ascii="Times New Roman" w:hAnsi="Times New Roman" w:eastAsia="Times New Roman"/>
          <w:b w:val="0"/>
          <w:i w:val="0"/>
        </w:rPr>
        <w:t>+ Bên A tự ý sửa chữa, thay thế, tác động vào các bộ phận của thiết bị mà không có sự đồng ý của bên B.</w:t>
      </w:r>
    </w:p>
    <w:p>
      <w:pPr>
        <w:spacing w:after="60"/>
        <w:jc w:val="both"/>
      </w:pPr>
      <w:r>
        <w:rPr>
          <w:rFonts w:ascii="Times New Roman" w:hAnsi="Times New Roman" w:eastAsia="Times New Roman"/>
          <w:b w:val="0"/>
          <w:i w:val="0"/>
        </w:rPr>
        <w:t>+ Hỏng hóc do thiên tai, hoả hoạn.</w:t>
      </w:r>
    </w:p>
    <w:p>
      <w:pPr>
        <w:keepNext/>
        <w:spacing w:after="40"/>
        <w:jc w:val="both"/>
      </w:pPr>
      <w:r>
        <w:rPr>
          <w:rFonts w:ascii="Times New Roman" w:hAnsi="Times New Roman" w:eastAsia="Times New Roman"/>
          <w:b/>
          <w:i w:val="0"/>
        </w:rPr>
        <w:t>Điều 7: Thay đổi trong Hợp đồng</w:t>
      </w:r>
    </w:p>
    <w:p>
      <w:pPr>
        <w:spacing w:after="60"/>
        <w:jc w:val="both"/>
      </w:pPr>
      <w:r>
        <w:rPr>
          <w:rFonts w:ascii="Times New Roman" w:hAnsi="Times New Roman" w:eastAsia="Times New Roman"/>
          <w:b w:val="0"/>
          <w:i w:val="0"/>
        </w:rPr>
        <w:t>Hợp đồng này sẽ không được thay đổi nếu không có sự thoả thuận và thống nhất bằng văn bản của hai bên.</w:t>
      </w:r>
    </w:p>
    <w:p>
      <w:pPr>
        <w:keepNext/>
        <w:spacing w:after="40"/>
        <w:jc w:val="both"/>
      </w:pPr>
      <w:r>
        <w:rPr>
          <w:rFonts w:ascii="Times New Roman" w:hAnsi="Times New Roman" w:eastAsia="Times New Roman"/>
          <w:b/>
          <w:i w:val="0"/>
        </w:rPr>
        <w:t>Điều 8: Tranh chấp Hợp đồng và giải quyết tranh chấp</w:t>
      </w:r>
    </w:p>
    <w:p>
      <w:pPr>
        <w:spacing w:after="60"/>
        <w:jc w:val="both"/>
      </w:pPr>
      <w:r>
        <w:rPr>
          <w:rFonts w:ascii="Times New Roman" w:hAnsi="Times New Roman" w:eastAsia="Times New Roman"/>
          <w:b w:val="0"/>
          <w:i w:val="0"/>
        </w:rPr>
        <w:t>8.1. Hai bên cần chủ động thông báo cho nhau tiến độ thực hiện Hợp đồng. Nếu có vấn đề gì bất lợi phát sinh các bên phải thông báo cho nhau biết bằng văn bản và tích cực bàn bạc giải quyết (cần lập biên bản ghi toàn bộ nội dung).</w:t>
      </w:r>
    </w:p>
    <w:p>
      <w:pPr>
        <w:spacing w:after="60"/>
        <w:jc w:val="both"/>
      </w:pPr>
      <w:r>
        <w:rPr>
          <w:rFonts w:ascii="Times New Roman" w:hAnsi="Times New Roman" w:eastAsia="Times New Roman"/>
          <w:b w:val="0"/>
          <w:i w:val="0"/>
        </w:rPr>
        <w:t>8.2. Trường hợp có tranh chấp hai bên phải nỗ lực cùng nhau thương lượng và tích cực giải quyết. Việc giải quyết tranh chấp phải được lập thành văn bản giữa hai bên, các văn bản đó sẽ là phần không thể tách rời của Hợp đồng này.</w:t>
      </w:r>
    </w:p>
    <w:p>
      <w:pPr>
        <w:spacing w:after="60"/>
        <w:jc w:val="both"/>
      </w:pPr>
      <w:r>
        <w:rPr>
          <w:rFonts w:ascii="Times New Roman" w:hAnsi="Times New Roman" w:eastAsia="Times New Roman"/>
          <w:b w:val="0"/>
          <w:i w:val="0"/>
        </w:rPr>
        <w:t>8.3. Trường hợp hai bên không tự giải quyết được mới đưa vụ tranh chấp ra Tòa án nhân dân có thẩm quyền tại TP Hà Nội giải quyết. Quyết định của tòa án sẽ là quyết định cuối cùng ràng buộc hai bên. Chi phí xét xử và các chi phí khác liên quan đến việc giải quyết tranh chấp sẽ do bên thua chịu.</w:t>
      </w:r>
    </w:p>
    <w:p>
      <w:pPr>
        <w:spacing w:after="60"/>
        <w:jc w:val="both"/>
      </w:pPr>
      <w:r>
        <w:rPr>
          <w:rFonts w:ascii="Times New Roman" w:hAnsi="Times New Roman" w:eastAsia="Times New Roman"/>
          <w:b w:val="0"/>
          <w:i w:val="0"/>
        </w:rPr>
        <w:t>Trong trường hợp Hợp đồng kinh tế đã được thực hiện và các bên đã hoàn thành đầy đủ nghĩa vụ của mình theo những điều khoản đã thỏa thuận trong Hợp đồng thì coi như Hợp đồng kinh tế đã được thanh lý.</w:t>
      </w:r>
    </w:p>
    <w:p>
      <w:pPr>
        <w:keepNext/>
        <w:spacing w:after="60"/>
        <w:jc w:val="both"/>
      </w:pPr>
      <w:r>
        <w:rPr>
          <w:rFonts w:ascii="Times New Roman" w:hAnsi="Times New Roman" w:eastAsia="Times New Roman"/>
          <w:b w:val="0"/>
          <w:i w:val="0"/>
        </w:rPr>
        <w:t>Hợp đồng có hiệu lực kể từ ngày ký và được lập thành 02 bản có giá trị như nhau, mỗi bên giữ 01 bản.</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t>ĐẠI DIỆN BÊN MUA</w:t>
            </w:r>
          </w:p>
          <w:p>
            <w:pPr>
              <w:keepNext/>
              <w:jc w:val="center"/>
            </w:pPr>
            <w:r>
              <w:rPr>
                <w:rFonts w:ascii="Times New Roman" w:hAnsi="Times New Roman" w:eastAsia="Times New Roman"/>
                <w:b w:val="0"/>
                <w:i/>
                <w:sz w:val="24"/>
              </w:rPr>
              <w:t>(Ký, ghi rõ họ tên, đóng dấu)</w:t>
            </w:r>
          </w:p>
          <w:p>
            <w:pPr>
              <w:keepNext/>
            </w:pPr>
          </w:p>
          <w:p>
            <w:pPr>
              <w:keepNext/>
            </w:pPr>
          </w:p>
          <w:p>
            <w:pPr>
              <w:keepNext/>
            </w:pPr>
          </w:p>
          <w:p/>
        </w:tc>
        <w:tc>
          <w:tcPr>
            <w:tcW w:type="dxa" w:w="4592"/>
          </w:tcPr>
          <w:p>
            <w:pPr>
              <w:keepNext/>
              <w:jc w:val="center"/>
            </w:pPr>
            <w:r>
              <w:rPr>
                <w:rFonts w:ascii="Times New Roman" w:hAnsi="Times New Roman" w:eastAsia="Times New Roman"/>
                <w:b/>
                <w:i w:val="0"/>
              </w:rPr>
              <w:t>ĐẠI DIỆN BÊN BÁN</w:t>
            </w:r>
          </w:p>
          <w:p>
            <w:pPr>
              <w:keepNext/>
              <w:jc w:val="center"/>
            </w:pPr>
            <w:r>
              <w:rPr>
                <w:rFonts w:ascii="Times New Roman" w:hAnsi="Times New Roman" w:eastAsia="Times New Roman"/>
                <w:b w:val="0"/>
                <w:i/>
                <w:sz w:val="24"/>
              </w:rPr>
              <w:t>(Ký, ghi rõ họ tên, đóng dấu)</w:t>
            </w:r>
          </w:p>
          <w:p>
            <w:pPr>
              <w:keepNext/>
            </w:pPr>
          </w:p>
          <w:p>
            <w:pPr>
              <w:keepNext/>
            </w:pPr>
          </w:p>
          <w:p>
            <w:pPr>
              <w:keepNext/>
            </w:pPr>
          </w:p>
          <w:p>
            <w:pPr>
              <w:keepNext/>
            </w:pPr>
          </w:p>
          <w:p>
            <w:pPr>
              <w:jc w:val="center"/>
            </w:pPr>
            <w:r>
              <w:rPr>
                <w:rFonts w:ascii="Times New Roman" w:hAnsi="Times New Roman" w:eastAsia="Times New Roman"/>
                <w:b/>
                <w:i w:val="0"/>
              </w:rPr>
              <w:t>Nguyễn Việt Trung</w:t>
            </w:r>
          </w:p>
        </w:tc>
      </w:tr>
    </w:tbl>
    <w:p>
      <w:pPr>
        <w:spacing w:after="0" w:line="120" w:lineRule="exact"/>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