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Times New Roman"/>
          <w:b/>
          <w:i w:val="0"/>
        </w:rPr>
        <w:t>CỘNG HOÀ XÃ HỘI CHỦ NGHĨA VIỆT NAM</w:t>
      </w:r>
    </w:p>
    <w:p>
      <w:pPr>
        <w:spacing w:after="0"/>
        <w:jc w:val="center"/>
      </w:pPr>
      <w:r>
        <w:rPr>
          <w:rFonts w:ascii="Times New Roman" w:hAnsi="Times New Roman" w:eastAsia="Times New Roman"/>
          <w:b/>
          <w:i w:val="0"/>
        </w:rPr>
        <w:t>Độc lập - Tự do - Hạnh phúc</w:t>
      </w:r>
    </w:p>
    <w:p>
      <w:pPr>
        <w:spacing w:after="160"/>
        <w:jc w:val="center"/>
      </w:pPr>
      <w:r>
        <w:rPr>
          <w:rFonts w:ascii="Times New Roman" w:hAnsi="Times New Roman" w:eastAsia="Times New Roman"/>
          <w:b w:val="0"/>
          <w:i w:val="0"/>
        </w:rPr>
        <w:t>------------o0o------------</w:t>
      </w:r>
    </w:p>
    <w:p>
      <w:pPr>
        <w:spacing w:after="0"/>
        <w:jc w:val="left"/>
      </w:pPr>
      <w:r>
        <w:rPr>
          <w:rFonts w:ascii="Times New Roman" w:hAnsi="Times New Roman" w:eastAsia="Times New Roman"/>
          <w:b/>
          <w:i w:val="0"/>
        </w:rPr>
        <w:t>CÔNG TY TNHH THƯƠNG MẠI VÀ CÔNG NGHIỆP TRUNG KIÊN</w:t>
      </w:r>
    </w:p>
    <w:p>
      <w:pPr>
        <w:spacing w:after="0"/>
        <w:jc w:val="left"/>
      </w:pPr>
      <w:r>
        <w:rPr>
          <w:rFonts w:ascii="Times New Roman" w:hAnsi="Times New Roman" w:eastAsia="Times New Roman"/>
          <w:b w:val="0"/>
          <w:i w:val="0"/>
          <w:sz w:val="24"/>
        </w:rPr>
        <w:t>Địa chỉ: Số 5, Ngõ 196, Đường Thạch Bàn, Phường Long Biên, TP Hà Nội</w:t>
      </w:r>
    </w:p>
    <w:p>
      <w:pPr>
        <w:spacing w:after="120"/>
        <w:jc w:val="left"/>
      </w:pPr>
      <w:r>
        <w:rPr>
          <w:rFonts w:ascii="Times New Roman" w:hAnsi="Times New Roman" w:eastAsia="Times New Roman"/>
          <w:b w:val="0"/>
          <w:i w:val="0"/>
          <w:sz w:val="24"/>
        </w:rPr>
        <w:t>Mã số thuế: 0109546164   |   Điện thoại: 096.432.9898</w:t>
      </w:r>
    </w:p>
    <w:p>
      <w:pPr>
        <w:spacing w:after="120"/>
        <w:jc w:val="right"/>
      </w:pPr>
      <w:r>
        <w:rPr>
          <w:rFonts w:ascii="Times New Roman" w:hAnsi="Times New Roman" w:eastAsia="Times New Roman"/>
          <w:b w:val="0"/>
          <w:i/>
        </w:rPr>
        <w:t>Hà Nội, ngày 27 tháng 10 năm 2026</w:t>
      </w:r>
    </w:p>
    <w:p>
      <w:pPr>
        <w:spacing w:after="120"/>
        <w:jc w:val="center"/>
      </w:pPr>
      <w:r>
        <w:rPr>
          <w:rFonts w:ascii="Times New Roman" w:hAnsi="Times New Roman" w:eastAsia="Times New Roman"/>
          <w:b/>
          <w:i w:val="0"/>
          <w:sz w:val="30"/>
        </w:rPr>
        <w:t>GIẤY ĐỀ NGHỊ THANH TOÁN PHẦN CÒN LẠI</w:t>
      </w:r>
    </w:p>
    <w:p>
      <w:pPr>
        <w:spacing w:after="60"/>
        <w:jc w:val="both"/>
      </w:pPr>
      <w:r>
        <w:rPr>
          <w:rFonts w:ascii="Times New Roman" w:hAnsi="Times New Roman" w:eastAsia="Times New Roman"/>
          <w:b/>
          <w:i w:val="0"/>
        </w:rPr>
        <w:t xml:space="preserve">Kính gửi: </w:t>
      </w:r>
      <w:r>
        <w:rPr>
          <w:rFonts w:ascii="Times New Roman" w:hAnsi="Times New Roman" w:eastAsia="Times New Roman"/>
          <w:b/>
          <w:i w:val="0"/>
        </w:rPr>
        <w:t>CÔNG TY CỔ PHẦN CÔNG NGHỆ FATA</w:t>
      </w:r>
    </w:p>
    <w:p>
      <w:pPr>
        <w:spacing w:after="0"/>
        <w:jc w:val="both"/>
      </w:pPr>
      <w:r>
        <w:rPr>
          <w:rFonts w:ascii="Times New Roman" w:hAnsi="Times New Roman" w:eastAsia="Times New Roman"/>
          <w:b w:val="0"/>
          <w:i w:val="0"/>
        </w:rPr>
        <w:t>Địa chỉ: Lô CN01, KCN Thụy Vân, xã Hy Cương, tỉnh Phú Thọ, Việt Nam</w:t>
      </w:r>
    </w:p>
    <w:p>
      <w:pPr>
        <w:spacing w:after="120"/>
        <w:jc w:val="both"/>
      </w:pPr>
      <w:r>
        <w:rPr>
          <w:rFonts w:ascii="Times New Roman" w:hAnsi="Times New Roman" w:eastAsia="Times New Roman"/>
          <w:b w:val="0"/>
          <w:i w:val="0"/>
        </w:rPr>
        <w:t>Mã số thuế: 2601102666</w:t>
      </w:r>
    </w:p>
    <w:p>
      <w:pPr>
        <w:spacing w:after="60"/>
        <w:jc w:val="both"/>
      </w:pPr>
      <w:r>
        <w:rPr>
          <w:rFonts w:ascii="Times New Roman" w:hAnsi="Times New Roman" w:eastAsia="Times New Roman"/>
          <w:b w:val="0"/>
          <w:i w:val="0"/>
        </w:rPr>
        <w:t>Căn cứ Hợp đồng kinh tế số HĐKT102026-TK-H ký ngày 05/10/2026 và Phụ lục hợp đồng số 01/PLHĐ-HĐKT102026-TK-H ký ngày 12/10/2026 về việc cung cấp máy bơm nước AQUARIS (Italy): 04 máy CM65-160/15 và 04 máy AQR65-200/15 (sau bổ sung);</w:t>
      </w:r>
    </w:p>
    <w:p>
      <w:pPr>
        <w:spacing w:after="60"/>
        <w:jc w:val="both"/>
      </w:pPr>
      <w:r>
        <w:rPr>
          <w:rFonts w:ascii="Times New Roman" w:hAnsi="Times New Roman" w:eastAsia="Times New Roman"/>
          <w:b w:val="0"/>
          <w:i w:val="0"/>
        </w:rPr>
        <w:t>Căn cứ Hóa đơn GTGT số 00002771 ngày 17/10/2026 và Điều 2 của Hợp đồng (giá trị còn lại thanh toán sau khi bên B giao hàng và hoàn thiện hồ sơ thanh toán, trong vòng 2-3 ngày),</w:t>
      </w:r>
    </w:p>
    <w:p>
      <w:pPr>
        <w:spacing w:after="80"/>
        <w:jc w:val="both"/>
      </w:pPr>
      <w:r>
        <w:rPr>
          <w:rFonts w:ascii="Times New Roman" w:hAnsi="Times New Roman" w:eastAsia="Times New Roman"/>
          <w:b w:val="0"/>
          <w:i w:val="0"/>
        </w:rPr>
        <w:t>chúng tôi kính đề nghị Quý Công ty thanh toán phần giá trị còn lại của Hợp đồng như sau:</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6237"/>
        <w:gridCol w:w="2551"/>
      </w:tblGrid>
      <w:tr>
        <w:trPr>
          <w:cantSplit/>
        </w:trPr>
        <w:tc>
          <w:tcPr>
            <w:tcW w:type="dxa" w:w="6236"/>
          </w:tcPr>
          <w:p>
            <w:pPr>
              <w:jc w:val="center"/>
            </w:pPr>
            <w:r>
              <w:rPr>
                <w:rFonts w:ascii="Times New Roman" w:hAnsi="Times New Roman" w:eastAsia="Times New Roman"/>
                <w:b/>
                <w:i w:val="0"/>
                <w:sz w:val="24"/>
              </w:rPr>
              <w:t>Nội dung</w:t>
            </w:r>
          </w:p>
        </w:tc>
        <w:tc>
          <w:tcPr>
            <w:tcW w:type="dxa" w:w="2551"/>
          </w:tcPr>
          <w:p>
            <w:pPr>
              <w:jc w:val="center"/>
            </w:pPr>
            <w:r>
              <w:rPr>
                <w:rFonts w:ascii="Times New Roman" w:hAnsi="Times New Roman" w:eastAsia="Times New Roman"/>
                <w:b/>
                <w:i w:val="0"/>
                <w:sz w:val="24"/>
              </w:rPr>
              <w:t>Số tiền (đồng)</w:t>
            </w:r>
          </w:p>
        </w:tc>
      </w:tr>
      <w:tr>
        <w:trPr>
          <w:cantSplit/>
        </w:trPr>
        <w:tc>
          <w:tcPr>
            <w:tcW w:type="dxa" w:w="6236"/>
          </w:tcPr>
          <w:p>
            <w:pPr>
              <w:jc w:val="left"/>
            </w:pPr>
            <w:r>
              <w:rPr>
                <w:rFonts w:ascii="Times New Roman" w:hAnsi="Times New Roman" w:eastAsia="Times New Roman"/>
                <w:b w:val="0"/>
                <w:i w:val="0"/>
                <w:sz w:val="24"/>
              </w:rPr>
              <w:t>Giá trị Hợp đồng gốc (đã gồm VAT 8%)</w:t>
            </w:r>
          </w:p>
        </w:tc>
        <w:tc>
          <w:tcPr>
            <w:tcW w:type="dxa" w:w="2551"/>
          </w:tcPr>
          <w:p>
            <w:pPr>
              <w:jc w:val="center"/>
            </w:pPr>
            <w:r>
              <w:rPr>
                <w:rFonts w:ascii="Times New Roman" w:hAnsi="Times New Roman" w:eastAsia="Times New Roman"/>
                <w:b w:val="0"/>
                <w:i w:val="0"/>
                <w:sz w:val="24"/>
              </w:rPr>
              <w:t>260.712.000</w:t>
            </w:r>
          </w:p>
        </w:tc>
      </w:tr>
      <w:tr>
        <w:trPr>
          <w:cantSplit/>
        </w:trPr>
        <w:tc>
          <w:tcPr>
            <w:tcW w:type="dxa" w:w="6236"/>
          </w:tcPr>
          <w:p>
            <w:pPr>
              <w:jc w:val="left"/>
            </w:pPr>
            <w:r>
              <w:rPr>
                <w:rFonts w:ascii="Times New Roman" w:hAnsi="Times New Roman" w:eastAsia="Times New Roman"/>
                <w:b w:val="0"/>
                <w:i w:val="0"/>
                <w:sz w:val="24"/>
              </w:rPr>
              <w:t>Giá trị bổ sung theo Phụ lục (đã gồm VAT 8%)</w:t>
            </w:r>
          </w:p>
        </w:tc>
        <w:tc>
          <w:tcPr>
            <w:tcW w:type="dxa" w:w="2551"/>
          </w:tcPr>
          <w:p>
            <w:pPr>
              <w:jc w:val="center"/>
            </w:pPr>
            <w:r>
              <w:rPr>
                <w:rFonts w:ascii="Times New Roman" w:hAnsi="Times New Roman" w:eastAsia="Times New Roman"/>
                <w:b w:val="0"/>
                <w:i w:val="0"/>
                <w:sz w:val="24"/>
              </w:rPr>
              <w:t>30.456.000</w:t>
            </w:r>
          </w:p>
        </w:tc>
      </w:tr>
      <w:tr>
        <w:trPr>
          <w:cantSplit/>
        </w:trPr>
        <w:tc>
          <w:tcPr>
            <w:tcW w:type="dxa" w:w="6236"/>
          </w:tcPr>
          <w:p>
            <w:pPr>
              <w:jc w:val="left"/>
            </w:pPr>
            <w:r>
              <w:rPr>
                <w:rFonts w:ascii="Times New Roman" w:hAnsi="Times New Roman" w:eastAsia="Times New Roman"/>
                <w:b/>
                <w:i w:val="0"/>
                <w:sz w:val="24"/>
              </w:rPr>
              <w:t>Tổng giá trị Hợp đồng sau bổ sung</w:t>
            </w:r>
          </w:p>
        </w:tc>
        <w:tc>
          <w:tcPr>
            <w:tcW w:type="dxa" w:w="2551"/>
          </w:tcPr>
          <w:p>
            <w:pPr>
              <w:jc w:val="center"/>
            </w:pPr>
            <w:r>
              <w:rPr>
                <w:rFonts w:ascii="Times New Roman" w:hAnsi="Times New Roman" w:eastAsia="Times New Roman"/>
                <w:b w:val="0"/>
                <w:i w:val="0"/>
                <w:sz w:val="24"/>
              </w:rPr>
              <w:t>291.168.000</w:t>
            </w:r>
          </w:p>
        </w:tc>
      </w:tr>
      <w:tr>
        <w:trPr>
          <w:cantSplit/>
        </w:trPr>
        <w:tc>
          <w:tcPr>
            <w:tcW w:type="dxa" w:w="6236"/>
          </w:tcPr>
          <w:p>
            <w:pPr>
              <w:jc w:val="left"/>
            </w:pPr>
            <w:r>
              <w:rPr>
                <w:rFonts w:ascii="Times New Roman" w:hAnsi="Times New Roman" w:eastAsia="Times New Roman"/>
                <w:b w:val="0"/>
                <w:i w:val="0"/>
                <w:sz w:val="24"/>
              </w:rPr>
              <w:t>Đã thanh toán (50% giá trị Hợp đồng gốc)</w:t>
            </w:r>
          </w:p>
        </w:tc>
        <w:tc>
          <w:tcPr>
            <w:tcW w:type="dxa" w:w="2551"/>
          </w:tcPr>
          <w:p>
            <w:pPr>
              <w:jc w:val="center"/>
            </w:pPr>
            <w:r>
              <w:rPr>
                <w:rFonts w:ascii="Times New Roman" w:hAnsi="Times New Roman" w:eastAsia="Times New Roman"/>
                <w:b w:val="0"/>
                <w:i w:val="0"/>
                <w:sz w:val="24"/>
              </w:rPr>
              <w:t>130.356.000</w:t>
            </w:r>
          </w:p>
        </w:tc>
      </w:tr>
      <w:tr>
        <w:trPr>
          <w:cantSplit/>
        </w:trPr>
        <w:tc>
          <w:tcPr>
            <w:tcW w:type="dxa" w:w="6236"/>
          </w:tcPr>
          <w:p>
            <w:pPr>
              <w:jc w:val="left"/>
            </w:pPr>
            <w:r>
              <w:rPr>
                <w:rFonts w:ascii="Times New Roman" w:hAnsi="Times New Roman" w:eastAsia="Times New Roman"/>
                <w:b w:val="0"/>
                <w:i w:val="0"/>
                <w:sz w:val="24"/>
              </w:rPr>
              <w:t>Số tiền đề nghị thanh toán lần này</w:t>
            </w:r>
          </w:p>
        </w:tc>
        <w:tc>
          <w:tcPr>
            <w:tcW w:type="dxa" w:w="2551"/>
          </w:tcPr>
          <w:p>
            <w:pPr>
              <w:jc w:val="center"/>
            </w:pPr>
            <w:r>
              <w:rPr>
                <w:rFonts w:ascii="Times New Roman" w:hAnsi="Times New Roman" w:eastAsia="Times New Roman"/>
                <w:b w:val="0"/>
                <w:i w:val="0"/>
                <w:sz w:val="24"/>
              </w:rPr>
              <w:t>160.812.000</w:t>
            </w:r>
          </w:p>
        </w:tc>
      </w:tr>
    </w:tbl>
    <w:p>
      <w:pPr>
        <w:spacing w:after="0" w:line="120" w:lineRule="exact"/>
      </w:pPr>
    </w:p>
    <w:p>
      <w:pPr>
        <w:spacing w:after="60"/>
        <w:jc w:val="both"/>
      </w:pPr>
      <w:r>
        <w:rPr>
          <w:rFonts w:ascii="Times New Roman" w:hAnsi="Times New Roman" w:eastAsia="Times New Roman"/>
          <w:b/>
          <w:i w:val="0"/>
        </w:rPr>
        <w:t>Bằng chữ: Một trăm sáu mươi triệu tám trăm mười hai nghìn đồng.</w:t>
      </w:r>
    </w:p>
    <w:p>
      <w:pPr>
        <w:keepNext/>
        <w:spacing w:after="80"/>
        <w:jc w:val="both"/>
      </w:pPr>
      <w:r>
        <w:rPr>
          <w:rFonts w:ascii="Times New Roman" w:hAnsi="Times New Roman" w:eastAsia="Times New Roman"/>
          <w:b w:val="0"/>
          <w:i w:val="0"/>
        </w:rPr>
        <w:t>Thời hạn thanh toán: theo Điều 2 của Hợp đồng và Phụ lục hợp đồng. Kính đề nghị Quý Công ty chuyển khoản cho CÔNG TY TNHH THƯƠNG MẠI VÀ CÔNG NGHIỆP TRUNG KIÊN, số tài khoản 1040801350 tại Ngân hàng TMCP Ngoại thương Việt Nam (Vietcombank) – CN Hà Nội – PGD số 2; nội dung: Thanh toán phần còn lại hợp đồng HĐKT102026-TK-H. Trân trọng cảm ơn Quý Công ty!</w:t>
      </w:r>
    </w:p>
    <w:tbl>
      <w:tblPr>
        <w:tblW w:type="auto" w:w="0"/>
        <w:tblLayout w:type="fixed"/>
        <w:tblLook w:firstColumn="1" w:firstRow="1" w:lastColumn="0" w:lastRow="0" w:noHBand="0" w:noVBand="1" w:val="04A0"/>
        <w:tblBorders>
          <w:top w:val="nil" w:sz="4" w:color="000000"/>
          <w:left w:val="nil" w:sz="4" w:color="000000"/>
          <w:bottom w:val="nil" w:sz="4" w:color="000000"/>
          <w:right w:val="nil" w:sz="4" w:color="000000"/>
          <w:insideH w:val="nil" w:sz="4" w:color="000000"/>
          <w:insideV w:val="nil" w:sz="4" w:color="000000"/>
        </w:tblBorders>
        <w:tblLayout w:type="fixed"/>
      </w:tblPr>
      <w:tblGrid>
        <w:gridCol w:w="4592"/>
        <w:gridCol w:w="4592"/>
      </w:tblGrid>
      <w:tr>
        <w:trPr>
          <w:cantSplit/>
        </w:trPr>
        <w:tc>
          <w:tcPr>
            <w:tcW w:type="dxa" w:w="4592"/>
          </w:tcPr>
          <w:p>
            <w:pPr>
              <w:keepNext/>
              <w:jc w:val="center"/>
            </w:pPr>
            <w:r>
              <w:rPr>
                <w:rFonts w:ascii="Times New Roman" w:hAnsi="Times New Roman" w:eastAsia="Times New Roman"/>
                <w:b/>
                <w:i w:val="0"/>
              </w:rPr>
            </w:r>
          </w:p>
          <w:p>
            <w:pPr>
              <w:keepNext/>
              <w:jc w:val="center"/>
            </w:pPr>
            <w:r>
              <w:rPr>
                <w:rFonts w:ascii="Times New Roman" w:hAnsi="Times New Roman" w:eastAsia="Times New Roman"/>
                <w:b w:val="0"/>
                <w:i/>
                <w:sz w:val="24"/>
              </w:rPr>
            </w:r>
          </w:p>
          <w:p>
            <w:pPr>
              <w:keepNext/>
            </w:pPr>
          </w:p>
          <w:p>
            <w:pPr>
              <w:keepNext/>
            </w:pPr>
          </w:p>
          <w:p/>
        </w:tc>
        <w:tc>
          <w:tcPr>
            <w:tcW w:type="dxa" w:w="4592"/>
          </w:tcPr>
          <w:p>
            <w:pPr>
              <w:keepNext/>
              <w:jc w:val="center"/>
            </w:pPr>
            <w:r>
              <w:rPr>
                <w:rFonts w:ascii="Times New Roman" w:hAnsi="Times New Roman" w:eastAsia="Times New Roman"/>
                <w:b/>
                <w:i w:val="0"/>
              </w:rPr>
              <w:t>BÊN ĐỀ NGHỊ THANH TOÁN</w:t>
            </w:r>
          </w:p>
          <w:p>
            <w:pPr>
              <w:spacing w:after="0"/>
              <w:jc w:val="center"/>
            </w:pPr>
            <w:r>
              <w:drawing>
                <wp:inline xmlns:a="http://schemas.openxmlformats.org/drawingml/2006/main" xmlns:pic="http://schemas.openxmlformats.org/drawingml/2006/picture">
                  <wp:extent cx="2499339" cy="1953391"/>
                  <wp:docPr id="1" name="Picture 1"/>
                  <wp:cNvGraphicFramePr>
                    <a:graphicFrameLocks noChangeAspect="1"/>
                  </wp:cNvGraphicFramePr>
                  <a:graphic>
                    <a:graphicData uri="http://schemas.openxmlformats.org/drawingml/2006/picture">
                      <pic:pic>
                        <pic:nvPicPr>
                          <pic:cNvPr id="0" name="dau_chu_ky_moi_ghep.png"/>
                          <pic:cNvPicPr/>
                        </pic:nvPicPr>
                        <pic:blipFill>
                          <a:blip r:embed="rId9"/>
                          <a:stretch>
                            <a:fillRect/>
                          </a:stretch>
                        </pic:blipFill>
                        <pic:spPr>
                          <a:xfrm>
                            <a:off x="0" y="0"/>
                            <a:ext cx="2499339" cy="1953391"/>
                          </a:xfrm>
                          <a:prstGeom prst="rect"/>
                        </pic:spPr>
                      </pic:pic>
                    </a:graphicData>
                  </a:graphic>
                </wp:inline>
              </w:drawing>
            </w:r>
          </w:p>
        </w:tc>
      </w:tr>
    </w:tbl>
    <w:p>
      <w:pPr>
        <w:spacing w:after="0" w:line="120" w:lineRule="exact"/>
      </w:pP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