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Các bước thực hiện</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Đọc file “CRC”, hiểu lý thuyết (có bài tập mẫu)? Encoder crc hoạt động ra sao? Decoder? Đa thức sinh?</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Lên google tìm 1 code CRC verilog (search: CRC verilog code)? Ví dụ: </w:t>
      </w:r>
      <w:hyperlink r:id="rId6">
        <w:r w:rsidDel="00000000" w:rsidR="00000000" w:rsidRPr="00000000">
          <w:rPr>
            <w:color w:val="1155cc"/>
            <w:u w:val="single"/>
            <w:rtl w:val="0"/>
          </w:rPr>
          <w:t xml:space="preserve">https://www.asic-world.com/examples/verilog/serial_crc.html</w:t>
        </w:r>
      </w:hyperlink>
      <w:r w:rsidDel="00000000" w:rsidR="00000000" w:rsidRPr="00000000">
        <w:rPr>
          <w:rtl w:val="0"/>
        </w:rPr>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Chạy mô phỏng ra kết quả là gì</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Tính CRC của chương trình trên bằng tay (thủ công giống ở file CRC trên”</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So sánh kết quả giữa tính toán và chạy mô phỏng phải giống nhau</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Đọc bài báo về CRC: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Cách đọc nhanh một bài báo (nói chung) (chia sẻ cá nhân)</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Đọc title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Đọc abstract: nắm tổng quan, động lực (lý do làm bài này), đóng góp</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Introduction: kéo xuống kiếm chữ “contribution” hoặc nghĩa tương tự. Đọc hiểu rõ hơn đóng góp của bài báo</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Thường là mục 3. Thiết kế. Hiểu thiết kế tổng quan của họ. Trong quá trình đọc mục 3. Khái niệm nào chưa rõ thì quay lại mục 2 (thường là cơ sở lý thuyết) tìm hiểu hoặc google/ chatgpt thêm</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Thường mục 4. Mô phỏng. Tìm hiểu cách họ setup. Cách họ mô phỏng. Vì sao họ cần làm vậy và mong muốn của họ là họ kiểm tra cái gì</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Cuối cùng. Học lại kỹ 1 lần nữa full bài báo. Thực hiện lại y chan bài báo của họ</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Trong quá trình thực hiện lại, nếu có ý tưởng mới cải tiến (improve) note lại để thực hiện </w:t>
        <w:tab/>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sic-world.com/examples/verilog/serial_cr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