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65D"/>
          <w:sz w:val="40"/>
          <w:szCs w:val="40"/>
        </w:rPr>
        <w:t xml:space="preserve">PIMS-DASHBOARD</w:t>
      </w:r>
    </w:p>
    <w:p>
      <w:pPr>
        <w:spacing w:after="300" w:before="0"/>
        <w:jc w:val="center"/>
      </w:pPr>
      <w:r>
        <w:rPr>
          <w:rFonts w:ascii="Arial" w:cs="Arial" w:eastAsia="Arial" w:hAnsi="Arial"/>
          <w:color w:val="2B6CB0"/>
          <w:sz w:val="24"/>
          <w:szCs w:val="24"/>
        </w:rPr>
        <w:t xml:space="preserve">Comprehensive System Specification &amp; User Operations Manual</w:t>
      </w:r>
    </w:p>
    <w:p>
      <w:pPr>
        <w:spacing w:after="400" w:before="0"/>
        <w:jc w:val="center"/>
      </w:pPr>
      <w:r>
        <w:rPr>
          <w:rFonts w:ascii="Arial" w:cs="Arial" w:eastAsia="Arial" w:hAnsi="Arial"/>
          <w:i/>
          <w:iCs/>
          <w:color w:val="718096"/>
          <w:sz w:val="18"/>
          <w:szCs w:val="18"/>
        </w:rPr>
        <w:t xml:space="preserve">Standard Baseline 2026 | Covers Data Lineage, ERP Sync, Excel Upload &amp; Manual Entry</w:t>
      </w:r>
    </w:p>
    <w:p>
      <w:pPr>
        <w:pStyle w:val="Heading1"/>
        <w:spacing w:after="140" w:before="360"/>
      </w:pPr>
      <w:r>
        <w:rPr>
          <w:rFonts w:ascii="Arial" w:cs="Arial" w:eastAsia="Arial" w:hAnsi="Arial"/>
          <w:b/>
          <w:bCs/>
          <w:color w:val="1A365D"/>
          <w:sz w:val="30"/>
          <w:szCs w:val="30"/>
        </w:rPr>
        <w:t xml:space="preserve">1. System Overview &amp; Architecture</w:t>
      </w:r>
    </w:p>
    <w:p>
      <w:pPr>
        <w:spacing w:after="80" w:before="80"/>
      </w:pPr>
      <w:r>
        <w:rPr>
          <w:rFonts w:ascii="Arial" w:cs="Arial" w:eastAsia="Arial" w:hAnsi="Arial"/>
          <w:b w:val="false"/>
          <w:bCs w:val="false"/>
          <w:color w:val="2D3748"/>
          <w:sz w:val="20"/>
          <w:szCs w:val="20"/>
        </w:rPr>
        <w:t xml:space="preserve">PIMS-DASHBOARD is an integrated executive business intelligence platform designed for DECV. It consolidates management reports, project construction tracking, cash flows, and subcontracting performance from the core PIMSVINA ERP system into real-time, actionable dashboards.</w:t>
      </w:r>
    </w:p>
    <w:p>
      <w:pPr>
        <w:spacing w:after="80" w:before="80"/>
      </w:pPr>
      <w:r>
        <w:rPr>
          <w:rFonts w:ascii="Arial" w:cs="Arial" w:eastAsia="Arial" w:hAnsi="Arial"/>
          <w:b w:val="false"/>
          <w:bCs w:val="false"/>
          <w:color w:val="2D3748"/>
          <w:sz w:val="20"/>
          <w:szCs w:val="20"/>
        </w:rPr>
        <w:t xml:space="preserve">To ensure data accuracy, timeliness, and operational security, data flows into PIMS-DASHBOARD through three standardized channels:</w:t>
      </w:r>
    </w:p>
    <w:p>
      <w:pPr>
        <w:pStyle w:val="ListParagraph"/>
        <w:numPr>
          <w:ilvl w:val="0"/>
          <w:numId w:val="1"/>
        </w:numPr>
        <w:spacing w:after="60" w:before="60"/>
      </w:pPr>
      <w:r>
        <w:rPr>
          <w:rFonts w:ascii="Arial" w:cs="Arial" w:eastAsia="Arial" w:hAnsi="Arial"/>
          <w:b/>
          <w:bCs/>
          <w:color w:val="1A365D"/>
          <w:sz w:val="20"/>
          <w:szCs w:val="20"/>
        </w:rPr>
        <w:t xml:space="preserve">1. 🔄 Automated ERP Sync (PIMSVINA): </w:t>
      </w:r>
      <w:r>
        <w:rPr>
          <w:rFonts w:ascii="Arial" w:cs="Arial" w:eastAsia="Arial" w:hAnsi="Arial"/>
          <w:color w:val="2D3748"/>
          <w:sz w:val="20"/>
          <w:szCs w:val="20"/>
        </w:rPr>
        <w:t xml:space="preserve">Automated Oracle database extraction using safe read-only queries. System administrators can inspect changes in a Preview Modal before committing updates to the live dashboard database.</w:t>
      </w:r>
    </w:p>
    <w:p>
      <w:pPr>
        <w:pStyle w:val="ListParagraph"/>
        <w:numPr>
          <w:ilvl w:val="0"/>
          <w:numId w:val="1"/>
        </w:numPr>
        <w:spacing w:after="60" w:before="60"/>
      </w:pPr>
      <w:r>
        <w:rPr>
          <w:rFonts w:ascii="Arial" w:cs="Arial" w:eastAsia="Arial" w:hAnsi="Arial"/>
          <w:b/>
          <w:bCs/>
          <w:color w:val="1A365D"/>
          <w:sz w:val="20"/>
          <w:szCs w:val="20"/>
        </w:rPr>
        <w:t xml:space="preserve">2. 📤 Excel File Upload: </w:t>
      </w:r>
      <w:r>
        <w:rPr>
          <w:rFonts w:ascii="Arial" w:cs="Arial" w:eastAsia="Arial" w:hAnsi="Arial"/>
          <w:color w:val="2D3748"/>
          <w:sz w:val="20"/>
          <w:szCs w:val="20"/>
        </w:rPr>
        <w:t xml:space="preserve">Bulk monthly workbook imports for corporate management P&amp;L and cash flow sheets. Features built-in version snapshots allowing 1-click rollback to any previous upload state.</w:t>
      </w:r>
    </w:p>
    <w:p>
      <w:pPr>
        <w:pStyle w:val="ListParagraph"/>
        <w:numPr>
          <w:ilvl w:val="0"/>
          <w:numId w:val="1"/>
        </w:numPr>
        <w:spacing w:after="60" w:before="60"/>
      </w:pPr>
      <w:r>
        <w:rPr>
          <w:rFonts w:ascii="Arial" w:cs="Arial" w:eastAsia="Arial" w:hAnsi="Arial"/>
          <w:b/>
          <w:bCs/>
          <w:color w:val="1A365D"/>
          <w:sz w:val="20"/>
          <w:szCs w:val="20"/>
        </w:rPr>
        <w:t xml:space="preserve">3. ✍️ Direct Manual Entry: </w:t>
      </w:r>
      <w:r>
        <w:rPr>
          <w:rFonts w:ascii="Arial" w:cs="Arial" w:eastAsia="Arial" w:hAnsi="Arial"/>
          <w:color w:val="2D3748"/>
          <w:sz w:val="20"/>
          <w:szCs w:val="20"/>
        </w:rPr>
        <w:t xml:space="preserve">Direct web input via the Project Data Entry tab and navigation header modals for parameters like exchange rates (USD/VND/KRW), project qualitative metadata, planned schedules, and qualitative management commentary.</w:t>
      </w:r>
    </w:p>
    <w:p>
      <w:pPr>
        <w:pStyle w:val="Heading1"/>
        <w:spacing w:after="140" w:before="360"/>
      </w:pPr>
      <w:r>
        <w:rPr>
          <w:rFonts w:ascii="Arial" w:cs="Arial" w:eastAsia="Arial" w:hAnsi="Arial"/>
          <w:b/>
          <w:bCs/>
          <w:color w:val="1A365D"/>
          <w:sz w:val="30"/>
          <w:szCs w:val="30"/>
        </w:rPr>
        <w:t xml:space="preserve">2. Indicator &amp; Data Lineage Mapping Matrix</w:t>
      </w:r>
    </w:p>
    <w:p>
      <w:pPr>
        <w:spacing w:after="80" w:before="80"/>
      </w:pPr>
      <w:r>
        <w:rPr>
          <w:rFonts w:ascii="Arial" w:cs="Arial" w:eastAsia="Arial" w:hAnsi="Arial"/>
          <w:b w:val="false"/>
          <w:bCs w:val="false"/>
          <w:color w:val="2D3748"/>
          <w:sz w:val="20"/>
          <w:szCs w:val="20"/>
        </w:rPr>
        <w:t xml:space="preserve">The table below specifies the exact origin, ERP screen mapping, underlying database source, and calculation logic for each indicator across the dashboard.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264"/>
        <w:gridCol w:w="2166"/>
        <w:gridCol w:w="2166"/>
      </w:tblGrid>
      <w:tr>
        <w:tc>
          <w:tcPr>
            <w:tcW w:type="pct" w:w="9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Module / Screen</w:t>
            </w:r>
          </w:p>
        </w:tc>
        <w:tc>
          <w:tcPr>
            <w:tcW w:type="pct" w:w="10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Indicator Name</w:t>
            </w:r>
          </w:p>
        </w:tc>
        <w:tc>
          <w:tcPr>
            <w:tcW w:type="pct" w:w="7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Input Type</w:t>
            </w:r>
          </w:p>
        </w:tc>
        <w:tc>
          <w:tcPr>
            <w:tcW w:type="pct" w:w="12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PIMSVINA ERP Menu &amp; UI</w:t>
            </w:r>
          </w:p>
        </w:tc>
        <w:tc>
          <w:tcPr>
            <w:tcW w:type="pct" w:w="12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DB Source &amp; Logic</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Company Dashboard
(Main Overview)</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YTD Revenue &amp; Operating Profit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Excel Upload</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Monthly Management Performance Registration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mr_monthly_amounts
(Sum m01 to reference month M)</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Company Dashboard
(Charts &amp; Widgets)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Full-Year Revenue &amp; Orders Donut</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Excel Upload</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Monthly Management Performance Registration
(Annual target/orders)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mr_annual_amounts
(plan_total vs actual_total)</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Company Dashboard
(Bottom Comments)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Performance Analysis &amp; Outlook</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Manual Entry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Comment Panel
(Admin Inline Editor)</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mr_comments
(PUT /api/mgmtreport/comments)</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(Overview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Contract Amount (VND)</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Construction Overview Registration
(TOTALCTRTWONAMT)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CBTB_CTRTSUMM.TOTALCTRTWONAMT
via dashboard_pd_overview_1q.jsp</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(Overview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Construction Period
(Start &amp; End Date)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Construction Overview Registration &gt; Period
(STCONSTDATE / CMPLSCHDDATE)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CBTB_CONSTPERIOD (latest CHGSEQ)
Fallback to CTRTSTDATE/EDDATE</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(Overview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Specifications
(Scale, Area, Purpose, Terms)</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Manual Entry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Data Entry Tab &gt; 0. Overview</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pd_overview table
(Saved via PUT /api/projectdetail)</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(Progress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Monthly Actual Progress (%)</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Cost Progress Rate (%)
Execution Progress (Site)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CHTB_PFMCOSTRMRK &amp; CETB_PFMCTRTHIST
Formula: SUM_COST / (BDGT - DIFF)</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(Progress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Monthly Plan Progress &amp; Milestones</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Manual Entry
(Excel Template)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Data Entry Tab &gt; 1. Progress / 2. Milestones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pd_progress_monthly.plan_pct
pd_milestones (Excel upload supported)</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(Sale/Profit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Cost Rate Setup
(Execution &amp; Completion)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Settlement Ratio Cost Screen
(Business Budget, Gross Profit %)</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ch_cost_settle_ratio_q_1q.jsp
Exact VND amounts &amp; historical months</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(Outsourcing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Subcontract List &amp; Monthly Progress</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Execution Progress (Site)
Request Execution Resolution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CDTB_ORDCONTTYPE, CETB_PFMCTRTHIST
CETB_PFMSCHDHIST via dashboard_pd_outsourcing</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(Costing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CBS Budget Execution
(Direct / Indirect / Contingency)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Execution Budget Proposal &gt; Breakdown
Cost Input Status by Execution Details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CATB_STNDCBS &amp; CHTB_PFMCOSTRMRK
Direct(Outsourcing/Common/Exp1), Indirect(Exp2)</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Detail
(Cash Flow Tab)</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Project Monthly Cash Flow</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bCs/>
                <w:color w:val="2D3748"/>
                <w:sz w:val="18"/>
                <w:szCs w:val="18"/>
              </w:rPr>
              <w:t xml:space="preserve">🔄 ERP Sync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Site Fund Movement (Cash / Bank)
Cash Flow Transactions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CFTB_CFTRANSACTION, CFTB_OPENINGBALANCE
Fallback to uploaded CF excel if missing</w:t>
            </w:r>
          </w:p>
        </w:tc>
      </w:tr>
    </w:tbl>
    <w:p>
      <w:pPr>
        <w:pStyle w:val="Heading1"/>
        <w:spacing w:after="140" w:before="360"/>
      </w:pPr>
      <w:r>
        <w:rPr>
          <w:rFonts w:ascii="Arial" w:cs="Arial" w:eastAsia="Arial" w:hAnsi="Arial"/>
          <w:b/>
          <w:bCs/>
          <w:color w:val="1A365D"/>
          <w:sz w:val="30"/>
          <w:szCs w:val="30"/>
        </w:rPr>
        <w:t xml:space="preserve">3. User Operations Guide by Screen</w:t>
      </w:r>
    </w:p>
    <w:p>
      <w:pPr>
        <w:spacing w:after="80" w:before="80"/>
      </w:pPr>
      <w:r>
        <w:rPr>
          <w:rFonts w:ascii="Arial" w:cs="Arial" w:eastAsia="Arial" w:hAnsi="Arial"/>
          <w:b w:val="false"/>
          <w:bCs w:val="false"/>
          <w:color w:val="2D3748"/>
          <w:sz w:val="20"/>
          <w:szCs w:val="20"/>
        </w:rPr>
        <w:t xml:space="preserve">This section provides step-by-step instructions for everyday users, project managers, and system administrators.</w:t>
      </w:r>
    </w:p>
    <w:p>
      <w:pPr>
        <w:pStyle w:val="Heading2"/>
        <w:spacing w:after="140" w:before="360"/>
      </w:pPr>
      <w:r>
        <w:rPr>
          <w:rFonts w:ascii="Arial" w:cs="Arial" w:eastAsia="Arial" w:hAnsi="Arial"/>
          <w:b/>
          <w:bCs/>
          <w:color w:val="2B6CB0"/>
          <w:sz w:val="24"/>
          <w:szCs w:val="24"/>
        </w:rPr>
        <w:t xml:space="preserve">3.1 Global Filter &amp; Navigation Bar</w:t>
      </w:r>
    </w:p>
    <w:p>
      <w:pPr>
        <w:pStyle w:val="ListParagraph"/>
        <w:numPr>
          <w:ilvl w:val="0"/>
          <w:numId w:val="1"/>
        </w:numPr>
        <w:spacing w:after="60" w:before="60"/>
      </w:pPr>
      <w:r>
        <w:rPr>
          <w:rFonts w:ascii="Arial" w:cs="Arial" w:eastAsia="Arial" w:hAnsi="Arial"/>
          <w:b/>
          <w:bCs/>
          <w:color w:val="1A365D"/>
          <w:sz w:val="20"/>
          <w:szCs w:val="20"/>
        </w:rPr>
        <w:t xml:space="preserve">Scope Filtering: </w:t>
      </w:r>
      <w:r>
        <w:rPr>
          <w:rFonts w:ascii="Arial" w:cs="Arial" w:eastAsia="Arial" w:hAnsi="Arial"/>
          <w:color w:val="2D3748"/>
          <w:sz w:val="20"/>
          <w:szCs w:val="20"/>
        </w:rPr>
        <w:t xml:space="preserve">Select between Company Total ('전체'), Construction Division ('시공'), Service Division ('용역'), or filter by project lifecycle status ('진행중' In-Progress / '종료' Completed).</w:t>
      </w:r>
    </w:p>
    <w:p>
      <w:pPr>
        <w:pStyle w:val="ListParagraph"/>
        <w:numPr>
          <w:ilvl w:val="0"/>
          <w:numId w:val="1"/>
        </w:numPr>
        <w:spacing w:after="60" w:before="60"/>
      </w:pPr>
      <w:r>
        <w:rPr>
          <w:rFonts w:ascii="Arial" w:cs="Arial" w:eastAsia="Arial" w:hAnsi="Arial"/>
          <w:b/>
          <w:bCs/>
          <w:color w:val="1A365D"/>
          <w:sz w:val="20"/>
          <w:szCs w:val="20"/>
        </w:rPr>
        <w:t xml:space="preserve">Period Selection: </w:t>
      </w:r>
      <w:r>
        <w:rPr>
          <w:rFonts w:ascii="Arial" w:cs="Arial" w:eastAsia="Arial" w:hAnsi="Arial"/>
          <w:color w:val="2D3748"/>
          <w:sz w:val="20"/>
          <w:szCs w:val="20"/>
        </w:rPr>
        <w:t xml:space="preserve">Change Start and End Year-Month pickers to evaluate historical trends. Set reference closing month to align with accounting cutoff schedules.</w:t>
      </w:r>
    </w:p>
    <w:p>
      <w:pPr>
        <w:pStyle w:val="ListParagraph"/>
        <w:numPr>
          <w:ilvl w:val="0"/>
          <w:numId w:val="1"/>
        </w:numPr>
        <w:spacing w:after="60" w:before="60"/>
      </w:pPr>
      <w:r>
        <w:rPr>
          <w:rFonts w:ascii="Arial" w:cs="Arial" w:eastAsia="Arial" w:hAnsi="Arial"/>
          <w:b/>
          <w:bCs/>
          <w:color w:val="1A365D"/>
          <w:sz w:val="20"/>
          <w:szCs w:val="20"/>
        </w:rPr>
        <w:t xml:space="preserve">Currency &amp; Unit Toggle: </w:t>
      </w:r>
      <w:r>
        <w:rPr>
          <w:rFonts w:ascii="Arial" w:cs="Arial" w:eastAsia="Arial" w:hAnsi="Arial"/>
          <w:color w:val="2D3748"/>
          <w:sz w:val="20"/>
          <w:szCs w:val="20"/>
        </w:rPr>
        <w:t xml:space="preserve">Instant conversion between USD, KRW, and VND. Toggle Unit (Unit K: Thousand USD/Bil VND vs Unit 1: Full Currency) for high-level vs granular precision.</w:t>
      </w:r>
    </w:p>
    <w:p>
      <w:pPr>
        <w:pStyle w:val="ListParagraph"/>
        <w:numPr>
          <w:ilvl w:val="0"/>
          <w:numId w:val="1"/>
        </w:numPr>
        <w:spacing w:after="60" w:before="60"/>
      </w:pPr>
      <w:r>
        <w:rPr>
          <w:rFonts w:ascii="Arial" w:cs="Arial" w:eastAsia="Arial" w:hAnsi="Arial"/>
          <w:b/>
          <w:bCs/>
          <w:color w:val="1A365D"/>
          <w:sz w:val="20"/>
          <w:szCs w:val="20"/>
        </w:rPr>
        <w:t xml:space="preserve">Export Reports: </w:t>
      </w:r>
      <w:r>
        <w:rPr>
          <w:rFonts w:ascii="Arial" w:cs="Arial" w:eastAsia="Arial" w:hAnsi="Arial"/>
          <w:color w:val="2D3748"/>
          <w:sz w:val="20"/>
          <w:szCs w:val="20"/>
        </w:rPr>
        <w:t xml:space="preserve">Download the full active dashboard view into formatted Excel workbooks or high-resolution PDF printouts via the top right Download menu.</w:t>
      </w:r>
    </w:p>
    <w:p>
      <w:pPr>
        <w:pStyle w:val="Heading2"/>
        <w:spacing w:after="140" w:before="360"/>
      </w:pPr>
      <w:r>
        <w:rPr>
          <w:rFonts w:ascii="Arial" w:cs="Arial" w:eastAsia="Arial" w:hAnsi="Arial"/>
          <w:b/>
          <w:bCs/>
          <w:color w:val="2B6CB0"/>
          <w:sz w:val="24"/>
          <w:szCs w:val="24"/>
        </w:rPr>
        <w:t xml:space="preserve">3.2 Project Data Entry Tab (Admin Operations)</w:t>
      </w:r>
    </w:p>
    <w:p>
      <w:pPr>
        <w:spacing w:after="80" w:before="80"/>
      </w:pPr>
      <w:r>
        <w:rPr>
          <w:rFonts w:ascii="Arial" w:cs="Arial" w:eastAsia="Arial" w:hAnsi="Arial"/>
          <w:b w:val="false"/>
          <w:bCs w:val="false"/>
          <w:color w:val="2D3748"/>
          <w:sz w:val="20"/>
          <w:szCs w:val="20"/>
        </w:rPr>
        <w:t xml:space="preserve">The Data Entry tab is accessible exclusively to administrators (authenticated by clicking the bottom PIMS logo and entering the administrator password). It allows fine-grained manual adjustments and schedule configurations:</w:t>
      </w:r>
    </w:p>
    <w:p>
      <w:pPr>
        <w:pStyle w:val="ListParagraph"/>
        <w:numPr>
          <w:ilvl w:val="0"/>
          <w:numId w:val="1"/>
        </w:numPr>
        <w:spacing w:after="60" w:before="60"/>
      </w:pPr>
      <w:r>
        <w:rPr>
          <w:rFonts w:ascii="Arial" w:cs="Arial" w:eastAsia="Arial" w:hAnsi="Arial"/>
          <w:b/>
          <w:bCs/>
          <w:color w:val="1A365D"/>
          <w:sz w:val="20"/>
          <w:szCs w:val="20"/>
        </w:rPr>
        <w:t xml:space="preserve">Section Locks &amp; Auto-Save: </w:t>
      </w:r>
      <w:r>
        <w:rPr>
          <w:rFonts w:ascii="Arial" w:cs="Arial" w:eastAsia="Arial" w:hAnsi="Arial"/>
          <w:color w:val="2D3748"/>
          <w:sz w:val="20"/>
          <w:szCs w:val="20"/>
        </w:rPr>
        <w:t xml:space="preserve">Each card (Overview, Progress, Milestones, Cost Plan, Budget, Outsourcing, Cashflow) features an individual Save button and a Lock/Unlock button to freeze finalized accounting periods.</w:t>
      </w:r>
    </w:p>
    <w:p>
      <w:pPr>
        <w:pStyle w:val="ListParagraph"/>
        <w:numPr>
          <w:ilvl w:val="0"/>
          <w:numId w:val="1"/>
        </w:numPr>
        <w:spacing w:after="60" w:before="60"/>
      </w:pPr>
      <w:r>
        <w:rPr>
          <w:rFonts w:ascii="Arial" w:cs="Arial" w:eastAsia="Arial" w:hAnsi="Arial"/>
          <w:b/>
          <w:bCs/>
          <w:color w:val="1A365D"/>
          <w:sz w:val="20"/>
          <w:szCs w:val="20"/>
        </w:rPr>
        <w:t xml:space="preserve">Milestones Excel Template: </w:t>
      </w:r>
      <w:r>
        <w:rPr>
          <w:rFonts w:ascii="Arial" w:cs="Arial" w:eastAsia="Arial" w:hAnsi="Arial"/>
          <w:color w:val="2D3748"/>
          <w:sz w:val="20"/>
          <w:szCs w:val="20"/>
        </w:rPr>
        <w:t xml:space="preserve">Download the pre-formatted Milestones Excel template, populate milestones offline, and upload for instant bulk population.</w:t>
      </w:r>
    </w:p>
    <w:p>
      <w:pPr>
        <w:pStyle w:val="ListParagraph"/>
        <w:numPr>
          <w:ilvl w:val="0"/>
          <w:numId w:val="1"/>
        </w:numPr>
        <w:spacing w:after="60" w:before="60"/>
      </w:pPr>
      <w:r>
        <w:rPr>
          <w:rFonts w:ascii="Arial" w:cs="Arial" w:eastAsia="Arial" w:hAnsi="Arial"/>
          <w:b/>
          <w:bCs/>
          <w:color w:val="1A365D"/>
          <w:sz w:val="20"/>
          <w:szCs w:val="20"/>
        </w:rPr>
        <w:t xml:space="preserve">Currency Precision: </w:t>
      </w:r>
      <w:r>
        <w:rPr>
          <w:rFonts w:ascii="Arial" w:cs="Arial" w:eastAsia="Arial" w:hAnsi="Arial"/>
          <w:color w:val="2D3748"/>
          <w:sz w:val="20"/>
          <w:szCs w:val="20"/>
        </w:rPr>
        <w:t xml:space="preserve">Enter raw monthly amounts directly in project currency (VND). The system automatically converts values based on contract exchange rates for multi-currency viewing.</w:t>
      </w:r>
    </w:p>
    <w:p>
      <w:pPr>
        <w:pStyle w:val="Heading2"/>
        <w:spacing w:after="140" w:before="360"/>
      </w:pPr>
      <w:r>
        <w:rPr>
          <w:rFonts w:ascii="Arial" w:cs="Arial" w:eastAsia="Arial" w:hAnsi="Arial"/>
          <w:b/>
          <w:bCs/>
          <w:color w:val="2B6CB0"/>
          <w:sz w:val="24"/>
          <w:szCs w:val="24"/>
        </w:rPr>
        <w:t xml:space="preserve">3.3 Automated ERP Synchronization Workflow</w:t>
      </w:r>
    </w:p>
    <w:p>
      <w:pPr>
        <w:spacing w:after="80" w:before="80"/>
      </w:pPr>
      <w:r>
        <w:rPr>
          <w:rFonts w:ascii="Arial" w:cs="Arial" w:eastAsia="Arial" w:hAnsi="Arial"/>
          <w:b w:val="false"/>
          <w:bCs w:val="false"/>
          <w:color w:val="2D3748"/>
          <w:sz w:val="20"/>
          <w:szCs w:val="20"/>
        </w:rPr>
        <w:t xml:space="preserve">To keep project details synchronized with the ERP while maintaining 100% data integrity, follow this standard procedure:</w:t>
      </w:r>
    </w:p>
    <w:p>
      <w:pPr>
        <w:pStyle w:val="ListParagraph"/>
        <w:numPr>
          <w:ilvl w:val="0"/>
          <w:numId w:val="1"/>
        </w:numPr>
        <w:spacing w:after="60" w:before="60"/>
      </w:pPr>
      <w:r>
        <w:rPr>
          <w:rFonts w:ascii="Arial" w:cs="Arial" w:eastAsia="Arial" w:hAnsi="Arial"/>
          <w:b/>
          <w:bCs/>
          <w:color w:val="1A365D"/>
          <w:sz w:val="20"/>
          <w:szCs w:val="20"/>
        </w:rPr>
        <w:t xml:space="preserve">Step 1: Trigger Preview: </w:t>
      </w:r>
      <w:r>
        <w:rPr>
          <w:rFonts w:ascii="Arial" w:cs="Arial" w:eastAsia="Arial" w:hAnsi="Arial"/>
          <w:color w:val="2D3748"/>
          <w:sz w:val="20"/>
          <w:szCs w:val="20"/>
        </w:rPr>
        <w:t xml:space="preserve">Click the 'PIMS Sync' button in the top header. The server connects to the Oracle database using read-only queries and retrieves the latest snapshots for all sites.</w:t>
      </w:r>
    </w:p>
    <w:p>
      <w:pPr>
        <w:pStyle w:val="ListParagraph"/>
        <w:numPr>
          <w:ilvl w:val="0"/>
          <w:numId w:val="1"/>
        </w:numPr>
        <w:spacing w:after="60" w:before="60"/>
      </w:pPr>
      <w:r>
        <w:rPr>
          <w:rFonts w:ascii="Arial" w:cs="Arial" w:eastAsia="Arial" w:hAnsi="Arial"/>
          <w:b/>
          <w:bCs/>
          <w:color w:val="1A365D"/>
          <w:sz w:val="20"/>
          <w:szCs w:val="20"/>
        </w:rPr>
        <w:t xml:space="preserve">Step 2: Inspect Changes: </w:t>
      </w:r>
      <w:r>
        <w:rPr>
          <w:rFonts w:ascii="Arial" w:cs="Arial" w:eastAsia="Arial" w:hAnsi="Arial"/>
          <w:color w:val="2D3748"/>
          <w:sz w:val="20"/>
          <w:szCs w:val="20"/>
        </w:rPr>
        <w:t xml:space="preserve">Review the Preview Modal displaying the record count, contract updates, and specific field differences across Overview, Progress, Outsourcing, Cost, and Cash Flow.</w:t>
      </w:r>
    </w:p>
    <w:p>
      <w:pPr>
        <w:pStyle w:val="ListParagraph"/>
        <w:numPr>
          <w:ilvl w:val="0"/>
          <w:numId w:val="1"/>
        </w:numPr>
        <w:spacing w:after="60" w:before="60"/>
      </w:pPr>
      <w:r>
        <w:rPr>
          <w:rFonts w:ascii="Arial" w:cs="Arial" w:eastAsia="Arial" w:hAnsi="Arial"/>
          <w:b/>
          <w:bCs/>
          <w:color w:val="1A365D"/>
          <w:sz w:val="20"/>
          <w:szCs w:val="20"/>
        </w:rPr>
        <w:t xml:space="preserve">Step 3: Confirm &amp; Apply: </w:t>
      </w:r>
      <w:r>
        <w:rPr>
          <w:rFonts w:ascii="Arial" w:cs="Arial" w:eastAsia="Arial" w:hAnsi="Arial"/>
          <w:color w:val="2D3748"/>
          <w:sz w:val="20"/>
          <w:szCs w:val="20"/>
        </w:rPr>
        <w:t xml:space="preserve">Click 'Confirm Sync' to commit changes into the dashboard database. All screens and charts update immediately without server restart.</w:t>
      </w:r>
    </w:p>
    <w:p>
      <w:pPr>
        <w:pStyle w:val="Heading1"/>
        <w:spacing w:after="140" w:before="360"/>
      </w:pPr>
      <w:r>
        <w:rPr>
          <w:rFonts w:ascii="Arial" w:cs="Arial" w:eastAsia="Arial" w:hAnsi="Arial"/>
          <w:b/>
          <w:bCs/>
          <w:color w:val="1A365D"/>
          <w:sz w:val="30"/>
          <w:szCs w:val="30"/>
        </w:rPr>
        <w:t xml:space="preserve">4. Troubleshooting &amp; Maintenance FAQ</w:t>
      </w:r>
    </w:p>
    <w:p>
      <w:pPr>
        <w:pStyle w:val="ListParagraph"/>
        <w:numPr>
          <w:ilvl w:val="0"/>
          <w:numId w:val="1"/>
        </w:numPr>
        <w:spacing w:after="60" w:before="60"/>
      </w:pPr>
      <w:r>
        <w:rPr>
          <w:rFonts w:ascii="Arial" w:cs="Arial" w:eastAsia="Arial" w:hAnsi="Arial"/>
          <w:b/>
          <w:bCs/>
          <w:color w:val="1A365D"/>
          <w:sz w:val="20"/>
          <w:szCs w:val="20"/>
        </w:rPr>
        <w:t xml:space="preserve">Q: Why do currency amounts slightly differ from ERP? </w:t>
      </w:r>
      <w:r>
        <w:rPr>
          <w:rFonts w:ascii="Arial" w:cs="Arial" w:eastAsia="Arial" w:hAnsi="Arial"/>
          <w:color w:val="2D3748"/>
          <w:sz w:val="20"/>
          <w:szCs w:val="20"/>
        </w:rPr>
        <w:t xml:space="preserve">All synchronized cost and outsourcing figures are stored in raw VND. Discrepancies usually stem from differing exchange rate dates. Check the Fx Rate Editor to ensure exchange rates match the ERP's contract rates (CBTB_CTRTSUMM.RATEUSD).</w:t>
      </w:r>
    </w:p>
    <w:p>
      <w:pPr>
        <w:pStyle w:val="ListParagraph"/>
        <w:numPr>
          <w:ilvl w:val="0"/>
          <w:numId w:val="1"/>
        </w:numPr>
        <w:spacing w:after="60" w:before="60"/>
      </w:pPr>
      <w:r>
        <w:rPr>
          <w:rFonts w:ascii="Arial" w:cs="Arial" w:eastAsia="Arial" w:hAnsi="Arial"/>
          <w:b/>
          <w:bCs/>
          <w:color w:val="1A365D"/>
          <w:sz w:val="20"/>
          <w:szCs w:val="20"/>
        </w:rPr>
        <w:t xml:space="preserve">Q: How do I recover if wrong Excel data was uploaded? </w:t>
      </w:r>
      <w:r>
        <w:rPr>
          <w:rFonts w:ascii="Arial" w:cs="Arial" w:eastAsia="Arial" w:hAnsi="Arial"/>
          <w:color w:val="2D3748"/>
          <w:sz w:val="20"/>
          <w:szCs w:val="20"/>
        </w:rPr>
        <w:t xml:space="preserve">Open the Management Report Upload modal, select the 'Upload History' tab, and click 'Rollback' next to the previous version to restore prior records instantly.</w:t>
      </w:r>
    </w:p>
    <w:p>
      <w:pPr>
        <w:pStyle w:val="ListParagraph"/>
        <w:numPr>
          <w:ilvl w:val="0"/>
          <w:numId w:val="1"/>
        </w:numPr>
        <w:spacing w:after="60" w:before="60"/>
      </w:pPr>
      <w:r>
        <w:rPr>
          <w:rFonts w:ascii="Arial" w:cs="Arial" w:eastAsia="Arial" w:hAnsi="Arial"/>
          <w:b/>
          <w:bCs/>
          <w:color w:val="1A365D"/>
          <w:sz w:val="20"/>
          <w:szCs w:val="20"/>
        </w:rPr>
        <w:t xml:space="preserve">Q: Why is a new project missing from the sidebar? </w:t>
      </w:r>
      <w:r>
        <w:rPr>
          <w:rFonts w:ascii="Arial" w:cs="Arial" w:eastAsia="Arial" w:hAnsi="Arial"/>
          <w:color w:val="2D3748"/>
          <w:sz w:val="20"/>
          <w:szCs w:val="20"/>
        </w:rPr>
        <w:t xml:space="preserve">The system automatically matches ERP FLDCODE with dashboard site codes. If a project is new, the sync service automatically registers it under 'Ongoing' status and displays it on the sidebar.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2026-10-02T04:49:59.603Z</dcterms:created>
  <dcterms:modified xsi:type="dcterms:W3CDTF">2026-10-02T04:49:59.603Z</dcterms:modified>
</cp:coreProperties>
</file>

<file path=docProps/custom.xml><?xml version="1.0" encoding="utf-8"?>
<Properties xmlns="http://schemas.openxmlformats.org/officeDocument/2006/custom-properties" xmlns:vt="http://schemas.openxmlformats.org/officeDocument/2006/docPropsVTypes"/>
</file>