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a94a3"/>
          <w:sz w:val="22"/>
          <w:szCs w:val="22"/>
        </w:rPr>
        <w:t xml:space="preserve">PIMS DASHBOARD</w:t>
      </w:r>
    </w:p>
    <w:p>
      <w:pPr>
        <w:spacing w:after="100"/>
        <w:jc w:val="center"/>
      </w:pPr>
      <w:r>
        <w:rPr>
          <w:b/>
          <w:bCs/>
          <w:color w:val="1a3a6b"/>
          <w:sz w:val="38"/>
          <w:szCs w:val="38"/>
        </w:rPr>
        <w:t xml:space="preserve">Ma trận đối chiếu đồng bộ dữ liệu PIMSVINA ↔ PIMS-DASHBOARD</w:t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Từng trường trên UI: nguồn dữ liệu (đồng bộ tự động từ Oracle PIMSVINA hay nhập tay trên Dashboard) và mức độ khớp với chuẩn nghiệp vụ (MaTran_NguonDuLieu_Dashboard_PIMS_DECV_v4.xlsx + SRS_Dashboard_theo_Dự_án.xlsx).</w:t>
      </w:r>
    </w:p>
    <w:p>
      <w:pPr>
        <w:pStyle w:val="Heading1"/>
        <w:spacing w:after="150" w:before="300"/>
      </w:pPr>
      <w:r>
        <w:t xml:space="preserve">Cách đọc bảng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Cột "Nguồn dữ liệu" cho biết trường này được đồng bộ tự động từ Oracle PIMSVINA hay do người dùng tự nhập tay trên PIMS-DASHBOARD.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Cột "Khớp chuẩn" là mức độ tin cậy đánh giá qua đối chiếu code với MaTran v4 + SRS (không phải số đo thực nghiệm chính xác tuyệt đối):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Xanh lá (85–100%): nguồn và công thức khớp đúng tài liệu chuẩn.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Vàng (50–84%): khớp một phần — đúng bảng/khái niệm nhưng lệch cột, lệch công thức phụ, hoặc lệch tỷ giá quy đổi.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Đỏ (0–49%): sai nguồn/công thức so với tài liệu chuẩn, hoặc đã xác nhận là lỗi.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Xám "Nhập tay": không đồng bộ tự động — đây là chủ trương đúng theo tài liệu (không phải lỗi).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Xem chi tiết bằng chứng (file:line, số liệu Oracle thật) trong các báo cáo audit đã trao đổi trước đó trong hội thoại này.</w:t>
      </w:r>
    </w:p>
    <w:p>
      <w:pPr>
        <w:pStyle w:val="Heading1"/>
        <w:spacing w:after="150" w:before="300"/>
      </w:pPr>
      <w:r>
        <w:t xml:space="preserve">1. Dự án THI CÔNG (Construction)</w:t>
      </w:r>
    </w:p>
    <w:p>
      <w:pPr>
        <w:pStyle w:val="Heading3"/>
        <w:spacing w:after="100" w:before="220"/>
      </w:pPr>
      <w:r>
        <w:t xml:space="preserve">0. Thông tin tổng quan  —  tab Tổng quan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Giá trị hợp đồng (VND)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75%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Nhánh VND dùng tỷ giá cố định 25.400.000 thay vì tra tỷ giá đúng tháng; nhánh dự phòng lấy CCTB_UTKCHGSEQ thay vì FIRMUTKAMT/FIRMCTRTAMT như MaTran ghi.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Ngày bắt đầu / kết thúc thi công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60%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Nguồn chính CBTB_CONSTPERIOD không xuất hiện trong MaTran/SRS — không xác minh được qua tài liệu.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Chủ đầu tư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50%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Code dùng CBTB_ORDERCORP/IFTB_CUSTMST; MaTran ghi nguồn khác (CBTB_FLDSUMM/RATB_CUSTMST) — có thể là synonym, chưa xác minh được.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Quy mô công trình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SQL trả NULL cứng — chưa lấy theo yêu cầu SRS (số tầng hầm B2 + số tầng nổi 00F ở màn DS site).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Số tòa nhà / Loại hình công trình / Số căn hộ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SRS yêu cầu rõ (lấy từ trường "Number of Households by Area Type") nhưng chưa có field nào tương ứng trong toàn bộ pipeline.</w:t>
            </w:r>
          </w:p>
        </w:tc>
      </w:tr>
    </w:tbl>
    <w:p>
      <w:pPr>
        <w:pStyle w:val="Heading3"/>
        <w:spacing w:after="100" w:before="220"/>
      </w:pPr>
      <w:r>
        <w:t xml:space="preserve">1. Tiến độ hàng tháng  —  tab Tiến độ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Kế hoạch hàng tháng / lũy kế (%)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Chủ trương đã chốt giữ nhập tay — sync chủ động loại trừ trường này khi ghi, đúng chủ trương.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Thực hiện hàng tháng / lũy kế (%)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30%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SAI CÔNG THỨC: SRS yêu cầu tỷ lệ "Gross Profit ratio (8/13)" từ màn Settlement Ratio Cost; code tính tỷ lệ Direct Cost thực hiện/dự toán từ CHTB_PFMCOSTRMRK — khác hẳn ý nghĩa tài chính.</w:t>
            </w:r>
          </w:p>
        </w:tc>
      </w:tr>
    </w:tbl>
    <w:p>
      <w:pPr>
        <w:pStyle w:val="Heading3"/>
        <w:spacing w:after="100" w:before="220"/>
      </w:pPr>
      <w:r>
        <w:t xml:space="preserve">2. Mốc tiến độ  —  tab Tiến độ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Tên mục / Bắt đầu / Kết thúc kế hoạch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MaTran kết luận PIMS không quản lý mốc kế hoạch thi công — đúng chủ trương nhập tay.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Bắt đầu / Kết thúc thực tế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40%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Lấy xấp xỉ từ CBTB_CONSTHISTORY (bảng không được MaTran/SRS công nhận) — tên/ngày mốc có nguy cơ không khớp danh mục 11 mốc chuẩn.</w:t>
            </w:r>
          </w:p>
        </w:tc>
      </w:tr>
    </w:tbl>
    <w:p>
      <w:pPr>
        <w:pStyle w:val="Heading3"/>
        <w:spacing w:after="100" w:before="220"/>
      </w:pPr>
      <w:r>
        <w:t xml:space="preserve">3. Doanh thu hàng tháng  —  tab Doanh thu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Kế hoạch doanh thu (VND)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 PHẠM CHỦ TRƯƠNG: MaTran ghi rõ "Đã chốt: Plan nhập tay" (giống Progress Plan) nhưng sync vẫn ghi đè tự động mỗi lần đồng bộ, xóa mất giá trị admin đã nhập tay.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Thực hiện doanh thu (VND)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65%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Dùng số Oracle tính sẵn (CJTB_SALESAMTRST) thay vì cơ chế "auto-calculating 3 nguồn" MaTran mô tả — hợp lý nếu PIMS tự duy trì đúng, nhưng không xác minh được cách PIMS tính ra.</w:t>
            </w:r>
          </w:p>
        </w:tc>
      </w:tr>
    </w:tbl>
    <w:p>
      <w:pPr>
        <w:pStyle w:val="Heading3"/>
        <w:spacing w:after="100" w:before="220"/>
      </w:pPr>
      <w:r>
        <w:t xml:space="preserve">4. Tỷ lệ chi phí  —  tab Chi phí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Đấu thầu (Bidding)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MaTran: chưa có nguồn PIMS đáng tin cậy — đúng chủ trương giữ nhập tay.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Lập dự toán thực hiện (Execution)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d8ecd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f6b3d"/>
                <w:sz w:val="18"/>
                <w:szCs w:val="18"/>
              </w:rPr>
              <w:t xml:space="preserve">85%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Công thức mẫu số ZZL khớp "Mapping mã KT"; riêng chú thích dòng #13 của MaTran (ghi "UTKAMT") có vẻ lỗi thời so với sheet Mapping.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Ước tính hoàn thành (Completion forecast)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PIMS chỉ có mục tiêu tổng, không có ước tính theo từng tháng — đúng chủ trương nhập tay.</w:t>
            </w:r>
          </w:p>
        </w:tc>
      </w:tr>
    </w:tbl>
    <w:p>
      <w:pPr>
        <w:pStyle w:val="Heading3"/>
        <w:spacing w:after="100" w:before="220"/>
      </w:pPr>
      <w:r>
        <w:t xml:space="preserve">5. Tình hình thực hiện dự toán  —  tab Chi phí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Dự toán (Budget) — Outsourcing/Common/Expense1/Expense2/Contingency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d8ecd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f6b3d"/>
                <w:sz w:val="18"/>
                <w:szCs w:val="18"/>
              </w:rPr>
              <w:t xml:space="preserve">90%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Công thức A−B−C khớp đúng sheet "Công thức" của cả MaTran và SRS.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Thực hiện lũy kế (Actual, tổng)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30%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Chỉ lấy 1 mốc snapshot mới nhất (MAX BASEYYMM); SRS yêu cầu lũy kế "đến đúng tháng đang xem" — sai khi xem báo cáo của tháng trước.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Kế hoạch / Thực hiện theo từng tháng (lưới 12 tháng)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Bảng pd_cost_budget_monthly tồn tại trong schema nhưng sync CHƯA BAO GIỜ ghi vào — chính MaTran tự chú thích "Sai nguồn dữ liệu" ở đúng dòng này.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Kế hoạch / Thực hiện thanh toán tiến độ (tổng)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Nhập tay trên PIMS-DASHBOARD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Luôn NULL từ Oracle — đúng, chưa có nguồn.</w:t>
            </w:r>
          </w:p>
        </w:tc>
      </w:tr>
    </w:tbl>
    <w:p>
      <w:pPr>
        <w:pStyle w:val="Heading3"/>
        <w:spacing w:after="100" w:before="220"/>
      </w:pPr>
      <w:r>
        <w:t xml:space="preserve">6. Thầu phụ / Vật tư  —  tab Thầu phụ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Nhóm hạng mục (Trade Group)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70%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Code dùng CDTB_ORDCONTTYPE.SVCDVSCODE; MaTran ghi nguồn khác (CETB_PFMCTRTHIST.ORDCONTTYPECODE).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Phân loại (Category)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XÁC NHẬN LỖI: trùng y hệt cột với Trade Group (cùng SVCDVSCODE) — không bao giờ phân biệt thầu phụ/dịch vụ như SRS yêu cầu (SRS liệt kê 2 dòng riêng biệt).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Hạng mục chi tiết (Trade)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50%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Dùng tên loại công trình chung (ORDCONTTYPENAME) thay vì mô tả riêng từng gói (CETB_PFMCTRTRMRK theo MaTran) — kém chi tiết hơn thiết kế.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Tên nhà thầu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d8ecd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f6b3d"/>
                <w:sz w:val="18"/>
                <w:szCs w:val="18"/>
              </w:rPr>
              <w:t xml:space="preserve">90%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Qua hàm FUN_GET_CTRT_CUST_INFO, khớp ý MaTran.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Ngày ký hợp đồng lần đầu / Lần thay đổi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d8ecd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f6b3d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Khớp đúng cột nguồn MaTran.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Dự toán (A) / Dự toán thực hiện / Số tiền phê duyệt (B)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d8ecd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f6b3d"/>
                <w:sz w:val="18"/>
                <w:szCs w:val="18"/>
              </w:rPr>
              <w:t xml:space="preserve">90%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Đúng cột nguồn; chỉ còn vướng tỷ giá cố định thay vì tra theo tháng.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Thanh toán tháng này / Lũy kế (C)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d8ecd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f6b3d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Khớp đúng.</w:t>
            </w:r>
          </w:p>
        </w:tc>
      </w:tr>
    </w:tbl>
    <w:p>
      <w:pPr>
        <w:pStyle w:val="Heading3"/>
        <w:spacing w:after="100" w:before="220"/>
      </w:pPr>
      <w:r>
        <w:t xml:space="preserve">7. Thu chi hàng tháng  —  tab Thu chi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Thu Cash in / Chi Cash out (VND)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d8ecd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f6b3d"/>
                <w:sz w:val="18"/>
                <w:szCs w:val="18"/>
              </w:rPr>
              <w:t xml:space="preserve">90%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Nguồn đúng, đã tự tra tỷ giá theo tháng ngay trong SQL (CHTB_EXCHANGE_RATIO) — chỉ còn thiếu bước quy đổi ra "nghìn USD" khi ghi vào DB (bug đã báo riêng).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Tiền mặt tương đương (Equivalent)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60%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Số dư đầu kỳ dùng giá trị USD quy đổi 1 lần cố định (CFTB_OPENINGBALANCE.TOTALUSD); cộng dồn với các tháng quy đổi theo tỷ giá riêng từng tháng → gốc quy đổi không đồng nhất trong cùng 1 chuỗi lũy kế.</w:t>
            </w:r>
          </w:p>
        </w:tc>
      </w:tr>
    </w:tbl>
    <w:p>
      <w:pPr>
        <w:pStyle w:val="Heading1"/>
        <w:spacing w:after="150" w:before="300"/>
      </w:pPr>
      <w:r>
        <w:t xml:space="preserve">2. Dự án DỊCH VỤ (Service) — chỉ liệt kê phần khác Construction</w:t>
      </w:r>
    </w:p>
    <w:p>
      <w:pPr>
        <w:pStyle w:val="Heading3"/>
        <w:spacing w:after="100" w:before="220"/>
      </w:pPr>
      <w:r>
        <w:t xml:space="preserve">0. Thông tin tổng quan (biến thể Dịch vụ)  —  tab Tổng quan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Ngày bắt đầu / kết thúc thực hiện, Nội dung thực hiện, Tháng cơ sở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60%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Tương tự Construction Overview — cùng vấn đề nguồn CBTB_CONSTPERIOD chưa xác minh.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Mục tiêu doanh thu hàng năm (VND)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65%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Qua CJTB_BUSPLAN_DETL — cùng nhóm với Doanh thu Plan, cùng câu hỏi về tỷ giá cố định.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Doanh thu thực hiện lũy kế (VND)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70%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Qua CJTB_SALESAMTRST — VND thô, tỷ giá cố định thay vì tra theo tháng.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Cash Confirmed (A) (VND)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75%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Qua CCTB_UTKSCHD — VND thô, tỷ giá cố định thay vì tra theo tháng.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Cash Collection (B) (VND)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 (admin ghi đè được)</w:t>
            </w:r>
          </w:p>
        </w:tc>
        <w:tc>
          <w:tcPr>
            <w:shd w:fill="fdf1d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a6116"/>
                <w:sz w:val="18"/>
                <w:szCs w:val="18"/>
              </w:rPr>
              <w:t xml:space="preserve">80%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Đã tự tra tỷ giá theo tháng trong SQL — nhưng SRS lại ghi nguồn phải là màn "Business performance/Thu chi tiền" (module mới), nên vẫn có rủi ro lệch kiến trúc dữ liệu nguồn.</w:t>
            </w:r>
          </w:p>
        </w:tc>
      </w:tr>
    </w:tbl>
    <w:p>
      <w:pPr>
        <w:pStyle w:val="Heading3"/>
        <w:spacing w:after="100" w:before="220"/>
      </w:pPr>
      <w:r>
        <w:t xml:space="preserve">3. Giá vốn hàng bán hàng tháng (chỉ có ở Dịch vụ)  —  tab Doanh thu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Giá vốn hàng bán kế toán (VND)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SAI HOÀN TOÀN: MaTran ghi rõ đây phải là giá trị TÍNH TOÁN (Revenue − Gross Profit), KHÔNG được query trực tiếp CHTB_COST. Code lại cộng thẳng CHTB_COST.DEBITAMT không lọc mã tài khoản (phải lọc dải 600–7xx theo sheet Mapping mã KT), rồi ghi đè số admin đã nhập tay.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Giá vốn hàng bán thực hiện (WIP) (VND)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Tự động từ PIMSVINA</w:t>
            </w:r>
          </w:p>
        </w:tc>
        <w:tc>
          <w:tcPr>
            <w:shd w:fill="f3d9d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a83a2a"/>
                <w:sz w:val="18"/>
                <w:szCs w:val="18"/>
              </w:rPr>
              <w:t xml:space="preserve">40%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Cùng vấn đề thiếu lọc mã tài khoản kế toán.</w:t>
            </w:r>
          </w:p>
        </w:tc>
      </w:tr>
    </w:tbl>
    <w:p>
      <w:pPr>
        <w:pStyle w:val="Heading1"/>
        <w:spacing w:after="150" w:before="300"/>
      </w:pPr>
      <w:r>
        <w:t xml:space="preserve">3. Tổng kết theo tab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Số trường Đồng bộ tự động (kể cả loại admin ghi đè được) so với Nhập tay hoàn toàn, tính trên toàn bộ 2 loại dự án:</w:t>
      </w:r>
    </w:p>
    <w:tbl>
      <w:tblPr>
        <w:tblW w:type="pct" w:w="100%"/>
        <w:tblBorders>
          <w:top w:val="single" w:color="c8d2de" w:sz="2"/>
          <w:left w:val="single" w:color="c8d2de" w:sz="2"/>
          <w:bottom w:val="single" w:color="c8d2de" w:sz="2"/>
          <w:right w:val="single" w:color="c8d2de" w:sz="2"/>
          <w:insideH w:val="single" w:color="d5dce6" w:sz="1"/>
          <w:insideV w:val="single" w:color="d5dce6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Trường trên UI</w:t>
            </w:r>
          </w:p>
        </w:tc>
        <w:tc>
          <w:tcPr>
            <w:tcW w:type="pct" w:w="2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Nguồn dữ liệu</w:t>
            </w:r>
          </w:p>
        </w:tc>
        <w:tc>
          <w:tcPr>
            <w:tcW w:type="pct" w:w="1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Khớp chuẩn</w:t>
            </w:r>
          </w:p>
        </w:tc>
        <w:tc>
          <w:tcPr>
            <w:tcW w:type="pct" w:w="42%"/>
            <w:shd w:fill="dbe6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a3a6b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Tổng quan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auto / 2 chưa triển khai (nhập tay)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≈ 82% auto, phần chưa triển khai không tính là "nhập tay chủ ý" mà là thiếu tính năng.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Tiến độ + Mốc tiến độ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auto / 2 nhập tay (chủ ý)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50/50 — đúng thiết kế, Plan luôn nhập tay.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Doanh thu + Giá vốn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auto / 0 nhập tay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auto nhưng có 2 lỗi nguồn nghiêm trọng (Sales Plan, COGS).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 phí (Cost Rate + Budget Execution)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auto / 4 nhập tay (chủ ý)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Riêng "Thực hiện theo tháng" tuy auto về thiết kế nhưng thực chất trống hoàn toàn (0%).</w:t>
            </w:r>
          </w:p>
        </w:tc>
      </w:tr>
      <w:tr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Thầu phụ/Vật tư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auto / 0 nhập tay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auto, hầu hết khớp tốt trừ Category (lỗi trùng cột).</w:t>
            </w:r>
          </w:p>
        </w:tc>
      </w:tr>
      <w:tr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Thu chi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auto / 0 nhập tay</w:t>
            </w:r>
          </w:p>
        </w:tc>
        <w:tc>
          <w:tcPr>
            <w:shd w:fill="e7e9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f6e"/>
                <w:sz w:val="18"/>
                <w:szCs w:val="18"/>
              </w:rPr>
              <w:t xml:space="preserve">Nhập tay</w:t>
            </w:r>
          </w:p>
        </w:tc>
        <w:tc>
          <w:tcPr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auto, khớp nguồn tốt, còn vướng tỷ giá/đơn vị.</w:t>
            </w:r>
          </w:p>
        </w:tc>
      </w:tr>
    </w:tbl>
    <w:p>
      <w:pPr>
        <w:pStyle w:val="Heading1"/>
        <w:spacing w:after="150" w:before="300"/>
      </w:pPr>
      <w:r>
        <w:t xml:space="preserve">4. Nguồn tham chiếu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d:\code\pimsvina\site\jsp\Common\dashboard\MaTran_NguonDuLieu_Dashboard_PIMS_DECV_v4.xlsx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d:\code\PIMS-DASHBOARD\docs\SRS_Dashboard_theo_Dự_án.xlsx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d:\code\PIMS-DASHBOARD\artifacts\api-server\src\lib\pimsvinaOracleQueries.ts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d:\code\PIMS-DASHBOARD\artifacts\api-server\src\routes\pimsvinaSync.ts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Tỷ giá thật đối chiếu trực tiếp từ Oracle CHTB_EXCHANGE_RATIO (24.000–26.500 VND/USD trong 18 tháng gần nhất) so với hằng số cứng 25.400.000 dùng trong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2026-09-12T03:37:31.488Z</dcterms:created>
  <dcterms:modified xsi:type="dcterms:W3CDTF">2026-09-12T03:37:31.488Z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