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8a94a3"/>
          <w:sz w:val="22"/>
          <w:szCs w:val="22"/>
        </w:rPr>
        <w:t xml:space="preserve">PIMS DASHBOARD</w:t>
      </w:r>
    </w:p>
    <w:p>
      <w:pPr>
        <w:spacing w:after="100"/>
        <w:jc w:val="center"/>
      </w:pPr>
      <w:r>
        <w:rPr>
          <w:b/>
          <w:bCs/>
          <w:color w:val="1a3a6b"/>
          <w:sz w:val="40"/>
          <w:szCs w:val="40"/>
        </w:rPr>
        <w:t xml:space="preserve">Data Field Reference — "Project Data Entry" Tab</w:t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Lists every input field by its on-screen UI label, grouped by card/section. Source: artifacts/pims-dashboard-2/src/components/ProjectDataEntryTab.tsx + locales/en/projectDataEntryTab.json.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rPr>
          <w:i w:val="false"/>
          <w:iCs w:val="false"/>
          <w:sz w:val="20"/>
          <w:szCs w:val="20"/>
        </w:rPr>
        <w:t xml:space="preserve">The "Data Entry" tab is admin-only, located inside each project's detail dashboard. It is where staff manually enter or correct progress / revenue / cost / outsourcing / cash flow data for a single project, to supplement or override data already synced automatically from Oracle PIMSVINA.</w:t>
      </w:r>
    </w:p>
    <w:p>
      <w:pPr>
        <w:spacing w:after="120"/>
      </w:pPr>
      <w:r>
        <w:rPr>
          <w:i w:val="false"/>
          <w:iCs w:val="false"/>
          <w:sz w:val="20"/>
          <w:szCs w:val="20"/>
        </w:rPr>
        <w:t xml:space="preserve">All monetary values are entered in VND; the system automatically converts them to thousand USD (K USD) on save. All progress/ratio values are entered as %. The screen has two layout variants depending on project type: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Construction projects (시공) — have a dedicated "Overview" block and a "Monthly Progress" block.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 projects (용역) — have an additional "Monthly Cost of Revenue" block, and a differently-shaped Overview (service-contract oriented, no construction progress %).</w:t>
      </w:r>
    </w:p>
    <w:p>
      <w:pPr>
        <w:spacing w:after="120"/>
      </w:pPr>
      <w:r>
        <w:rPr>
          <w:i w:val="false"/>
          <w:iCs w:val="false"/>
          <w:sz w:val="20"/>
          <w:szCs w:val="20"/>
        </w:rPr>
        <w:t xml:space="preserve">The remaining blocks (Revenue, Budget Execution Status, Outsourcing/Materials, Cash Flow) share the same structure for both project types; only the displayed section number differs.</w:t>
      </w:r>
    </w:p>
    <w:p>
      <w:pPr>
        <w:pStyle w:val="Heading1"/>
        <w:spacing w:after="150" w:before="300"/>
      </w:pPr>
      <w:r>
        <w:t xml:space="preserve">2. Shared controls (both project types)</w:t>
      </w:r>
    </w:p>
    <w:p>
      <w:pPr>
        <w:pStyle w:val="Heading3"/>
        <w:spacing w:after="100" w:before="200"/>
      </w:pPr>
      <w:r>
        <w:t xml:space="preserve">•. Status bar &amp; actions  —  linked tab: —</w:t>
      </w:r>
    </w:p>
    <w:tbl>
      <w:tblPr>
        <w:tblW w:type="pct" w:w="100%"/>
        <w:tblBorders>
          <w:top w:val="single" w:color="c8d2de" w:sz="2"/>
          <w:left w:val="single" w:color="c8d2de" w:sz="2"/>
          <w:bottom w:val="single" w:color="c8d2de" w:sz="2"/>
          <w:right w:val="single" w:color="c8d2de" w:sz="2"/>
          <w:insideH w:val="single" w:color="d5dce6" w:sz="1"/>
          <w:insideV w:val="single" w:color="d5dce6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UI Field Label</w:t>
            </w:r>
          </w:p>
        </w:tc>
        <w:tc>
          <w:tcPr>
            <w:tcW w:type="pct" w:w="5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Type / 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status (In progress / Closed)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 badge + toggle button (only changes the displayed status, does not delete data)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Save all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Saves every table below in a single API call</w:t>
            </w:r>
          </w:p>
        </w:tc>
      </w:tr>
    </w:tbl>
    <w:p>
      <w:pPr>
        <w:pStyle w:val="Heading1"/>
        <w:spacing w:after="150" w:before="300"/>
      </w:pPr>
      <w:r>
        <w:t xml:space="preserve">3. CONSTRUCTION projects — on-screen order</w:t>
      </w:r>
    </w:p>
    <w:p>
      <w:pPr>
        <w:pStyle w:val="Heading3"/>
        <w:spacing w:after="100" w:before="200"/>
      </w:pPr>
      <w:r>
        <w:t xml:space="preserve">0. Overview  —  linked tab: Overview tab</w:t>
      </w:r>
    </w:p>
    <w:tbl>
      <w:tblPr>
        <w:tblW w:type="pct" w:w="100%"/>
        <w:tblBorders>
          <w:top w:val="single" w:color="c8d2de" w:sz="2"/>
          <w:left w:val="single" w:color="c8d2de" w:sz="2"/>
          <w:bottom w:val="single" w:color="c8d2de" w:sz="2"/>
          <w:right w:val="single" w:color="c8d2de" w:sz="2"/>
          <w:insideH w:val="single" w:color="d5dce6" w:sz="1"/>
          <w:insideV w:val="single" w:color="d5dce6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UI Field Label</w:t>
            </w:r>
          </w:p>
        </w:tc>
        <w:tc>
          <w:tcPr>
            <w:tcW w:type="pct" w:w="5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Type / 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Contract Amount (VND)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Construction Start Date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 picker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Construction End 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 picker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text, placeholder: "e.g. ABC Development Co."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Scale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text, placeholder: "e.g. B2~35F 3 buildings, 500 residential units"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Note: Bidding amount and execution budget entered in section "4. Cost Rate" below are also reflected here in the Overview tab.</w:t>
      </w:r>
    </w:p>
    <w:p>
      <w:pPr>
        <w:pStyle w:val="Heading3"/>
        <w:spacing w:after="100" w:before="200"/>
      </w:pPr>
      <w:r>
        <w:t xml:space="preserve">1. Monthly Progress  —  linked tab: Progress tab</w:t>
      </w:r>
    </w:p>
    <w:tbl>
      <w:tblPr>
        <w:tblW w:type="pct" w:w="100%"/>
        <w:tblBorders>
          <w:top w:val="single" w:color="c8d2de" w:sz="2"/>
          <w:left w:val="single" w:color="c8d2de" w:sz="2"/>
          <w:bottom w:val="single" w:color="c8d2de" w:sz="2"/>
          <w:right w:val="single" w:color="c8d2de" w:sz="2"/>
          <w:insideH w:val="single" w:color="d5dce6" w:sz="1"/>
          <w:insideV w:val="single" w:color="d5dce6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UI Field Label</w:t>
            </w:r>
          </w:p>
        </w:tc>
        <w:tc>
          <w:tcPr>
            <w:tcW w:type="pct" w:w="5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Type / 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Year / Month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 — row key (year 2000-2100, month 1-12, no duplicates)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Monthly Plan (%)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— that month's own plan %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Monthly Actual (%)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— that month's own actual %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Cumulative Plan (%)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— cumulative plan %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Cumulative Actual (%)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— cumulative actual %</w:t>
            </w:r>
          </w:p>
        </w:tc>
      </w:tr>
    </w:tbl>
    <w:p>
      <w:pPr>
        <w:pStyle w:val="Heading3"/>
        <w:spacing w:after="100" w:before="200"/>
      </w:pPr>
      <w:r>
        <w:t xml:space="preserve">2. Milestones  —  linked tab: Progress tab</w:t>
      </w:r>
    </w:p>
    <w:tbl>
      <w:tblPr>
        <w:tblW w:type="pct" w:w="100%"/>
        <w:tblBorders>
          <w:top w:val="single" w:color="c8d2de" w:sz="2"/>
          <w:left w:val="single" w:color="c8d2de" w:sz="2"/>
          <w:bottom w:val="single" w:color="c8d2de" w:sz="2"/>
          <w:right w:val="single" w:color="c8d2de" w:sz="2"/>
          <w:insideH w:val="single" w:color="d5dce6" w:sz="1"/>
          <w:insideV w:val="single" w:color="d5dce6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UI Field Label</w:t>
            </w:r>
          </w:p>
        </w:tc>
        <w:tc>
          <w:tcPr>
            <w:tcW w:type="pct" w:w="5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Type / 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Item 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text, placeholder: "e.g. Groundbreaking"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 Start / Plan End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Actual Start / Actual End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</w:tr>
    </w:tbl>
    <w:p>
      <w:pPr>
        <w:pStyle w:val="Heading3"/>
        <w:spacing w:after="100" w:before="200"/>
      </w:pPr>
      <w:r>
        <w:t xml:space="preserve">3. Monthly Revenue  —  linked tab: Revenue tab</w:t>
      </w:r>
    </w:p>
    <w:tbl>
      <w:tblPr>
        <w:tblW w:type="pct" w:w="100%"/>
        <w:tblBorders>
          <w:top w:val="single" w:color="c8d2de" w:sz="2"/>
          <w:left w:val="single" w:color="c8d2de" w:sz="2"/>
          <w:bottom w:val="single" w:color="c8d2de" w:sz="2"/>
          <w:right w:val="single" w:color="c8d2de" w:sz="2"/>
          <w:insideH w:val="single" w:color="d5dce6" w:sz="1"/>
          <w:insideV w:val="single" w:color="d5dce6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UI Field Label</w:t>
            </w:r>
          </w:p>
        </w:tc>
        <w:tc>
          <w:tcPr>
            <w:tcW w:type="pct" w:w="5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Type / 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Year / Month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 — row key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Revenue Plan (VND)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Revenue Actual (VND)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Note: Manually entered data here takes priority over the data synced from the main management-report dashboard.</w:t>
      </w:r>
    </w:p>
    <w:p>
      <w:pPr>
        <w:pStyle w:val="Heading3"/>
        <w:spacing w:after="100" w:before="200"/>
      </w:pPr>
      <w:r>
        <w:t xml:space="preserve">4. Cost Rate  —  linked tab: Cost tab</w:t>
      </w:r>
    </w:p>
    <w:tbl>
      <w:tblPr>
        <w:tblW w:type="pct" w:w="100%"/>
        <w:tblBorders>
          <w:top w:val="single" w:color="c8d2de" w:sz="2"/>
          <w:left w:val="single" w:color="c8d2de" w:sz="2"/>
          <w:bottom w:val="single" w:color="c8d2de" w:sz="2"/>
          <w:right w:val="single" w:color="c8d2de" w:sz="2"/>
          <w:insideH w:val="single" w:color="d5dce6" w:sz="1"/>
          <w:insideV w:val="single" w:color="d5dce6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UI Field Label</w:t>
            </w:r>
          </w:p>
        </w:tc>
        <w:tc>
          <w:tcPr>
            <w:tcW w:type="pct" w:w="5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Type / 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Fixed 3 rows: "Bidding", "Execution Budget Setup", "Estimated Completion Cost Rate (Completion Forecast)" — the completion row can be repeated for multiple base months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Month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Only applies to the "Completion Forecast" row — month/year picker, no duplicates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Contract Amount (VND)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Amount, per category row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Cost (VND)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Amount, per category row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Note: The Cost tab shows the most recent base-month value at or before the end of the selected period. "Add completion forecast (monthly)" lets you add multiple completion rows.</w:t>
      </w:r>
    </w:p>
    <w:p>
      <w:pPr>
        <w:pStyle w:val="Heading3"/>
        <w:spacing w:after="100" w:before="200"/>
      </w:pPr>
      <w:r>
        <w:t xml:space="preserve">5. Budget Execution Status  —  linked tab: Cost tab</w:t>
      </w:r>
    </w:p>
    <w:tbl>
      <w:tblPr>
        <w:tblW w:type="pct" w:w="100%"/>
        <w:tblBorders>
          <w:top w:val="single" w:color="c8d2de" w:sz="2"/>
          <w:left w:val="single" w:color="c8d2de" w:sz="2"/>
          <w:bottom w:val="single" w:color="c8d2de" w:sz="2"/>
          <w:right w:val="single" w:color="c8d2de" w:sz="2"/>
          <w:insideH w:val="single" w:color="d5dce6" w:sz="1"/>
          <w:insideV w:val="single" w:color="d5dce6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UI Field Label</w:t>
            </w:r>
          </w:p>
        </w:tc>
        <w:tc>
          <w:tcPr>
            <w:tcW w:type="pct" w:w="5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Type / 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Item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Fixed 4 rows: Common, Expense 1 (Direct Cost group) · Expense 2, Contingency (Indirect Cost group). The Outsourcing item is auto-aggregated from section "6. Outsourcing/Materials" below, not entered directly here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Budget (VND)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Progress Payment Plan (VND)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Progress Payment Actual (VND)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Monthly Plan / Actual (current year)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12-month grid × (Plan (VND), Actual (VND)) — repeated per item: Common, Expense 1, Expense 2, Outsourcing</w:t>
            </w:r>
          </w:p>
        </w:tc>
      </w:tr>
    </w:tbl>
    <w:p>
      <w:pPr>
        <w:pStyle w:val="Heading3"/>
        <w:spacing w:after="100" w:before="200"/>
      </w:pPr>
      <w:r>
        <w:t xml:space="preserve">6. Outsourcing / Materials  —  linked tab: Outsourcing tab</w:t>
      </w:r>
    </w:p>
    <w:tbl>
      <w:tblPr>
        <w:tblW w:type="pct" w:w="100%"/>
        <w:tblBorders>
          <w:top w:val="single" w:color="c8d2de" w:sz="2"/>
          <w:left w:val="single" w:color="c8d2de" w:sz="2"/>
          <w:bottom w:val="single" w:color="c8d2de" w:sz="2"/>
          <w:right w:val="single" w:color="c8d2de" w:sz="2"/>
          <w:insideH w:val="single" w:color="d5dce6" w:sz="1"/>
          <w:insideV w:val="single" w:color="d5dce6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UI Field Label</w:t>
            </w:r>
          </w:p>
        </w:tc>
        <w:tc>
          <w:tcPr>
            <w:tcW w:type="pct" w:w="5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Type / 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Trade Group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Fixed dropdown: Common, Civil, Architecture, Mechanical, Electrical, Landscaping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Trade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text, placeholder: "e.g. Earthworks"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Vendor 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text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text, placeholder: "Service/Outsourcing"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Initial Contract 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Short date text, e.g. '24.12.31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Change No.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text — number of contract changes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Budget (A) (VND)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Executed Budget (VND)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Resolved Amount (B) (VND)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This Month's Progress Payment (VND)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Cumulative Progress Payment (C) (VND)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Note: A "Total" row automatically sums the Budget(A) / Executed Budget / Resolved(B) / This Month / Cumulative(C) columns.</w:t>
      </w:r>
    </w:p>
    <w:p>
      <w:pPr>
        <w:pStyle w:val="Heading3"/>
        <w:spacing w:after="100" w:before="200"/>
      </w:pPr>
      <w:r>
        <w:t xml:space="preserve">7. Monthly Cash Flow  —  linked tab: Cash Flow tab</w:t>
      </w:r>
    </w:p>
    <w:tbl>
      <w:tblPr>
        <w:tblW w:type="pct" w:w="100%"/>
        <w:tblBorders>
          <w:top w:val="single" w:color="c8d2de" w:sz="2"/>
          <w:left w:val="single" w:color="c8d2de" w:sz="2"/>
          <w:bottom w:val="single" w:color="c8d2de" w:sz="2"/>
          <w:right w:val="single" w:color="c8d2de" w:sz="2"/>
          <w:insideH w:val="single" w:color="d5dce6" w:sz="1"/>
          <w:insideV w:val="single" w:color="d5dce6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UI Field Label</w:t>
            </w:r>
          </w:p>
        </w:tc>
        <w:tc>
          <w:tcPr>
            <w:tcW w:type="pct" w:w="5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Type / 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Year / Month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 — row key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Cash In (VND)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Cash Out (VND)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 — entered as a positive number; the chart automatically displays it downward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Cash Equivalent (VND)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 — converted equivalent balance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Note: If the project already has cash-flow data pre-loaded from the Excel(DB) import, editing this table saves the edit as this project's own cash-flow data, which then takes priority going forward.</w:t>
      </w:r>
    </w:p>
    <w:p>
      <w:pPr>
        <w:pStyle w:val="Heading1"/>
        <w:spacing w:after="150" w:before="300"/>
      </w:pPr>
      <w:r>
        <w:t xml:space="preserve">4. SERVICE projects — on-screen order</w:t>
      </w:r>
    </w:p>
    <w:p>
      <w:pPr>
        <w:pStyle w:val="Heading3"/>
        <w:spacing w:after="100" w:before="200"/>
      </w:pPr>
      <w:r>
        <w:t xml:space="preserve">0. Overview  —  linked tab: Overview tab</w:t>
      </w:r>
    </w:p>
    <w:tbl>
      <w:tblPr>
        <w:tblW w:type="pct" w:w="100%"/>
        <w:tblBorders>
          <w:top w:val="single" w:color="c8d2de" w:sz="2"/>
          <w:left w:val="single" w:color="c8d2de" w:sz="2"/>
          <w:bottom w:val="single" w:color="c8d2de" w:sz="2"/>
          <w:right w:val="single" w:color="c8d2de" w:sz="2"/>
          <w:insideH w:val="single" w:color="d5dce6" w:sz="1"/>
          <w:insideV w:val="single" w:color="d5dce6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UI Field Label</w:t>
            </w:r>
          </w:p>
        </w:tc>
        <w:tc>
          <w:tcPr>
            <w:tcW w:type="pct" w:w="5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Type / 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Contract Amount (VND)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Performance Start Date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Performance End 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text, placeholder: "e.g. DAEWOO NHON TRACH"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Scope of Work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text, placeholder: "e.g. Permitting, pre-con report submission"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Month of Record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Month/year picker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Annual Revenue Target (VND)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Cumulative Revenue Actual (VND)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Cash Confirmed (A) (VND)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Cash Collection (B) (VND)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Note: "Outstanding", shown on the Overview tab, is automatically calculated as (A) − (B); it is not a manual field.</w:t>
      </w:r>
    </w:p>
    <w:p>
      <w:pPr>
        <w:pStyle w:val="Heading3"/>
        <w:spacing w:after="100" w:before="200"/>
      </w:pPr>
      <w:r>
        <w:t xml:space="preserve">1. Contract Amount &amp; Cost  —  linked tab: Overview tab</w:t>
      </w:r>
    </w:p>
    <w:tbl>
      <w:tblPr>
        <w:tblW w:type="pct" w:w="100%"/>
        <w:tblBorders>
          <w:top w:val="single" w:color="c8d2de" w:sz="2"/>
          <w:left w:val="single" w:color="c8d2de" w:sz="2"/>
          <w:bottom w:val="single" w:color="c8d2de" w:sz="2"/>
          <w:right w:val="single" w:color="c8d2de" w:sz="2"/>
          <w:insideH w:val="single" w:color="d5dce6" w:sz="1"/>
          <w:insideV w:val="single" w:color="d5dce6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UI Field Label</w:t>
            </w:r>
          </w:p>
        </w:tc>
        <w:tc>
          <w:tcPr>
            <w:tcW w:type="pct" w:w="5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Type / 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Fixed 3 rows: "Bidding", "Execution Budget Setup", "Estimated Completion Cost Rate (Completion Forecast)"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Month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Only applies to the completion row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Contract Amount (VND)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Cost (VND)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Note: Same structure as the Construction project's "Cost Rate" block, just displayed right after Overview instead of after Revenue.</w:t>
      </w:r>
    </w:p>
    <w:p>
      <w:pPr>
        <w:pStyle w:val="Heading3"/>
        <w:spacing w:after="100" w:before="200"/>
      </w:pPr>
      <w:r>
        <w:t xml:space="preserve">2. Monthly Revenue  —  linked tab: Revenue tab</w:t>
      </w:r>
    </w:p>
    <w:tbl>
      <w:tblPr>
        <w:tblW w:type="pct" w:w="100%"/>
        <w:tblBorders>
          <w:top w:val="single" w:color="c8d2de" w:sz="2"/>
          <w:left w:val="single" w:color="c8d2de" w:sz="2"/>
          <w:bottom w:val="single" w:color="c8d2de" w:sz="2"/>
          <w:right w:val="single" w:color="c8d2de" w:sz="2"/>
          <w:insideH w:val="single" w:color="d5dce6" w:sz="1"/>
          <w:insideV w:val="single" w:color="d5dce6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UI Field Label</w:t>
            </w:r>
          </w:p>
        </w:tc>
        <w:tc>
          <w:tcPr>
            <w:tcW w:type="pct" w:w="5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Type / 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Year / Month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Revenue Plan (VND)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Revenue Actual (VND)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</w:tr>
    </w:tbl>
    <w:p>
      <w:pPr>
        <w:pStyle w:val="Heading3"/>
        <w:spacing w:after="100" w:before="200"/>
      </w:pPr>
      <w:r>
        <w:t xml:space="preserve">3. Monthly Cost of Revenue  —  linked tab: Revenue tab</w:t>
      </w:r>
    </w:p>
    <w:tbl>
      <w:tblPr>
        <w:tblW w:type="pct" w:w="100%"/>
        <w:tblBorders>
          <w:top w:val="single" w:color="c8d2de" w:sz="2"/>
          <w:left w:val="single" w:color="c8d2de" w:sz="2"/>
          <w:bottom w:val="single" w:color="c8d2de" w:sz="2"/>
          <w:right w:val="single" w:color="c8d2de" w:sz="2"/>
          <w:insideH w:val="single" w:color="d5dce6" w:sz="1"/>
          <w:insideV w:val="single" w:color="d5dce6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UI Field Label</w:t>
            </w:r>
          </w:p>
        </w:tc>
        <w:tc>
          <w:tcPr>
            <w:tcW w:type="pct" w:w="5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Type / 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Year / Month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Accounting COGS (VND)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Executed COGS (WIP) (VND)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Note: Service projects only. Reflected in the Revenue tab's Cost (accounting vs. executed COGS) chart.</w:t>
      </w:r>
    </w:p>
    <w:p>
      <w:pPr>
        <w:pStyle w:val="Heading3"/>
        <w:spacing w:after="100" w:before="200"/>
      </w:pPr>
      <w:r>
        <w:t xml:space="preserve">4. Budget Execution Status  —  linked tab: Budget Execution tab</w:t>
      </w:r>
    </w:p>
    <w:tbl>
      <w:tblPr>
        <w:tblW w:type="pct" w:w="100%"/>
        <w:tblBorders>
          <w:top w:val="single" w:color="c8d2de" w:sz="2"/>
          <w:left w:val="single" w:color="c8d2de" w:sz="2"/>
          <w:bottom w:val="single" w:color="c8d2de" w:sz="2"/>
          <w:right w:val="single" w:color="c8d2de" w:sz="2"/>
          <w:insideH w:val="single" w:color="d5dce6" w:sz="1"/>
          <w:insideV w:val="single" w:color="d5dce6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UI Field Label</w:t>
            </w:r>
          </w:p>
        </w:tc>
        <w:tc>
          <w:tcPr>
            <w:tcW w:type="pct" w:w="5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Type / 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Item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Fixed 4 rows: Common, Expense 1 (Direct Cost) · Expense 2, Contingency (Indirect Cost); the Outsourcing item auto-aggregates from section "5. Outsourcing/Materials"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Budget (VND)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Progress Payment Plan (VND)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Progress Payment Actual (VND)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Monthly Plan / Actual (current year)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12-month grid × (Plan (VND), Actual (VND)) per item</w:t>
            </w:r>
          </w:p>
        </w:tc>
      </w:tr>
    </w:tbl>
    <w:p>
      <w:pPr>
        <w:pStyle w:val="Heading3"/>
        <w:spacing w:after="100" w:before="200"/>
      </w:pPr>
      <w:r>
        <w:t xml:space="preserve">5. Outsourcing / Materials  —  linked tab: Outsourcing tab</w:t>
      </w:r>
    </w:p>
    <w:tbl>
      <w:tblPr>
        <w:tblW w:type="pct" w:w="100%"/>
        <w:tblBorders>
          <w:top w:val="single" w:color="c8d2de" w:sz="2"/>
          <w:left w:val="single" w:color="c8d2de" w:sz="2"/>
          <w:bottom w:val="single" w:color="c8d2de" w:sz="2"/>
          <w:right w:val="single" w:color="c8d2de" w:sz="2"/>
          <w:insideH w:val="single" w:color="d5dce6" w:sz="1"/>
          <w:insideV w:val="single" w:color="d5dce6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UI Field Label</w:t>
            </w:r>
          </w:p>
        </w:tc>
        <w:tc>
          <w:tcPr>
            <w:tcW w:type="pct" w:w="5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Type / 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Trade Group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Common, Civil, Architecture, Mechanical, Electrical, Landscaping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Trade / Vendor Name / Category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text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Initial Contract Date / Change No.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Short date / free text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Budget (A), Executed Budget, Resolved (B), This Month, Cumulative (C)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 (VND)</w:t>
            </w:r>
          </w:p>
        </w:tc>
      </w:tr>
    </w:tbl>
    <w:p>
      <w:pPr>
        <w:pStyle w:val="Heading3"/>
        <w:spacing w:after="100" w:before="200"/>
      </w:pPr>
      <w:r>
        <w:t xml:space="preserve">6. Monthly Cash Flow  —  linked tab: Cash Flow tab</w:t>
      </w:r>
    </w:p>
    <w:tbl>
      <w:tblPr>
        <w:tblW w:type="pct" w:w="100%"/>
        <w:tblBorders>
          <w:top w:val="single" w:color="c8d2de" w:sz="2"/>
          <w:left w:val="single" w:color="c8d2de" w:sz="2"/>
          <w:bottom w:val="single" w:color="c8d2de" w:sz="2"/>
          <w:right w:val="single" w:color="c8d2de" w:sz="2"/>
          <w:insideH w:val="single" w:color="d5dce6" w:sz="1"/>
          <w:insideV w:val="single" w:color="d5dce6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UI Field Label</w:t>
            </w:r>
          </w:p>
        </w:tc>
        <w:tc>
          <w:tcPr>
            <w:tcW w:type="pct" w:w="55%"/>
            <w:shd w:fill="db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a6b"/>
                <w:sz w:val="19"/>
                <w:szCs w:val="19"/>
              </w:rPr>
              <w:t xml:space="preserve">Type / 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Year / Month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</w:tr>
      <w:tr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Cash In (VND) / Cash Out (VND) / Cash Equivalent (VND)</w:t>
            </w:r>
          </w:p>
        </w:tc>
        <w:tc>
          <w:tcPr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</w:tr>
    </w:tbl>
    <w:p>
      <w:pPr>
        <w:pStyle w:val="Heading1"/>
        <w:spacing w:after="150" w:before="300"/>
      </w:pPr>
      <w:r>
        <w:t xml:space="preserve">5. Data-source cross-reference notes</w:t>
      </w:r>
    </w:p>
    <w:p>
      <w:pPr>
        <w:spacing w:after="120"/>
      </w:pPr>
      <w:r>
        <w:rPr>
          <w:i w:val="false"/>
          <w:iCs w:val="false"/>
          <w:sz w:val="20"/>
          <w:szCs w:val="20"/>
        </w:rPr>
        <w:t xml:space="preserve">The blocks above share their names with the 8 tables auto-synced from Oracle PIMSVINA via the "PIMSVINA Sync" popup (PimsvinaSyncPreviewModal): pdOverview, pdProgress, pdMilestones, pdSales, pdCogs, pdCostBudget, pdOutsourcing, pdCashflow. Data entered manually on the Data Entry tab overrides the synced data until the next sync.</w:t>
      </w:r>
    </w:p>
    <w:p>
      <w:pPr>
        <w:spacing w:after="120"/>
      </w:pPr>
      <w:r>
        <w:rPr>
          <w:i w:val="false"/>
          <w:iCs w:val="false"/>
          <w:sz w:val="20"/>
          <w:szCs w:val="20"/>
        </w:rPr>
        <w:t xml:space="preserve">Reference source files: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artifacts/pims-dashboard-2/src/components/ProjectDataEntryTab.tsx — screen logic &amp;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artifacts/pims-dashboard-2/src/locales/en/projectDataEntryTab.json — all UI field labels (English)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artifacts/api-server/src/lib/pimsvinaOracleQueries.ts — direct-Oracle SQL corresponding to each block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2026-09-12T02:34:19.415Z</dcterms:created>
  <dcterms:modified xsi:type="dcterms:W3CDTF">2026-09-12T02:34:19.416Z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