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59669"/>
          <w:sz w:val="40"/>
        </w:rPr>
        <w:t>KẾ HOẠCH NÂNG CẤP &amp; PHÁT TRIỂN HỆ THỐNG GIÁ THẾ GIỚI &amp; NỘI ĐỊA</w:t>
      </w:r>
    </w:p>
    <w:p>
      <w:r>
        <w:rPr>
          <w:i/>
          <w:color w:val="64748B"/>
          <w:sz w:val="22"/>
        </w:rPr>
        <w:t>NoroFarm Real-Time Agricultural Financial Terminal • Kiến trúc &amp; Lộ trình 2026</w:t>
      </w:r>
    </w:p>
    <w:p>
      <w:r>
        <w:t>───────────────────────────────────────────────────────</w:t>
      </w:r>
    </w:p>
    <w:p>
      <w:pPr>
        <w:pStyle w:val="Heading1"/>
      </w:pPr>
      <w:r>
        <w:t>1. Hiện trạng &amp; Khắc phục Giao diện Biểu đồ tối</w:t>
      </w:r>
    </w:p>
    <w:p>
      <w:r>
        <w:rPr>
          <w:b/>
        </w:rPr>
        <w:t xml:space="preserve">• Vấn đề được phát hiện: </w:t>
      </w:r>
      <w:r>
        <w:t>Trong chế độ Dark Mode, biểu đồ AreaChart của Robusta London và các mặt hàng nông sản sử dụng độ mờ quá thấp (stopOpacity=0.2 về 0) và không có điểm dữ liệu (dot={false}), khiến đồ thị chìm hoàn toàn vào nền tối đen.</w:t>
        <w:br/>
      </w:r>
      <w:r>
        <w:rPr>
          <w:b/>
        </w:rPr>
        <w:t xml:space="preserve">• Giải pháp đã lập trình xử lý ngay: </w:t>
      </w:r>
      <w:r>
        <w:t>Nâng cấp đường line sang màu Neon Emerald rực rỡ (#10b981), độ dày 3px, tích hợp bộ lọc phát sáng Neon Glow (feDropShadow), phủ dải màu diện tích sáng (stopOpacity 0.45 về 0.01) và hiển thị các chấm điểm dữ liệu trắng viền xanh ngọc. Bổ sung thanh thống kê giá thời gian thực với chấm xanh/đỏ nhấp nháy (animate-ping) ngay trên đầu biểu đồ.</w:t>
      </w:r>
    </w:p>
    <w:p>
      <w:pPr>
        <w:pStyle w:val="Heading1"/>
      </w:pPr>
      <w:r>
        <w:t>2. Nguồn API Dữ liệu Hàng hóa Thế giới</w:t>
      </w:r>
    </w:p>
    <w:p>
      <w:r>
        <w:t>Hệ thống sẽ kết nối trực tiếp các nguồn dữ liệu phái sinh hàng hóa quốc tế:</w:t>
        <w:br/>
      </w:r>
      <w:r>
        <w:rPr>
          <w:b/>
        </w:rPr>
        <w:t xml:space="preserve">• Sàn London (ICE Futures Europe): </w:t>
      </w:r>
      <w:r>
        <w:t>Hợp đồng Robusta Coffee Futures (RC=F) tính theo USD/tấn.</w:t>
        <w:br/>
      </w:r>
      <w:r>
        <w:rPr>
          <w:b/>
        </w:rPr>
        <w:t xml:space="preserve">• Sàn New York (ICE Futures US): </w:t>
      </w:r>
      <w:r>
        <w:t>Hợp đồng Arabica Coffee C (KC=F) tính theo Cent/lb.</w:t>
        <w:br/>
      </w:r>
      <w:r>
        <w:rPr>
          <w:b/>
        </w:rPr>
        <w:t xml:space="preserve">• Sàn Chicago (CBOT - CME Group): </w:t>
      </w:r>
      <w:r>
        <w:t>Ngô (Corn - ZC=F), Đậu tương (Soybeans - ZS=F), Lúa mì (Wheat - ZW=F).</w:t>
        <w:br/>
      </w:r>
      <w:r>
        <w:rPr>
          <w:b/>
        </w:rPr>
        <w:t xml:space="preserve">• Tỷ giá ngoại tệ tự động: </w:t>
      </w:r>
      <w:r>
        <w:t>Kết nối API Vietcombank / SBV để cập nhật tỷ giá USD/VND theo thời gian thực phục vụ quy đổi tự động.</w:t>
      </w:r>
    </w:p>
    <w:p>
      <w:pPr>
        <w:pStyle w:val="Heading1"/>
      </w:pPr>
      <w:r>
        <w:t>3. Ma trận So sánh Giá Thế giới vs Giá Nội địa (Basis Spread)</w:t>
      </w:r>
    </w:p>
    <w:tbl>
      <w:tblPr>
        <w:tblW w:type="auto" w:w="0"/>
        <w:jc w:val="center"/>
        <w:tblLook w:firstColumn="1" w:firstRow="1" w:lastColumn="0" w:lastRow="0" w:noHBand="0" w:noVBand="1" w:val="04A0"/>
      </w:tblPr>
      <w:tblGrid>
        <w:gridCol w:w="2484"/>
        <w:gridCol w:w="2484"/>
        <w:gridCol w:w="2484"/>
        <w:gridCol w:w="2484"/>
      </w:tblGrid>
      <w:tr>
        <w:tc>
          <w:tcPr>
            <w:tcW w:type="dxa" w:w="2484"/>
            <w:shd w:fill="059669"/>
            <w:tcMar>
              <w:top w:w="140" w:type="dxa"/>
              <w:bottom w:w="140" w:type="dxa"/>
              <w:left w:w="140" w:type="dxa"/>
              <w:right w:w="140" w:type="dxa"/>
            </w:tcMar>
          </w:tcPr>
          <w:p>
            <w:r>
              <w:rPr>
                <w:b/>
                <w:color w:val="FFFFFF"/>
                <w:sz w:val="19"/>
              </w:rPr>
              <w:t>Chỉ số</w:t>
            </w:r>
          </w:p>
        </w:tc>
        <w:tc>
          <w:tcPr>
            <w:tcW w:type="dxa" w:w="2484"/>
            <w:shd w:fill="059669"/>
            <w:tcMar>
              <w:top w:w="140" w:type="dxa"/>
              <w:bottom w:w="140" w:type="dxa"/>
              <w:left w:w="140" w:type="dxa"/>
              <w:right w:w="140" w:type="dxa"/>
            </w:tcMar>
          </w:tcPr>
          <w:p>
            <w:r>
              <w:rPr>
                <w:b/>
                <w:color w:val="FFFFFF"/>
                <w:sz w:val="19"/>
              </w:rPr>
              <w:t>Sàn Quốc tế (London ICE)</w:t>
            </w:r>
          </w:p>
        </w:tc>
        <w:tc>
          <w:tcPr>
            <w:tcW w:type="dxa" w:w="2484"/>
            <w:shd w:fill="059669"/>
            <w:tcMar>
              <w:top w:w="140" w:type="dxa"/>
              <w:bottom w:w="140" w:type="dxa"/>
              <w:left w:w="140" w:type="dxa"/>
              <w:right w:w="140" w:type="dxa"/>
            </w:tcMar>
          </w:tcPr>
          <w:p>
            <w:r>
              <w:rPr>
                <w:b/>
                <w:color w:val="FFFFFF"/>
                <w:sz w:val="19"/>
              </w:rPr>
              <w:t>Nội địa (Đắk Lắk)</w:t>
            </w:r>
          </w:p>
        </w:tc>
        <w:tc>
          <w:tcPr>
            <w:tcW w:type="dxa" w:w="2484"/>
            <w:shd w:fill="059669"/>
            <w:tcMar>
              <w:top w:w="140" w:type="dxa"/>
              <w:bottom w:w="140" w:type="dxa"/>
              <w:left w:w="140" w:type="dxa"/>
              <w:right w:w="140" w:type="dxa"/>
            </w:tcMar>
          </w:tcPr>
          <w:p>
            <w:r>
              <w:rPr>
                <w:b/>
                <w:color w:val="FFFFFF"/>
                <w:sz w:val="19"/>
              </w:rPr>
              <w:t>Chênh lệch (Basis Spread)</w:t>
            </w:r>
          </w:p>
        </w:tc>
      </w:tr>
      <w:tr>
        <w:tc>
          <w:tcPr>
            <w:tcW w:type="dxa" w:w="2484"/>
            <w:shd w:fill="F0FDF4"/>
            <w:tcMar>
              <w:top w:w="120" w:type="dxa"/>
              <w:bottom w:w="120" w:type="dxa"/>
              <w:left w:w="120" w:type="dxa"/>
              <w:right w:w="120" w:type="dxa"/>
            </w:tcMar>
          </w:tcPr>
          <w:p>
            <w:r>
              <w:rPr>
                <w:b/>
                <w:sz w:val="18"/>
              </w:rPr>
              <w:t>Giá niêm yết gốc</w:t>
            </w:r>
          </w:p>
        </w:tc>
        <w:tc>
          <w:tcPr>
            <w:tcW w:type="dxa" w:w="2484"/>
            <w:shd w:fill="F0FDF4"/>
            <w:tcMar>
              <w:top w:w="120" w:type="dxa"/>
              <w:bottom w:w="120" w:type="dxa"/>
              <w:left w:w="120" w:type="dxa"/>
              <w:right w:w="120" w:type="dxa"/>
            </w:tcMar>
          </w:tcPr>
          <w:p>
            <w:r>
              <w:rPr>
                <w:sz w:val="18"/>
              </w:rPr>
              <w:t>3.820 USD/tấn</w:t>
            </w:r>
          </w:p>
        </w:tc>
        <w:tc>
          <w:tcPr>
            <w:tcW w:type="dxa" w:w="2484"/>
            <w:shd w:fill="F0FDF4"/>
            <w:tcMar>
              <w:top w:w="120" w:type="dxa"/>
              <w:bottom w:w="120" w:type="dxa"/>
              <w:left w:w="120" w:type="dxa"/>
              <w:right w:w="120" w:type="dxa"/>
            </w:tcMar>
          </w:tcPr>
          <w:p>
            <w:r>
              <w:rPr>
                <w:sz w:val="18"/>
              </w:rPr>
              <w:t>96.500 đ/kg</w:t>
            </w:r>
          </w:p>
        </w:tc>
        <w:tc>
          <w:tcPr>
            <w:tcW w:type="dxa" w:w="2484"/>
            <w:shd w:fill="F0FDF4"/>
            <w:tcMar>
              <w:top w:w="120" w:type="dxa"/>
              <w:bottom w:w="120" w:type="dxa"/>
              <w:left w:w="120" w:type="dxa"/>
              <w:right w:w="120" w:type="dxa"/>
            </w:tcMar>
          </w:tcPr>
          <w:p>
            <w:r>
              <w:rPr>
                <w:sz w:val="18"/>
              </w:rPr>
              <w:t>--</w:t>
            </w:r>
          </w:p>
        </w:tc>
      </w:tr>
      <w:tr>
        <w:tc>
          <w:tcPr>
            <w:tcW w:type="dxa" w:w="2484"/>
            <w:shd w:fill="FFFFFF"/>
            <w:tcMar>
              <w:top w:w="120" w:type="dxa"/>
              <w:bottom w:w="120" w:type="dxa"/>
              <w:left w:w="120" w:type="dxa"/>
              <w:right w:w="120" w:type="dxa"/>
            </w:tcMar>
          </w:tcPr>
          <w:p>
            <w:r>
              <w:rPr>
                <w:b/>
                <w:sz w:val="18"/>
              </w:rPr>
              <w:t>Quy đổi sang VNĐ/kg</w:t>
            </w:r>
          </w:p>
        </w:tc>
        <w:tc>
          <w:tcPr>
            <w:tcW w:type="dxa" w:w="2484"/>
            <w:shd w:fill="FFFFFF"/>
            <w:tcMar>
              <w:top w:w="120" w:type="dxa"/>
              <w:bottom w:w="120" w:type="dxa"/>
              <w:left w:w="120" w:type="dxa"/>
              <w:right w:w="120" w:type="dxa"/>
            </w:tcMar>
          </w:tcPr>
          <w:p>
            <w:r>
              <w:rPr>
                <w:sz w:val="18"/>
              </w:rPr>
              <w:t>97.028 đ/kg (tỷ giá 25.400)</w:t>
            </w:r>
          </w:p>
        </w:tc>
        <w:tc>
          <w:tcPr>
            <w:tcW w:type="dxa" w:w="2484"/>
            <w:shd w:fill="FFFFFF"/>
            <w:tcMar>
              <w:top w:w="120" w:type="dxa"/>
              <w:bottom w:w="120" w:type="dxa"/>
              <w:left w:w="120" w:type="dxa"/>
              <w:right w:w="120" w:type="dxa"/>
            </w:tcMar>
          </w:tcPr>
          <w:p>
            <w:r>
              <w:rPr>
                <w:sz w:val="18"/>
              </w:rPr>
              <w:t>96.500 đ/kg</w:t>
            </w:r>
          </w:p>
        </w:tc>
        <w:tc>
          <w:tcPr>
            <w:tcW w:type="dxa" w:w="2484"/>
            <w:shd w:fill="FFFFFF"/>
            <w:tcMar>
              <w:top w:w="120" w:type="dxa"/>
              <w:bottom w:w="120" w:type="dxa"/>
              <w:left w:w="120" w:type="dxa"/>
              <w:right w:w="120" w:type="dxa"/>
            </w:tcMar>
          </w:tcPr>
          <w:p>
            <w:r>
              <w:rPr>
                <w:sz w:val="18"/>
              </w:rPr>
              <w:t>-528 đ/kg (-0.54%)</w:t>
            </w:r>
          </w:p>
        </w:tc>
      </w:tr>
      <w:tr>
        <w:tc>
          <w:tcPr>
            <w:tcW w:type="dxa" w:w="2484"/>
            <w:shd w:fill="F0FDF4"/>
            <w:tcMar>
              <w:top w:w="120" w:type="dxa"/>
              <w:bottom w:w="120" w:type="dxa"/>
              <w:left w:w="120" w:type="dxa"/>
              <w:right w:w="120" w:type="dxa"/>
            </w:tcMar>
          </w:tcPr>
          <w:p>
            <w:r>
              <w:rPr>
                <w:b/>
                <w:sz w:val="18"/>
              </w:rPr>
              <w:t>Biến động 24h</w:t>
            </w:r>
          </w:p>
        </w:tc>
        <w:tc>
          <w:tcPr>
            <w:tcW w:type="dxa" w:w="2484"/>
            <w:shd w:fill="F0FDF4"/>
            <w:tcMar>
              <w:top w:w="120" w:type="dxa"/>
              <w:bottom w:w="120" w:type="dxa"/>
              <w:left w:w="120" w:type="dxa"/>
              <w:right w:w="120" w:type="dxa"/>
            </w:tcMar>
          </w:tcPr>
          <w:p>
            <w:r>
              <w:rPr>
                <w:sz w:val="18"/>
              </w:rPr>
              <w:t>+45 USD/tấn (+1.19%)</w:t>
            </w:r>
          </w:p>
        </w:tc>
        <w:tc>
          <w:tcPr>
            <w:tcW w:type="dxa" w:w="2484"/>
            <w:shd w:fill="F0FDF4"/>
            <w:tcMar>
              <w:top w:w="120" w:type="dxa"/>
              <w:bottom w:w="120" w:type="dxa"/>
              <w:left w:w="120" w:type="dxa"/>
              <w:right w:w="120" w:type="dxa"/>
            </w:tcMar>
          </w:tcPr>
          <w:p>
            <w:r>
              <w:rPr>
                <w:sz w:val="18"/>
              </w:rPr>
              <w:t>+1.000 đ/kg (+1.05%)</w:t>
            </w:r>
          </w:p>
        </w:tc>
        <w:tc>
          <w:tcPr>
            <w:tcW w:type="dxa" w:w="2484"/>
            <w:shd w:fill="F0FDF4"/>
            <w:tcMar>
              <w:top w:w="120" w:type="dxa"/>
              <w:bottom w:w="120" w:type="dxa"/>
              <w:left w:w="120" w:type="dxa"/>
              <w:right w:w="120" w:type="dxa"/>
            </w:tcMar>
          </w:tcPr>
          <w:p>
            <w:r>
              <w:rPr>
                <w:sz w:val="18"/>
              </w:rPr>
              <w:t>Bám sát nhịp độ thế giới</w:t>
            </w:r>
          </w:p>
        </w:tc>
      </w:tr>
    </w:tbl>
    <w:p/>
    <w:p>
      <w:pPr>
        <w:pStyle w:val="Heading1"/>
      </w:pPr>
      <w:r>
        <w:t>4. Cơ chế Hiệu ứng Số liệu Thời gian thực (Flash Red / Green)</w:t>
      </w:r>
    </w:p>
    <w:p>
      <w:r>
        <w:t>Mô phỏng bảng điện tử sàn giao dịch chứng khoán / tài chính:</w:t>
        <w:br/>
      </w:r>
      <w:r>
        <w:rPr>
          <w:b/>
        </w:rPr>
        <w:t xml:space="preserve">• Khi giá tăng: </w:t>
      </w:r>
      <w:r>
        <w:t>Ô số liệu lập tức nhấp nháy viền và nền xanh lá rực rỡ (#10b981) trong 600ms, hiển thị biểu tượng ▲ và tỷ lệ tăng +X%.</w:t>
        <w:br/>
      </w:r>
      <w:r>
        <w:rPr>
          <w:b/>
        </w:rPr>
        <w:t xml:space="preserve">• Khi giá giảm: </w:t>
      </w:r>
      <w:r>
        <w:t>Ô số liệu lập tức nhấp nháy nền đỏ (#ef4444) trong 600ms, hiển thị biểu tượng ▼ và tỷ lệ giảm -X%.</w:t>
        <w:br/>
      </w:r>
      <w:r>
        <w:rPr>
          <w:b/>
        </w:rPr>
        <w:t xml:space="preserve">• Giao thức truyền dữ liệu: </w:t>
      </w:r>
      <w:r>
        <w:t>Sử dụng WebSocket (/ws/prices) hoặc Server-Sent Events (SSE) để đẩy trực tiếp biến động giá từ backend về trình duyệt người dùng mà không cần tải lại trang.</w:t>
      </w:r>
    </w:p>
    <w:p>
      <w:pPr>
        <w:pStyle w:val="Heading1"/>
      </w:pPr>
      <w:r>
        <w:t>5. Lộ trình Triển khai Phân kỳ</w:t>
      </w:r>
    </w:p>
    <w:p>
      <w:r>
        <w:rPr>
          <w:b/>
        </w:rPr>
        <w:t xml:space="preserve">1. Giai đoạn 1 (Đã hoàn thành): </w:t>
      </w:r>
      <w:r>
        <w:t>Nâng cấp độ sáng rực rỡ cho biểu đồ Coffee và Nông sản, thêm hiệu ứng neon và chấm điểm dữ liệu rõ nét.</w:t>
        <w:br/>
      </w:r>
      <w:r>
        <w:rPr>
          <w:b/>
        </w:rPr>
        <w:t xml:space="preserve">2. Giai đoạn 2 (Tuần 1-2): </w:t>
      </w:r>
      <w:r>
        <w:t>Cài đặt crawler tự động dữ liệu phái sinh quốc tế và tỷ giá USD/VND theo thời gian thực.</w:t>
        <w:br/>
      </w:r>
      <w:r>
        <w:rPr>
          <w:b/>
        </w:rPr>
        <w:t xml:space="preserve">3. Giai đoạn 3 (Tuần 3): </w:t>
      </w:r>
      <w:r>
        <w:t>Triển khai WebSocket đẩy giá trực tuyến và hiệu ứng nhấp nháy xanh/đỏ cho người dùng.</w:t>
        <w:br/>
      </w:r>
      <w:r>
        <w:rPr>
          <w:b/>
        </w:rPr>
        <w:t xml:space="preserve">4. Giai đoạn 4 (Tuần 4): </w:t>
      </w:r>
      <w:r>
        <w:t>Ra mắt chuyên trang 'Thế giới &amp; Nội địa' với đồ thị 2 trục Y so sánh độ lệch chênh lệch giá (Basis Arbitrage Matrix).</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