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07 giờ ngày 18/04 đến 19 giờ ngày 18/04/2024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07h - 13h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13h - 19h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19 ngày 18/04/2024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07h/19/04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19h/19/04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19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