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021A" w14:textId="1549E8E7" w:rsidR="00347864" w:rsidRDefault="008D756E" w:rsidP="00347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Might</w:t>
      </w:r>
      <w:r w:rsidR="00831268" w:rsidRPr="00770EF8">
        <w:rPr>
          <w:rFonts w:ascii="Times New Roman" w:hAnsi="Times New Roman" w:cs="Times New Roman"/>
          <w:b/>
          <w:bCs/>
          <w:sz w:val="28"/>
          <w:szCs w:val="28"/>
        </w:rPr>
        <w:t xml:space="preserve"> Proper </w:t>
      </w:r>
      <w:r w:rsidR="00E0582A">
        <w:rPr>
          <w:rFonts w:ascii="Times New Roman" w:hAnsi="Times New Roman" w:cs="Times New Roman"/>
          <w:b/>
          <w:bCs/>
          <w:sz w:val="28"/>
          <w:szCs w:val="28"/>
        </w:rPr>
        <w:t>Benchmark</w:t>
      </w:r>
      <w:r w:rsidR="00D7577B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831268" w:rsidRPr="00770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7EB2" w:rsidRPr="00770EF8">
        <w:rPr>
          <w:rFonts w:ascii="Times New Roman" w:hAnsi="Times New Roman" w:cs="Times New Roman"/>
          <w:b/>
          <w:bCs/>
          <w:sz w:val="28"/>
          <w:szCs w:val="28"/>
        </w:rPr>
        <w:t>Help Turn Aroun</w:t>
      </w:r>
      <w:r w:rsidR="00770EF8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</w:p>
    <w:p w14:paraId="3F803AFB" w14:textId="59936D1F" w:rsidR="00CE5EBD" w:rsidRPr="00770EF8" w:rsidRDefault="009D0E23" w:rsidP="00347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Poor </w:t>
      </w:r>
      <w:r w:rsidR="00C97EB2" w:rsidRPr="00770EF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="00347864">
        <w:rPr>
          <w:rFonts w:ascii="Times New Roman" w:hAnsi="Times New Roman" w:cs="Times New Roman"/>
          <w:b/>
          <w:bCs/>
          <w:sz w:val="28"/>
          <w:szCs w:val="28"/>
        </w:rPr>
        <w:t xml:space="preserve"> Pension</w:t>
      </w:r>
      <w:r w:rsidR="00C97EB2" w:rsidRPr="00770EF8">
        <w:rPr>
          <w:rFonts w:ascii="Times New Roman" w:hAnsi="Times New Roman" w:cs="Times New Roman"/>
          <w:b/>
          <w:bCs/>
          <w:sz w:val="28"/>
          <w:szCs w:val="28"/>
        </w:rPr>
        <w:t xml:space="preserve"> Fund Performance?</w:t>
      </w:r>
    </w:p>
    <w:p w14:paraId="511C48A5" w14:textId="573B32F8" w:rsidR="00831268" w:rsidRPr="00831268" w:rsidRDefault="00831268" w:rsidP="003E0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8C92D" w14:textId="77777777" w:rsidR="00F1152D" w:rsidRDefault="00F1152D" w:rsidP="003E0225">
      <w:pPr>
        <w:rPr>
          <w:rFonts w:ascii="Times New Roman" w:hAnsi="Times New Roman" w:cs="Times New Roman"/>
          <w:sz w:val="24"/>
          <w:szCs w:val="24"/>
        </w:rPr>
      </w:pPr>
    </w:p>
    <w:p w14:paraId="3BCB1D4B" w14:textId="682A004F" w:rsidR="00450E5F" w:rsidRDefault="005130E4" w:rsidP="00E04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Richard M. Ennis</w:t>
      </w:r>
    </w:p>
    <w:p w14:paraId="2E5AC4EC" w14:textId="019FB1DF" w:rsidR="005130E4" w:rsidRPr="005130E4" w:rsidRDefault="005130E4" w:rsidP="00E04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richardmennis@gmail.com</w:t>
      </w:r>
    </w:p>
    <w:p w14:paraId="3563741E" w14:textId="7B3307DC" w:rsidR="00CE5EBD" w:rsidRDefault="00CE5EBD" w:rsidP="003E0225">
      <w:pPr>
        <w:rPr>
          <w:rFonts w:ascii="Times New Roman" w:hAnsi="Times New Roman" w:cs="Times New Roman"/>
          <w:sz w:val="24"/>
          <w:szCs w:val="24"/>
        </w:rPr>
      </w:pPr>
    </w:p>
    <w:p w14:paraId="6FC17ACE" w14:textId="6C9122A6" w:rsidR="00AC1937" w:rsidRDefault="00AC1937" w:rsidP="003E0225">
      <w:pPr>
        <w:rPr>
          <w:rFonts w:ascii="Times New Roman" w:hAnsi="Times New Roman" w:cs="Times New Roman"/>
          <w:sz w:val="24"/>
          <w:szCs w:val="24"/>
        </w:rPr>
      </w:pPr>
    </w:p>
    <w:p w14:paraId="6F2A7EF4" w14:textId="77777777" w:rsidR="009879E7" w:rsidRDefault="00AC1937" w:rsidP="00AC19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</w:p>
    <w:p w14:paraId="75CB313D" w14:textId="77777777" w:rsidR="00780369" w:rsidRDefault="00780369" w:rsidP="0068753C">
      <w:pPr>
        <w:rPr>
          <w:rFonts w:ascii="Times New Roman" w:hAnsi="Times New Roman" w:cs="Times New Roman"/>
          <w:sz w:val="24"/>
          <w:szCs w:val="24"/>
        </w:rPr>
      </w:pPr>
    </w:p>
    <w:p w14:paraId="3B9050F3" w14:textId="0DB82746" w:rsidR="00CE5EBD" w:rsidRDefault="00680204" w:rsidP="003E0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10666A">
        <w:rPr>
          <w:rFonts w:ascii="Times New Roman" w:hAnsi="Times New Roman" w:cs="Times New Roman"/>
          <w:sz w:val="24"/>
          <w:szCs w:val="24"/>
        </w:rPr>
        <w:t>pension funds in the United States</w:t>
      </w:r>
      <w:r w:rsidR="009A7261">
        <w:rPr>
          <w:rFonts w:ascii="Times New Roman" w:hAnsi="Times New Roman" w:cs="Times New Roman"/>
          <w:sz w:val="24"/>
          <w:szCs w:val="24"/>
        </w:rPr>
        <w:t xml:space="preserve"> </w:t>
      </w:r>
      <w:r w:rsidR="0011546F">
        <w:rPr>
          <w:rFonts w:ascii="Times New Roman" w:hAnsi="Times New Roman" w:cs="Times New Roman"/>
          <w:sz w:val="24"/>
          <w:szCs w:val="24"/>
        </w:rPr>
        <w:t>typically use performance benchmarks that comprise</w:t>
      </w:r>
      <w:r w:rsidR="00715C58">
        <w:rPr>
          <w:rFonts w:ascii="Times New Roman" w:hAnsi="Times New Roman" w:cs="Times New Roman"/>
          <w:sz w:val="24"/>
          <w:szCs w:val="24"/>
        </w:rPr>
        <w:t xml:space="preserve"> mu</w:t>
      </w:r>
      <w:r w:rsidR="009A466F">
        <w:rPr>
          <w:rFonts w:ascii="Times New Roman" w:hAnsi="Times New Roman" w:cs="Times New Roman"/>
          <w:sz w:val="24"/>
          <w:szCs w:val="24"/>
        </w:rPr>
        <w:t>ltiple</w:t>
      </w:r>
      <w:r w:rsidR="0011546F">
        <w:rPr>
          <w:rFonts w:ascii="Times New Roman" w:hAnsi="Times New Roman" w:cs="Times New Roman"/>
          <w:sz w:val="24"/>
          <w:szCs w:val="24"/>
        </w:rPr>
        <w:t xml:space="preserve"> market</w:t>
      </w:r>
      <w:r w:rsidR="00FE08CA">
        <w:rPr>
          <w:rFonts w:ascii="Times New Roman" w:hAnsi="Times New Roman" w:cs="Times New Roman"/>
          <w:sz w:val="24"/>
          <w:szCs w:val="24"/>
        </w:rPr>
        <w:t xml:space="preserve"> indexes. The </w:t>
      </w:r>
      <w:r w:rsidR="00435872">
        <w:rPr>
          <w:rFonts w:ascii="Times New Roman" w:hAnsi="Times New Roman" w:cs="Times New Roman"/>
          <w:sz w:val="24"/>
          <w:szCs w:val="24"/>
        </w:rPr>
        <w:t xml:space="preserve">practice promotes a beat-the-market mentality on the part of fund managers, </w:t>
      </w:r>
      <w:r w:rsidR="009E446E">
        <w:rPr>
          <w:rFonts w:ascii="Times New Roman" w:hAnsi="Times New Roman" w:cs="Times New Roman"/>
          <w:sz w:val="24"/>
          <w:szCs w:val="24"/>
        </w:rPr>
        <w:t>because</w:t>
      </w:r>
      <w:r w:rsidR="00435872">
        <w:rPr>
          <w:rFonts w:ascii="Times New Roman" w:hAnsi="Times New Roman" w:cs="Times New Roman"/>
          <w:sz w:val="24"/>
          <w:szCs w:val="24"/>
        </w:rPr>
        <w:t xml:space="preserve"> the only way to </w:t>
      </w:r>
      <w:r w:rsidR="008011B8">
        <w:rPr>
          <w:rFonts w:ascii="Times New Roman" w:hAnsi="Times New Roman" w:cs="Times New Roman"/>
          <w:sz w:val="24"/>
          <w:szCs w:val="24"/>
        </w:rPr>
        <w:t>outperform is to invest actively.</w:t>
      </w:r>
      <w:r w:rsidR="00A94433">
        <w:rPr>
          <w:rFonts w:ascii="Times New Roman" w:hAnsi="Times New Roman" w:cs="Times New Roman"/>
          <w:sz w:val="24"/>
          <w:szCs w:val="24"/>
        </w:rPr>
        <w:t xml:space="preserve"> The funds</w:t>
      </w:r>
      <w:r w:rsidR="001345E6">
        <w:rPr>
          <w:rFonts w:ascii="Times New Roman" w:hAnsi="Times New Roman" w:cs="Times New Roman"/>
          <w:sz w:val="24"/>
          <w:szCs w:val="24"/>
        </w:rPr>
        <w:t>, however,</w:t>
      </w:r>
      <w:r w:rsidR="00A94433">
        <w:rPr>
          <w:rFonts w:ascii="Times New Roman" w:hAnsi="Times New Roman" w:cs="Times New Roman"/>
          <w:sz w:val="24"/>
          <w:szCs w:val="24"/>
        </w:rPr>
        <w:t xml:space="preserve"> consis</w:t>
      </w:r>
      <w:r w:rsidR="00286EC2">
        <w:rPr>
          <w:rFonts w:ascii="Times New Roman" w:hAnsi="Times New Roman" w:cs="Times New Roman"/>
          <w:sz w:val="24"/>
          <w:szCs w:val="24"/>
        </w:rPr>
        <w:t xml:space="preserve">tently </w:t>
      </w:r>
      <w:r w:rsidR="00286EC2" w:rsidRPr="0098171A">
        <w:rPr>
          <w:rFonts w:ascii="Times New Roman" w:hAnsi="Times New Roman" w:cs="Times New Roman"/>
          <w:i/>
          <w:iCs/>
          <w:sz w:val="24"/>
          <w:szCs w:val="24"/>
        </w:rPr>
        <w:t>under</w:t>
      </w:r>
      <w:r w:rsidR="00286EC2">
        <w:rPr>
          <w:rFonts w:ascii="Times New Roman" w:hAnsi="Times New Roman" w:cs="Times New Roman"/>
          <w:sz w:val="24"/>
          <w:szCs w:val="24"/>
        </w:rPr>
        <w:t>perform passive stock-bond benchmarks by the margin of cost, whic</w:t>
      </w:r>
      <w:r w:rsidR="00821102">
        <w:rPr>
          <w:rFonts w:ascii="Times New Roman" w:hAnsi="Times New Roman" w:cs="Times New Roman"/>
          <w:sz w:val="24"/>
          <w:szCs w:val="24"/>
        </w:rPr>
        <w:t xml:space="preserve">h I estimate averages 1.2% of asset value. </w:t>
      </w:r>
      <w:r w:rsidR="00343153">
        <w:rPr>
          <w:rFonts w:ascii="Times New Roman" w:hAnsi="Times New Roman" w:cs="Times New Roman"/>
          <w:sz w:val="24"/>
          <w:szCs w:val="24"/>
        </w:rPr>
        <w:t>Replacing</w:t>
      </w:r>
      <w:r w:rsidR="00275A4F">
        <w:rPr>
          <w:rFonts w:ascii="Times New Roman" w:hAnsi="Times New Roman" w:cs="Times New Roman"/>
          <w:sz w:val="24"/>
          <w:szCs w:val="24"/>
        </w:rPr>
        <w:t xml:space="preserve"> these benchmarks with </w:t>
      </w:r>
      <w:r w:rsidR="0091727B">
        <w:rPr>
          <w:rFonts w:ascii="Times New Roman" w:hAnsi="Times New Roman" w:cs="Times New Roman"/>
          <w:sz w:val="24"/>
          <w:szCs w:val="24"/>
        </w:rPr>
        <w:t>simple calculation and com</w:t>
      </w:r>
      <w:r w:rsidR="00650CE7">
        <w:rPr>
          <w:rFonts w:ascii="Times New Roman" w:hAnsi="Times New Roman" w:cs="Times New Roman"/>
          <w:sz w:val="24"/>
          <w:szCs w:val="24"/>
        </w:rPr>
        <w:t xml:space="preserve">parison </w:t>
      </w:r>
      <w:r w:rsidR="0091727B">
        <w:rPr>
          <w:rFonts w:ascii="Times New Roman" w:hAnsi="Times New Roman" w:cs="Times New Roman"/>
          <w:sz w:val="24"/>
          <w:szCs w:val="24"/>
        </w:rPr>
        <w:t xml:space="preserve">of </w:t>
      </w:r>
      <w:r w:rsidR="00275A4F">
        <w:rPr>
          <w:rFonts w:ascii="Times New Roman" w:hAnsi="Times New Roman" w:cs="Times New Roman"/>
          <w:sz w:val="24"/>
          <w:szCs w:val="24"/>
        </w:rPr>
        <w:t>risk-adjusted return</w:t>
      </w:r>
      <w:r w:rsidR="00650CE7">
        <w:rPr>
          <w:rFonts w:ascii="Times New Roman" w:hAnsi="Times New Roman" w:cs="Times New Roman"/>
          <w:sz w:val="24"/>
          <w:szCs w:val="24"/>
        </w:rPr>
        <w:t xml:space="preserve"> has several </w:t>
      </w:r>
      <w:r w:rsidR="00B609F6">
        <w:rPr>
          <w:rFonts w:ascii="Times New Roman" w:hAnsi="Times New Roman" w:cs="Times New Roman"/>
          <w:sz w:val="24"/>
          <w:szCs w:val="24"/>
        </w:rPr>
        <w:t xml:space="preserve">potential </w:t>
      </w:r>
      <w:r w:rsidR="00650CE7">
        <w:rPr>
          <w:rFonts w:ascii="Times New Roman" w:hAnsi="Times New Roman" w:cs="Times New Roman"/>
          <w:sz w:val="24"/>
          <w:szCs w:val="24"/>
        </w:rPr>
        <w:t xml:space="preserve">benefits. It </w:t>
      </w:r>
      <w:r w:rsidR="00B609F6">
        <w:rPr>
          <w:rFonts w:ascii="Times New Roman" w:hAnsi="Times New Roman" w:cs="Times New Roman"/>
          <w:sz w:val="24"/>
          <w:szCs w:val="24"/>
        </w:rPr>
        <w:t xml:space="preserve">would </w:t>
      </w:r>
      <w:r w:rsidR="00650CE7">
        <w:rPr>
          <w:rFonts w:ascii="Times New Roman" w:hAnsi="Times New Roman" w:cs="Times New Roman"/>
          <w:sz w:val="24"/>
          <w:szCs w:val="24"/>
        </w:rPr>
        <w:t>eliminate the bias toward active management.</w:t>
      </w:r>
      <w:r w:rsidR="00B609F6">
        <w:rPr>
          <w:rFonts w:ascii="Times New Roman" w:hAnsi="Times New Roman" w:cs="Times New Roman"/>
          <w:sz w:val="24"/>
          <w:szCs w:val="24"/>
        </w:rPr>
        <w:t xml:space="preserve"> It</w:t>
      </w:r>
      <w:r w:rsidR="00771F48">
        <w:rPr>
          <w:rFonts w:ascii="Times New Roman" w:hAnsi="Times New Roman" w:cs="Times New Roman"/>
          <w:sz w:val="24"/>
          <w:szCs w:val="24"/>
        </w:rPr>
        <w:t xml:space="preserve"> would curb abuses in performance reporting arising from</w:t>
      </w:r>
      <w:r w:rsidR="00F0017B">
        <w:rPr>
          <w:rFonts w:ascii="Times New Roman" w:hAnsi="Times New Roman" w:cs="Times New Roman"/>
          <w:sz w:val="24"/>
          <w:szCs w:val="24"/>
        </w:rPr>
        <w:t xml:space="preserve"> downward-biased benchmarks. And it would bring about much great</w:t>
      </w:r>
      <w:r w:rsidR="002659EA">
        <w:rPr>
          <w:rFonts w:ascii="Times New Roman" w:hAnsi="Times New Roman" w:cs="Times New Roman"/>
          <w:sz w:val="24"/>
          <w:szCs w:val="24"/>
        </w:rPr>
        <w:t xml:space="preserve">er attention to </w:t>
      </w:r>
      <w:r w:rsidR="003764FD">
        <w:rPr>
          <w:rFonts w:ascii="Times New Roman" w:hAnsi="Times New Roman" w:cs="Times New Roman"/>
          <w:sz w:val="24"/>
          <w:szCs w:val="24"/>
        </w:rPr>
        <w:t>the</w:t>
      </w:r>
      <w:r w:rsidR="0021079A">
        <w:rPr>
          <w:rFonts w:ascii="Times New Roman" w:hAnsi="Times New Roman" w:cs="Times New Roman"/>
          <w:sz w:val="24"/>
          <w:szCs w:val="24"/>
        </w:rPr>
        <w:t xml:space="preserve"> </w:t>
      </w:r>
      <w:r w:rsidR="002659EA">
        <w:rPr>
          <w:rFonts w:ascii="Times New Roman" w:hAnsi="Times New Roman" w:cs="Times New Roman"/>
          <w:sz w:val="24"/>
          <w:szCs w:val="24"/>
        </w:rPr>
        <w:t>cost of managing the funds</w:t>
      </w:r>
      <w:r w:rsidR="002D6060">
        <w:rPr>
          <w:rFonts w:ascii="Times New Roman" w:hAnsi="Times New Roman" w:cs="Times New Roman"/>
          <w:sz w:val="24"/>
          <w:szCs w:val="24"/>
        </w:rPr>
        <w:t>, which in turn should lead to improve</w:t>
      </w:r>
      <w:r w:rsidR="00F36998">
        <w:rPr>
          <w:rFonts w:ascii="Times New Roman" w:hAnsi="Times New Roman" w:cs="Times New Roman"/>
          <w:sz w:val="24"/>
          <w:szCs w:val="24"/>
        </w:rPr>
        <w:t>d performance</w:t>
      </w:r>
      <w:r w:rsidR="002659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C1A60" w14:textId="76E6D0FD" w:rsidR="00446584" w:rsidRDefault="009D67D7" w:rsidP="003E0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980B6" w14:textId="1B2D2194" w:rsidR="004E1C4E" w:rsidRDefault="004E1C4E" w:rsidP="0073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BEAT THE MARKET</w:t>
      </w:r>
    </w:p>
    <w:p w14:paraId="78AB8488" w14:textId="77777777" w:rsidR="004E1C4E" w:rsidRPr="00E4047A" w:rsidRDefault="004E1C4E" w:rsidP="0073466C">
      <w:pPr>
        <w:rPr>
          <w:rFonts w:ascii="Times New Roman" w:hAnsi="Times New Roman" w:cs="Times New Roman"/>
          <w:sz w:val="24"/>
          <w:szCs w:val="24"/>
        </w:rPr>
      </w:pPr>
    </w:p>
    <w:p w14:paraId="67083B02" w14:textId="292DFF14" w:rsidR="004E1C4E" w:rsidRPr="00297DF7" w:rsidRDefault="004E1C4E" w:rsidP="0073466C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284D">
        <w:rPr>
          <w:rFonts w:ascii="Times New Roman" w:hAnsi="Times New Roman" w:cs="Times New Roman"/>
          <w:sz w:val="24"/>
          <w:szCs w:val="24"/>
        </w:rPr>
        <w:t>Asset management of public pension funds is geared to beating the market.</w:t>
      </w:r>
      <w:r>
        <w:rPr>
          <w:rFonts w:ascii="Times New Roman" w:hAnsi="Times New Roman" w:cs="Times New Roman"/>
          <w:sz w:val="24"/>
          <w:szCs w:val="24"/>
        </w:rPr>
        <w:t xml:space="preserve"> To this end, the funds establish performance benchmarks that typically take the form of a combination of market indexes deemed to be compatible with the funds’ objectives. </w:t>
      </w:r>
      <w:r w:rsidRPr="008F2811">
        <w:rPr>
          <w:rFonts w:ascii="Times New Roman" w:hAnsi="Times New Roman" w:cs="Times New Roman"/>
          <w:sz w:val="24"/>
          <w:szCs w:val="24"/>
        </w:rPr>
        <w:t>A simple such bencmark might incorporate a 50%  allocation to the Russell 3000 Stock Index, a 20%  allocation to the Morgan Stanley Capital International All Country World Index (MSCI ACWI) ex USA Index, and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F2811">
        <w:rPr>
          <w:rFonts w:ascii="Times New Roman" w:hAnsi="Times New Roman" w:cs="Times New Roman"/>
          <w:sz w:val="24"/>
          <w:szCs w:val="24"/>
        </w:rPr>
        <w:t xml:space="preserve">30% </w:t>
      </w:r>
      <w:r>
        <w:rPr>
          <w:rFonts w:ascii="Times New Roman" w:hAnsi="Times New Roman" w:cs="Times New Roman"/>
          <w:sz w:val="24"/>
          <w:szCs w:val="24"/>
        </w:rPr>
        <w:t xml:space="preserve"> allocation to</w:t>
      </w:r>
      <w:r w:rsidRPr="008F2811">
        <w:rPr>
          <w:rFonts w:ascii="Times New Roman" w:hAnsi="Times New Roman" w:cs="Times New Roman"/>
          <w:sz w:val="24"/>
          <w:szCs w:val="24"/>
        </w:rPr>
        <w:t xml:space="preserve"> the Bloomberg US Aggregate Bond Index. In practice, the</w:t>
      </w:r>
      <w:r>
        <w:rPr>
          <w:rFonts w:ascii="Times New Roman" w:hAnsi="Times New Roman" w:cs="Times New Roman"/>
          <w:sz w:val="24"/>
          <w:szCs w:val="24"/>
        </w:rPr>
        <w:t xml:space="preserve"> custom</w:t>
      </w:r>
      <w:r w:rsidRPr="008F2811">
        <w:rPr>
          <w:rFonts w:ascii="Times New Roman" w:hAnsi="Times New Roman" w:cs="Times New Roman"/>
          <w:sz w:val="24"/>
          <w:szCs w:val="24"/>
        </w:rPr>
        <w:t xml:space="preserve"> benchmarks</w:t>
      </w:r>
      <w:r>
        <w:rPr>
          <w:rFonts w:ascii="Times New Roman" w:hAnsi="Times New Roman" w:cs="Times New Roman"/>
          <w:sz w:val="24"/>
          <w:szCs w:val="24"/>
        </w:rPr>
        <w:t xml:space="preserve"> typically include at least some </w:t>
      </w:r>
      <w:r w:rsidRPr="008F2811">
        <w:rPr>
          <w:rFonts w:ascii="Times New Roman" w:hAnsi="Times New Roman" w:cs="Times New Roman"/>
          <w:sz w:val="24"/>
          <w:szCs w:val="24"/>
        </w:rPr>
        <w:t xml:space="preserve">alternative investment indexes, and </w:t>
      </w:r>
      <w:r>
        <w:rPr>
          <w:rFonts w:ascii="Times New Roman" w:hAnsi="Times New Roman" w:cs="Times New Roman"/>
          <w:sz w:val="24"/>
          <w:szCs w:val="24"/>
        </w:rPr>
        <w:t xml:space="preserve">the benchmarks </w:t>
      </w:r>
      <w:r w:rsidRPr="008F281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often</w:t>
      </w:r>
      <w:r w:rsidRPr="008F2811">
        <w:rPr>
          <w:rFonts w:ascii="Times New Roman" w:hAnsi="Times New Roman" w:cs="Times New Roman"/>
          <w:sz w:val="24"/>
          <w:szCs w:val="24"/>
        </w:rPr>
        <w:t xml:space="preserve"> quite complex</w:t>
      </w:r>
      <w:r>
        <w:rPr>
          <w:rFonts w:ascii="Times New Roman" w:hAnsi="Times New Roman" w:cs="Times New Roman"/>
          <w:sz w:val="24"/>
          <w:szCs w:val="24"/>
        </w:rPr>
        <w:t xml:space="preserve"> in their construction and </w:t>
      </w:r>
      <w:r w:rsidR="00272944">
        <w:rPr>
          <w:rFonts w:ascii="Times New Roman" w:hAnsi="Times New Roman" w:cs="Times New Roman"/>
          <w:sz w:val="24"/>
          <w:szCs w:val="24"/>
        </w:rPr>
        <w:t>are</w:t>
      </w:r>
      <w:r w:rsidR="00167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often opaque</w:t>
      </w:r>
      <w:r w:rsidRPr="008F2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0D5">
        <w:rPr>
          <w:rFonts w:ascii="Times New Roman" w:hAnsi="Times New Roman" w:cs="Times New Roman"/>
          <w:sz w:val="24"/>
          <w:szCs w:val="24"/>
        </w:rPr>
        <w:t>In practice</w:t>
      </w:r>
      <w:r w:rsidR="001E69E3">
        <w:rPr>
          <w:rFonts w:ascii="Times New Roman" w:hAnsi="Times New Roman" w:cs="Times New Roman"/>
          <w:sz w:val="24"/>
          <w:szCs w:val="24"/>
        </w:rPr>
        <w:t>, t</w:t>
      </w:r>
      <w:r w:rsidRPr="004F284D">
        <w:rPr>
          <w:rFonts w:ascii="Times New Roman" w:hAnsi="Times New Roman" w:cs="Times New Roman"/>
          <w:sz w:val="24"/>
          <w:szCs w:val="24"/>
        </w:rPr>
        <w:t>he goal of investing is to exceed the return of these internally-devised benchmarks.</w:t>
      </w:r>
      <w:r>
        <w:rPr>
          <w:rFonts w:ascii="Times New Roman" w:hAnsi="Times New Roman" w:cs="Times New Roman"/>
          <w:sz w:val="24"/>
          <w:szCs w:val="24"/>
        </w:rPr>
        <w:t xml:space="preserve"> This approach creates a bias toward </w:t>
      </w:r>
      <w:r w:rsidRPr="00C61BCA">
        <w:rPr>
          <w:rFonts w:ascii="Times New Roman" w:hAnsi="Times New Roman" w:cs="Times New Roman"/>
          <w:i/>
          <w:iCs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 xml:space="preserve"> investing on the part of the funds’ investment staffs, </w:t>
      </w:r>
      <w:r w:rsidR="001E69E3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that is how you </w:t>
      </w:r>
      <w:r w:rsidR="00C015F5">
        <w:rPr>
          <w:rFonts w:ascii="Times New Roman" w:hAnsi="Times New Roman" w:cs="Times New Roman"/>
          <w:sz w:val="24"/>
          <w:szCs w:val="24"/>
        </w:rPr>
        <w:t>outperform</w:t>
      </w:r>
      <w:r>
        <w:rPr>
          <w:rFonts w:ascii="Times New Roman" w:hAnsi="Times New Roman" w:cs="Times New Roman"/>
          <w:sz w:val="24"/>
          <w:szCs w:val="24"/>
        </w:rPr>
        <w:t xml:space="preserve"> a benchmark </w:t>
      </w:r>
      <w:r w:rsidR="00836385">
        <w:rPr>
          <w:rFonts w:ascii="Times New Roman" w:hAnsi="Times New Roman" w:cs="Times New Roman"/>
          <w:sz w:val="24"/>
          <w:szCs w:val="24"/>
        </w:rPr>
        <w:t>made up of</w:t>
      </w:r>
      <w:r>
        <w:rPr>
          <w:rFonts w:ascii="Times New Roman" w:hAnsi="Times New Roman" w:cs="Times New Roman"/>
          <w:sz w:val="24"/>
          <w:szCs w:val="24"/>
        </w:rPr>
        <w:t xml:space="preserve"> market indexes.</w:t>
      </w:r>
    </w:p>
    <w:p w14:paraId="41CCA141" w14:textId="77777777" w:rsidR="004E1C4E" w:rsidRDefault="004E1C4E" w:rsidP="0073466C">
      <w:pPr>
        <w:rPr>
          <w:rFonts w:ascii="Times New Roman" w:hAnsi="Times New Roman" w:cs="Times New Roman"/>
          <w:sz w:val="24"/>
          <w:szCs w:val="24"/>
        </w:rPr>
      </w:pPr>
    </w:p>
    <w:p w14:paraId="6253192C" w14:textId="018866A6" w:rsidR="004E1C4E" w:rsidRDefault="004E1C4E" w:rsidP="0073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Ennis (2022) examine</w:t>
      </w:r>
      <w:r w:rsidR="00DF68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public fund performance benchmarking in depth. It found that</w:t>
      </w:r>
      <w:r w:rsidRPr="00A7011C">
        <w:rPr>
          <w:rFonts w:ascii="Times New Roman" w:hAnsi="Times New Roman" w:cs="Times New Roman"/>
          <w:sz w:val="24"/>
          <w:szCs w:val="24"/>
        </w:rPr>
        <w:t xml:space="preserve"> </w:t>
      </w:r>
      <w:r w:rsidRPr="00F73109">
        <w:rPr>
          <w:rFonts w:ascii="Times New Roman" w:hAnsi="Times New Roman" w:cs="Times New Roman"/>
          <w:i/>
          <w:iCs/>
          <w:sz w:val="24"/>
          <w:szCs w:val="24"/>
        </w:rPr>
        <w:t>significant downward bias</w:t>
      </w:r>
      <w:r w:rsidRPr="00A7011C">
        <w:rPr>
          <w:rFonts w:ascii="Times New Roman" w:hAnsi="Times New Roman" w:cs="Times New Roman"/>
          <w:sz w:val="24"/>
          <w:szCs w:val="24"/>
        </w:rPr>
        <w:t xml:space="preserve"> exists in the returns of the benchmarks public pension funds use in reporting on their performance.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11C">
        <w:rPr>
          <w:rFonts w:ascii="Times New Roman" w:hAnsi="Times New Roman" w:cs="Times New Roman"/>
          <w:sz w:val="24"/>
          <w:szCs w:val="24"/>
        </w:rPr>
        <w:t xml:space="preserve">sample of 24 </w:t>
      </w:r>
      <w:r>
        <w:rPr>
          <w:rFonts w:ascii="Times New Roman" w:hAnsi="Times New Roman" w:cs="Times New Roman"/>
          <w:sz w:val="24"/>
          <w:szCs w:val="24"/>
        </w:rPr>
        <w:t xml:space="preserve">very large </w:t>
      </w:r>
      <w:r w:rsidRPr="00A7011C">
        <w:rPr>
          <w:rFonts w:ascii="Times New Roman" w:hAnsi="Times New Roman" w:cs="Times New Roman"/>
          <w:sz w:val="24"/>
          <w:szCs w:val="24"/>
        </w:rPr>
        <w:t>fund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011C">
        <w:rPr>
          <w:rFonts w:ascii="Times New Roman" w:hAnsi="Times New Roman" w:cs="Times New Roman"/>
          <w:sz w:val="24"/>
          <w:szCs w:val="24"/>
        </w:rPr>
        <w:t xml:space="preserve"> reported outperforming benchmarks</w:t>
      </w:r>
      <w:r>
        <w:rPr>
          <w:rFonts w:ascii="Times New Roman" w:hAnsi="Times New Roman" w:cs="Times New Roman"/>
          <w:sz w:val="24"/>
          <w:szCs w:val="24"/>
        </w:rPr>
        <w:t xml:space="preserve"> of their own devising</w:t>
      </w:r>
      <w:r w:rsidRPr="00A7011C">
        <w:rPr>
          <w:rFonts w:ascii="Times New Roman" w:hAnsi="Times New Roman" w:cs="Times New Roman"/>
          <w:sz w:val="24"/>
          <w:szCs w:val="24"/>
        </w:rPr>
        <w:t xml:space="preserve"> by an average of 0.3% per year for the 10 years </w:t>
      </w:r>
      <w:r>
        <w:rPr>
          <w:rFonts w:ascii="Times New Roman" w:hAnsi="Times New Roman" w:cs="Times New Roman"/>
          <w:sz w:val="24"/>
          <w:szCs w:val="24"/>
        </w:rPr>
        <w:t>ending</w:t>
      </w:r>
      <w:r w:rsidRPr="00A7011C">
        <w:rPr>
          <w:rFonts w:ascii="Times New Roman" w:hAnsi="Times New Roman" w:cs="Times New Roman"/>
          <w:sz w:val="24"/>
          <w:szCs w:val="24"/>
        </w:rPr>
        <w:t xml:space="preserve"> June 30, 2020</w:t>
      </w:r>
      <w:r>
        <w:rPr>
          <w:rFonts w:ascii="Times New Roman" w:hAnsi="Times New Roman" w:cs="Times New Roman"/>
          <w:sz w:val="24"/>
          <w:szCs w:val="24"/>
        </w:rPr>
        <w:t>. (Approximately 80%  of the funds outperformed.)</w:t>
      </w:r>
      <w:r w:rsidRPr="00A7011C">
        <w:rPr>
          <w:rFonts w:ascii="Times New Roman" w:hAnsi="Times New Roman" w:cs="Times New Roman"/>
          <w:sz w:val="24"/>
          <w:szCs w:val="24"/>
        </w:rPr>
        <w:t xml:space="preserve"> Those same </w:t>
      </w:r>
      <w:r w:rsidR="00D07DAC">
        <w:rPr>
          <w:rFonts w:ascii="Times New Roman" w:hAnsi="Times New Roman" w:cs="Times New Roman"/>
          <w:sz w:val="24"/>
          <w:szCs w:val="24"/>
        </w:rPr>
        <w:t>24</w:t>
      </w:r>
      <w:r w:rsidR="00B64255">
        <w:rPr>
          <w:rFonts w:ascii="Times New Roman" w:hAnsi="Times New Roman" w:cs="Times New Roman"/>
          <w:sz w:val="24"/>
          <w:szCs w:val="24"/>
        </w:rPr>
        <w:t xml:space="preserve"> </w:t>
      </w:r>
      <w:r w:rsidRPr="00A7011C">
        <w:rPr>
          <w:rFonts w:ascii="Times New Roman" w:hAnsi="Times New Roman" w:cs="Times New Roman"/>
          <w:sz w:val="24"/>
          <w:szCs w:val="24"/>
        </w:rPr>
        <w:t xml:space="preserve">funds </w:t>
      </w:r>
      <w:r w:rsidRPr="00A7011C">
        <w:rPr>
          <w:rFonts w:ascii="Times New Roman" w:hAnsi="Times New Roman" w:cs="Times New Roman"/>
          <w:i/>
          <w:iCs/>
          <w:sz w:val="24"/>
          <w:szCs w:val="24"/>
        </w:rPr>
        <w:t>under</w:t>
      </w:r>
      <w:r w:rsidRPr="00A7011C">
        <w:rPr>
          <w:rFonts w:ascii="Times New Roman" w:hAnsi="Times New Roman" w:cs="Times New Roman"/>
          <w:sz w:val="24"/>
          <w:szCs w:val="24"/>
        </w:rPr>
        <w:t xml:space="preserve">performed passively investable benchmarks designed to match their individual market exposures and risk characteristics by an average of 1.4% </w:t>
      </w:r>
      <w:r>
        <w:rPr>
          <w:rFonts w:ascii="Times New Roman" w:hAnsi="Times New Roman" w:cs="Times New Roman"/>
          <w:sz w:val="24"/>
          <w:szCs w:val="24"/>
        </w:rPr>
        <w:t xml:space="preserve">per year </w:t>
      </w:r>
      <w:r w:rsidRPr="00A7011C">
        <w:rPr>
          <w:rFonts w:ascii="Times New Roman" w:hAnsi="Times New Roman" w:cs="Times New Roman"/>
          <w:sz w:val="24"/>
          <w:szCs w:val="24"/>
        </w:rPr>
        <w:t>over the same period. In other words, the benchmarks were</w:t>
      </w:r>
      <w:r w:rsidR="002E23B5">
        <w:rPr>
          <w:rFonts w:ascii="Times New Roman" w:hAnsi="Times New Roman" w:cs="Times New Roman"/>
          <w:sz w:val="24"/>
          <w:szCs w:val="24"/>
        </w:rPr>
        <w:t xml:space="preserve"> biased downward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922">
        <w:rPr>
          <w:rFonts w:ascii="Times New Roman" w:hAnsi="Times New Roman" w:cs="Times New Roman"/>
          <w:sz w:val="24"/>
          <w:szCs w:val="24"/>
        </w:rPr>
        <w:t>by</w:t>
      </w:r>
      <w:r w:rsidRPr="00A7011C">
        <w:rPr>
          <w:rFonts w:ascii="Times New Roman" w:hAnsi="Times New Roman" w:cs="Times New Roman"/>
          <w:sz w:val="24"/>
          <w:szCs w:val="24"/>
        </w:rPr>
        <w:t xml:space="preserve"> 1.7%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11C">
        <w:rPr>
          <w:rFonts w:ascii="Times New Roman" w:hAnsi="Times New Roman" w:cs="Times New Roman"/>
          <w:sz w:val="24"/>
          <w:szCs w:val="24"/>
        </w:rPr>
        <w:t>a year over a decade, giving the false impression that the funds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11C">
        <w:rPr>
          <w:rFonts w:ascii="Times New Roman" w:hAnsi="Times New Roman" w:cs="Times New Roman"/>
          <w:sz w:val="24"/>
          <w:szCs w:val="24"/>
        </w:rPr>
        <w:t>adding value over and above passive investment during the period.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The funds have created their own Lake Wobegon in which </w:t>
      </w:r>
      <w:r w:rsidR="005B57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almost</w:t>
      </w:r>
      <w:r w:rsidR="005B57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nobody underperforms.</w:t>
      </w:r>
    </w:p>
    <w:p w14:paraId="1434EDBB" w14:textId="77777777" w:rsidR="00DD5502" w:rsidRDefault="00DD5502" w:rsidP="0073466C">
      <w:pPr>
        <w:rPr>
          <w:rFonts w:ascii="Times New Roman" w:hAnsi="Times New Roman" w:cs="Times New Roman"/>
          <w:sz w:val="24"/>
          <w:szCs w:val="24"/>
        </w:rPr>
      </w:pPr>
    </w:p>
    <w:p w14:paraId="05CB3C3B" w14:textId="77777777" w:rsidR="00446584" w:rsidRDefault="00446584" w:rsidP="003E0225">
      <w:pPr>
        <w:rPr>
          <w:rFonts w:ascii="Times New Roman" w:hAnsi="Times New Roman" w:cs="Times New Roman"/>
          <w:sz w:val="24"/>
          <w:szCs w:val="24"/>
        </w:rPr>
      </w:pPr>
    </w:p>
    <w:p w14:paraId="723AEC41" w14:textId="34F62F07" w:rsidR="00D92B7E" w:rsidRDefault="00156A66" w:rsidP="003E0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66443688" w14:textId="6E3D8E28" w:rsidR="00156A66" w:rsidRDefault="00156A66" w:rsidP="003E0225">
      <w:pPr>
        <w:rPr>
          <w:rFonts w:ascii="Times New Roman" w:hAnsi="Times New Roman" w:cs="Times New Roman"/>
          <w:sz w:val="24"/>
          <w:szCs w:val="24"/>
        </w:rPr>
      </w:pPr>
    </w:p>
    <w:p w14:paraId="3ED18282" w14:textId="01510D6A" w:rsidR="00156A66" w:rsidRPr="006A72FE" w:rsidRDefault="001D344B" w:rsidP="0073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reality is that public pension</w:t>
      </w:r>
      <w:r w:rsidR="00A934EE">
        <w:rPr>
          <w:rFonts w:ascii="Times New Roman" w:hAnsi="Times New Roman" w:cs="Times New Roman"/>
          <w:sz w:val="24"/>
          <w:szCs w:val="24"/>
        </w:rPr>
        <w:t xml:space="preserve"> funds have underperformed properly constructed benchmarks by a wide margin and </w:t>
      </w:r>
      <w:r w:rsidR="00580075">
        <w:rPr>
          <w:rFonts w:ascii="Times New Roman" w:hAnsi="Times New Roman" w:cs="Times New Roman"/>
          <w:sz w:val="24"/>
          <w:szCs w:val="24"/>
        </w:rPr>
        <w:t xml:space="preserve">with </w:t>
      </w:r>
      <w:r w:rsidR="00A934EE">
        <w:rPr>
          <w:rFonts w:ascii="Times New Roman" w:hAnsi="Times New Roman" w:cs="Times New Roman"/>
          <w:sz w:val="24"/>
          <w:szCs w:val="24"/>
        </w:rPr>
        <w:t>consistency.</w:t>
      </w:r>
      <w:r w:rsidR="006E7D4F">
        <w:rPr>
          <w:rFonts w:ascii="Times New Roman" w:hAnsi="Times New Roman" w:cs="Times New Roman"/>
          <w:sz w:val="24"/>
          <w:szCs w:val="24"/>
        </w:rPr>
        <w:t xml:space="preserve"> </w:t>
      </w:r>
      <w:r w:rsidR="00E0269D">
        <w:rPr>
          <w:rFonts w:ascii="Times New Roman" w:hAnsi="Times New Roman" w:cs="Times New Roman"/>
          <w:sz w:val="24"/>
          <w:szCs w:val="24"/>
        </w:rPr>
        <w:t>A</w:t>
      </w:r>
      <w:r w:rsidR="006E7D4F">
        <w:rPr>
          <w:rFonts w:ascii="Times New Roman" w:hAnsi="Times New Roman" w:cs="Times New Roman"/>
          <w:sz w:val="24"/>
          <w:szCs w:val="24"/>
        </w:rPr>
        <w:t>lternative investments, which are purely active strategies</w:t>
      </w:r>
      <w:r w:rsidR="00EC6F52">
        <w:rPr>
          <w:rFonts w:ascii="Times New Roman" w:hAnsi="Times New Roman" w:cs="Times New Roman"/>
          <w:sz w:val="24"/>
          <w:szCs w:val="24"/>
        </w:rPr>
        <w:t>, and particularly costly ones</w:t>
      </w:r>
      <w:r w:rsidR="006E7D4F">
        <w:rPr>
          <w:rFonts w:ascii="Times New Roman" w:hAnsi="Times New Roman" w:cs="Times New Roman"/>
          <w:sz w:val="24"/>
          <w:szCs w:val="24"/>
        </w:rPr>
        <w:t>, have been significant contributors to the unde</w:t>
      </w:r>
      <w:r w:rsidR="0034333A">
        <w:rPr>
          <w:rFonts w:ascii="Times New Roman" w:hAnsi="Times New Roman" w:cs="Times New Roman"/>
          <w:sz w:val="24"/>
          <w:szCs w:val="24"/>
        </w:rPr>
        <w:t>rperformance.</w:t>
      </w:r>
      <w:r w:rsidR="007104E9">
        <w:rPr>
          <w:rFonts w:ascii="Times New Roman" w:hAnsi="Times New Roman" w:cs="Times New Roman"/>
          <w:sz w:val="24"/>
          <w:szCs w:val="24"/>
        </w:rPr>
        <w:t xml:space="preserve"> </w:t>
      </w:r>
      <w:r w:rsidR="00156A66" w:rsidRPr="00C86E12">
        <w:rPr>
          <w:rFonts w:ascii="Times New Roman" w:hAnsi="Times New Roman" w:cs="Times New Roman"/>
          <w:sz w:val="24"/>
          <w:szCs w:val="24"/>
        </w:rPr>
        <w:t>A composite of 59 large public funds underperformed a passive stock-bond benchmark by a</w:t>
      </w:r>
      <w:r w:rsidR="00156A66">
        <w:rPr>
          <w:rFonts w:ascii="Times New Roman" w:hAnsi="Times New Roman" w:cs="Times New Roman"/>
          <w:sz w:val="24"/>
          <w:szCs w:val="24"/>
        </w:rPr>
        <w:t>n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average of 1.21% per year for the 13 years end</w:t>
      </w:r>
      <w:r w:rsidR="00156A66">
        <w:rPr>
          <w:rFonts w:ascii="Times New Roman" w:hAnsi="Times New Roman" w:cs="Times New Roman"/>
          <w:sz w:val="24"/>
          <w:szCs w:val="24"/>
        </w:rPr>
        <w:t>ing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June 30, 2021. </w:t>
      </w:r>
      <w:r w:rsidR="00770F04" w:rsidRPr="00770F04">
        <w:rPr>
          <w:rFonts w:ascii="Times New Roman" w:hAnsi="Times New Roman" w:cs="Times New Roman"/>
          <w:sz w:val="24"/>
          <w:szCs w:val="24"/>
        </w:rPr>
        <w:t xml:space="preserve">The bencmark is devised by means of returns-based style analysis (Sharpe 1988, 1992). The benchmark comprises the Russell 3000 Index (52%), the Morgan Stanley Capital International All Country World Index (MSCI ACWI) ex USA Index, unhedged (13%), that same index, </w:t>
      </w:r>
      <w:r w:rsidR="00770F04" w:rsidRPr="00770F04">
        <w:rPr>
          <w:rFonts w:ascii="Times New Roman" w:hAnsi="Times New Roman" w:cs="Times New Roman"/>
          <w:sz w:val="24"/>
          <w:szCs w:val="24"/>
        </w:rPr>
        <w:lastRenderedPageBreak/>
        <w:t xml:space="preserve">hedged (7%) and the Bloomberg US Aggregate Bond Index (28%). The </w:t>
      </w:r>
      <w:r w:rsidR="00770F04" w:rsidRPr="00DA18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70F04" w:rsidRPr="00DA18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0F04" w:rsidRPr="00770F04">
        <w:rPr>
          <w:rFonts w:ascii="Times New Roman" w:hAnsi="Times New Roman" w:cs="Times New Roman"/>
          <w:sz w:val="24"/>
          <w:szCs w:val="24"/>
        </w:rPr>
        <w:t xml:space="preserve"> and standard error of the </w:t>
      </w:r>
      <w:r w:rsidR="007A6007">
        <w:rPr>
          <w:rFonts w:ascii="Times New Roman" w:hAnsi="Times New Roman" w:cs="Times New Roman"/>
          <w:sz w:val="24"/>
          <w:szCs w:val="24"/>
        </w:rPr>
        <w:t>ben</w:t>
      </w:r>
      <w:r w:rsidR="00B10F7C">
        <w:rPr>
          <w:rFonts w:ascii="Times New Roman" w:hAnsi="Times New Roman" w:cs="Times New Roman"/>
          <w:sz w:val="24"/>
          <w:szCs w:val="24"/>
        </w:rPr>
        <w:t xml:space="preserve">chmark </w:t>
      </w:r>
      <w:r w:rsidR="00770F04" w:rsidRPr="00770F04">
        <w:rPr>
          <w:rFonts w:ascii="Times New Roman" w:hAnsi="Times New Roman" w:cs="Times New Roman"/>
          <w:sz w:val="24"/>
          <w:szCs w:val="24"/>
        </w:rPr>
        <w:t>regression</w:t>
      </w:r>
      <w:r w:rsidR="00B10F7C">
        <w:rPr>
          <w:rFonts w:ascii="Times New Roman" w:hAnsi="Times New Roman" w:cs="Times New Roman"/>
          <w:sz w:val="24"/>
          <w:szCs w:val="24"/>
        </w:rPr>
        <w:t xml:space="preserve"> equation</w:t>
      </w:r>
      <w:r w:rsidR="00770F04" w:rsidRPr="00770F04">
        <w:rPr>
          <w:rFonts w:ascii="Times New Roman" w:hAnsi="Times New Roman" w:cs="Times New Roman"/>
          <w:sz w:val="24"/>
          <w:szCs w:val="24"/>
        </w:rPr>
        <w:t xml:space="preserve"> are 99.3% and 1.02%, respectively. </w:t>
      </w:r>
      <w:r w:rsidR="00AC53C5">
        <w:rPr>
          <w:rFonts w:ascii="Times New Roman" w:hAnsi="Times New Roman" w:cs="Times New Roman"/>
          <w:sz w:val="24"/>
          <w:szCs w:val="24"/>
        </w:rPr>
        <w:t>(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The margin of underperformance </w:t>
      </w:r>
      <w:r w:rsidR="00156A66">
        <w:rPr>
          <w:rFonts w:ascii="Times New Roman" w:hAnsi="Times New Roman" w:cs="Times New Roman"/>
          <w:sz w:val="24"/>
          <w:szCs w:val="24"/>
        </w:rPr>
        <w:t>is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significant, with a </w:t>
      </w:r>
      <w:r w:rsidR="00156A66" w:rsidRPr="00C86E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56A66" w:rsidRPr="00C86E12">
        <w:rPr>
          <w:rFonts w:ascii="Times New Roman" w:hAnsi="Times New Roman" w:cs="Times New Roman"/>
          <w:sz w:val="24"/>
          <w:szCs w:val="24"/>
        </w:rPr>
        <w:t>-statistic of -3.4.) The composite underperformed the benchmark consistently, i.e., in 12 of the</w:t>
      </w:r>
      <w:r w:rsidR="00156A66">
        <w:rPr>
          <w:rFonts w:ascii="Times New Roman" w:hAnsi="Times New Roman" w:cs="Times New Roman"/>
          <w:sz w:val="24"/>
          <w:szCs w:val="24"/>
        </w:rPr>
        <w:t xml:space="preserve"> 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13 years. See Exhibit </w:t>
      </w:r>
      <w:r w:rsidR="001855F6">
        <w:rPr>
          <w:rFonts w:ascii="Times New Roman" w:hAnsi="Times New Roman" w:cs="Times New Roman"/>
          <w:sz w:val="24"/>
          <w:szCs w:val="24"/>
        </w:rPr>
        <w:t>1</w:t>
      </w:r>
      <w:r w:rsidR="00156A66" w:rsidRPr="00C86E12">
        <w:rPr>
          <w:rFonts w:ascii="Times New Roman" w:hAnsi="Times New Roman" w:cs="Times New Roman"/>
          <w:sz w:val="24"/>
          <w:szCs w:val="24"/>
        </w:rPr>
        <w:t>. Only one of the individual funds making up the composite had a statistically significant positive alpha</w:t>
      </w:r>
      <w:r w:rsidR="00156A66">
        <w:rPr>
          <w:rFonts w:ascii="Times New Roman" w:hAnsi="Times New Roman" w:cs="Times New Roman"/>
          <w:sz w:val="24"/>
          <w:szCs w:val="24"/>
        </w:rPr>
        <w:t xml:space="preserve">; </w:t>
      </w:r>
      <w:r w:rsidR="00156A66" w:rsidRPr="00C86E12">
        <w:rPr>
          <w:rFonts w:ascii="Times New Roman" w:hAnsi="Times New Roman" w:cs="Times New Roman"/>
          <w:sz w:val="24"/>
          <w:szCs w:val="24"/>
        </w:rPr>
        <w:t>34 had statistically significant negative ones. The statistical analysis indicat</w:t>
      </w:r>
      <w:r w:rsidR="00156A66">
        <w:rPr>
          <w:rFonts w:ascii="Times New Roman" w:hAnsi="Times New Roman" w:cs="Times New Roman"/>
          <w:sz w:val="24"/>
          <w:szCs w:val="24"/>
        </w:rPr>
        <w:t>es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a </w:t>
      </w:r>
      <w:r w:rsidR="00156A66" w:rsidRPr="00C86E12">
        <w:rPr>
          <w:rFonts w:ascii="Times New Roman" w:hAnsi="Times New Roman" w:cs="Times New Roman"/>
          <w:i/>
          <w:iCs/>
          <w:sz w:val="24"/>
          <w:szCs w:val="24"/>
        </w:rPr>
        <w:t>systemic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problem rather than merely a string of bad luck. Applied to an aggregate asset value of </w:t>
      </w:r>
      <w:r w:rsidR="00156A66" w:rsidRPr="00617D0A">
        <w:rPr>
          <w:rFonts w:ascii="Times New Roman" w:hAnsi="Times New Roman" w:cs="Times New Roman"/>
          <w:sz w:val="24"/>
          <w:szCs w:val="24"/>
        </w:rPr>
        <w:t>$5.5</w:t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trillion</w:t>
      </w:r>
      <w:r w:rsidR="00C0056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56A66" w:rsidRPr="00C86E12">
        <w:rPr>
          <w:rFonts w:ascii="Times New Roman" w:hAnsi="Times New Roman" w:cs="Times New Roman"/>
          <w:sz w:val="24"/>
          <w:szCs w:val="24"/>
        </w:rPr>
        <w:t xml:space="preserve"> for public pensions, the cost of subpar performance (averaging -1.21% per year) amounts to approximately $67 billion per year. </w:t>
      </w:r>
      <w:r w:rsidR="00156A66">
        <w:rPr>
          <w:rFonts w:ascii="Times New Roman" w:hAnsi="Times New Roman" w:cs="Times New Roman"/>
          <w:sz w:val="24"/>
          <w:szCs w:val="24"/>
        </w:rPr>
        <w:t>Contrast this to the funds</w:t>
      </w:r>
      <w:r w:rsidR="00A64E3B">
        <w:rPr>
          <w:rFonts w:ascii="Times New Roman" w:hAnsi="Times New Roman" w:cs="Times New Roman"/>
          <w:sz w:val="24"/>
          <w:szCs w:val="24"/>
        </w:rPr>
        <w:t>’</w:t>
      </w:r>
      <w:r w:rsidR="00156A66">
        <w:rPr>
          <w:rFonts w:ascii="Times New Roman" w:hAnsi="Times New Roman" w:cs="Times New Roman"/>
          <w:sz w:val="24"/>
          <w:szCs w:val="24"/>
        </w:rPr>
        <w:t xml:space="preserve"> self-reporting, which has them doing a bit better than the market—</w:t>
      </w:r>
      <w:r w:rsidR="00156A66" w:rsidRPr="00262855">
        <w:rPr>
          <w:rFonts w:ascii="Times New Roman" w:hAnsi="Times New Roman" w:cs="Times New Roman"/>
          <w:i/>
          <w:iCs/>
          <w:sz w:val="24"/>
          <w:szCs w:val="24"/>
        </w:rPr>
        <w:t>adding</w:t>
      </w:r>
      <w:r w:rsidR="00156A66">
        <w:rPr>
          <w:rFonts w:ascii="Times New Roman" w:hAnsi="Times New Roman" w:cs="Times New Roman"/>
          <w:sz w:val="24"/>
          <w:szCs w:val="24"/>
        </w:rPr>
        <w:t xml:space="preserve"> value, if you will.</w:t>
      </w:r>
    </w:p>
    <w:p w14:paraId="4B58CB1F" w14:textId="77777777" w:rsidR="00551D5F" w:rsidRDefault="00551D5F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35B51" w14:textId="22F384CA" w:rsidR="00156A66" w:rsidRPr="00A7011C" w:rsidRDefault="00156A66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Exhibit </w:t>
      </w:r>
      <w:r w:rsidR="001855F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F12FF87" w14:textId="77777777" w:rsidR="00156A66" w:rsidRDefault="00156A66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Return in Excess of Passive Benchmark for Composite of </w:t>
      </w:r>
      <w:r>
        <w:rPr>
          <w:rFonts w:ascii="Times New Roman" w:hAnsi="Times New Roman" w:cs="Times New Roman"/>
          <w:b/>
          <w:bCs/>
          <w:sz w:val="24"/>
          <w:szCs w:val="24"/>
        </w:rPr>
        <w:t>59</w:t>
      </w: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 Public Funds</w:t>
      </w:r>
    </w:p>
    <w:p w14:paraId="26E1B45D" w14:textId="77777777" w:rsidR="00156A66" w:rsidRDefault="00156A66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ears </w:t>
      </w:r>
      <w:r>
        <w:rPr>
          <w:rFonts w:ascii="Times New Roman" w:hAnsi="Times New Roman" w:cs="Times New Roman"/>
          <w:b/>
          <w:bCs/>
          <w:sz w:val="24"/>
          <w:szCs w:val="24"/>
        </w:rPr>
        <w:t>ending</w:t>
      </w:r>
      <w:r w:rsidRPr="00A7011C">
        <w:rPr>
          <w:rFonts w:ascii="Times New Roman" w:hAnsi="Times New Roman" w:cs="Times New Roman"/>
          <w:b/>
          <w:bCs/>
          <w:sz w:val="24"/>
          <w:szCs w:val="24"/>
        </w:rPr>
        <w:t xml:space="preserve"> June 30, 2021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D110DA" w14:textId="77777777" w:rsidR="00156A66" w:rsidRPr="00A7011C" w:rsidRDefault="00156A66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E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7" behindDoc="0" locked="0" layoutInCell="1" allowOverlap="1" wp14:anchorId="7C81A97B" wp14:editId="154FD1DE">
            <wp:simplePos x="0" y="0"/>
            <wp:positionH relativeFrom="column">
              <wp:posOffset>167640</wp:posOffset>
            </wp:positionH>
            <wp:positionV relativeFrom="paragraph">
              <wp:posOffset>139700</wp:posOffset>
            </wp:positionV>
            <wp:extent cx="5943600" cy="3068320"/>
            <wp:effectExtent l="0" t="0" r="0" b="508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58FE47-6D81-8844-BAFE-B40F19F31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60BD0" w14:textId="1F068E17" w:rsidR="00505D68" w:rsidRPr="00A7011C" w:rsidRDefault="00156A66" w:rsidP="0073466C">
      <w:pPr>
        <w:ind w:left="360"/>
        <w:rPr>
          <w:rFonts w:ascii="Times New Roman" w:hAnsi="Times New Roman" w:cs="Times New Roman"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an effort to outperform public market benchmarks, p</w:t>
      </w:r>
      <w:r w:rsidRPr="00A7011C">
        <w:rPr>
          <w:rFonts w:ascii="Times New Roman" w:hAnsi="Times New Roman" w:cs="Times New Roman"/>
          <w:sz w:val="24"/>
          <w:szCs w:val="24"/>
        </w:rPr>
        <w:t xml:space="preserve">ublic funds have steadily increased their exposure to </w:t>
      </w:r>
      <w:r>
        <w:rPr>
          <w:rFonts w:ascii="Times New Roman" w:hAnsi="Times New Roman" w:cs="Times New Roman"/>
          <w:sz w:val="24"/>
          <w:szCs w:val="24"/>
        </w:rPr>
        <w:t xml:space="preserve">largely illiquid and costly </w:t>
      </w:r>
      <w:r w:rsidRPr="00A7011C">
        <w:rPr>
          <w:rFonts w:ascii="Times New Roman" w:hAnsi="Times New Roman" w:cs="Times New Roman"/>
          <w:sz w:val="24"/>
          <w:szCs w:val="24"/>
        </w:rPr>
        <w:t>alternative investments such that the average was approximately 28% of total assets in 2020.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A7011C">
        <w:rPr>
          <w:rFonts w:ascii="Times New Roman" w:hAnsi="Times New Roman" w:cs="Times New Roman"/>
          <w:sz w:val="24"/>
          <w:szCs w:val="24"/>
        </w:rPr>
        <w:t xml:space="preserve"> Exhibit </w:t>
      </w:r>
      <w:r w:rsidR="002B5BA3">
        <w:rPr>
          <w:rFonts w:ascii="Times New Roman" w:hAnsi="Times New Roman" w:cs="Times New Roman"/>
          <w:sz w:val="24"/>
          <w:szCs w:val="24"/>
        </w:rPr>
        <w:t>2</w:t>
      </w:r>
      <w:r w:rsidRPr="00A7011C">
        <w:rPr>
          <w:rFonts w:ascii="Times New Roman" w:hAnsi="Times New Roman" w:cs="Times New Roman"/>
          <w:sz w:val="24"/>
          <w:szCs w:val="24"/>
        </w:rPr>
        <w:t xml:space="preserve"> illustrates the relationship between the alpha (risk-adjusted return, or value added) earned by </w:t>
      </w:r>
      <w:r>
        <w:rPr>
          <w:rFonts w:ascii="Times New Roman" w:hAnsi="Times New Roman" w:cs="Times New Roman"/>
          <w:sz w:val="24"/>
          <w:szCs w:val="24"/>
        </w:rPr>
        <w:t xml:space="preserve">the 59 funds described above </w:t>
      </w:r>
      <w:r w:rsidRPr="00A7011C">
        <w:rPr>
          <w:rFonts w:ascii="Times New Roman" w:hAnsi="Times New Roman" w:cs="Times New Roman"/>
          <w:sz w:val="24"/>
          <w:szCs w:val="24"/>
        </w:rPr>
        <w:t>and their exposure to alternative investments for the 13 years end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7011C">
        <w:rPr>
          <w:rFonts w:ascii="Times New Roman" w:hAnsi="Times New Roman" w:cs="Times New Roman"/>
          <w:sz w:val="24"/>
          <w:szCs w:val="24"/>
        </w:rPr>
        <w:t xml:space="preserve"> June 30, 2021. The slope coefficient is -0.039 with a significant </w:t>
      </w:r>
      <w:r w:rsidRPr="00A7011C"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Pr="00A7011C">
        <w:rPr>
          <w:rFonts w:ascii="Times New Roman" w:hAnsi="Times New Roman" w:cs="Times New Roman"/>
          <w:sz w:val="24"/>
          <w:szCs w:val="24"/>
        </w:rPr>
        <w:t>statistic of -3.1. The negative slope indicates that a reduction in alpha of nearly 80 basis points per year relative to marketable securities alone is associated with a 20% allocation to alts. In spite of this, the funds’ enthusiasm for alts is undiminished; the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A7011C">
        <w:rPr>
          <w:rFonts w:ascii="Times New Roman" w:hAnsi="Times New Roman" w:cs="Times New Roman"/>
          <w:sz w:val="24"/>
          <w:szCs w:val="24"/>
        </w:rPr>
        <w:t xml:space="preserve"> average allocation, at 28%</w:t>
      </w:r>
      <w:r>
        <w:rPr>
          <w:rFonts w:ascii="Times New Roman" w:hAnsi="Times New Roman" w:cs="Times New Roman"/>
          <w:sz w:val="24"/>
          <w:szCs w:val="24"/>
        </w:rPr>
        <w:t xml:space="preserve"> of assets</w:t>
      </w:r>
      <w:r w:rsidRPr="00A7011C">
        <w:rPr>
          <w:rFonts w:ascii="Times New Roman" w:hAnsi="Times New Roman" w:cs="Times New Roman"/>
          <w:sz w:val="24"/>
          <w:szCs w:val="24"/>
        </w:rPr>
        <w:t>, has never been greater.</w:t>
      </w:r>
    </w:p>
    <w:p w14:paraId="75502A3D" w14:textId="050B577D" w:rsidR="00505D68" w:rsidRPr="00A7011C" w:rsidRDefault="00505D68" w:rsidP="0073466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Exhibit </w:t>
      </w:r>
      <w:r w:rsidR="002B5BA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F7153C8" w14:textId="77777777" w:rsidR="00505D68" w:rsidRPr="00A7011C" w:rsidRDefault="00505D68" w:rsidP="0073466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>Alpha vs. Exposure to Alternative Investments</w:t>
      </w:r>
    </w:p>
    <w:p w14:paraId="59A7EF9A" w14:textId="77777777" w:rsidR="00505D68" w:rsidRPr="00B54D7B" w:rsidRDefault="00505D68" w:rsidP="0073466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>(13 Years ended June 30, 2021)</w:t>
      </w:r>
      <w:r w:rsidRPr="00C86E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5" behindDoc="0" locked="0" layoutInCell="1" allowOverlap="1" wp14:anchorId="1A9FDFE2" wp14:editId="025C9B06">
            <wp:simplePos x="0" y="0"/>
            <wp:positionH relativeFrom="column">
              <wp:posOffset>0</wp:posOffset>
            </wp:positionH>
            <wp:positionV relativeFrom="paragraph">
              <wp:posOffset>318616</wp:posOffset>
            </wp:positionV>
            <wp:extent cx="5943600" cy="38989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E2549F-513B-7A44-AA3F-39FC79D35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E79F" w14:textId="77777777" w:rsidR="007F2F3B" w:rsidRDefault="007F2F3B" w:rsidP="003E0225">
      <w:pPr>
        <w:rPr>
          <w:rFonts w:ascii="Times New Roman" w:hAnsi="Times New Roman" w:cs="Times New Roman"/>
          <w:sz w:val="24"/>
          <w:szCs w:val="24"/>
        </w:rPr>
      </w:pPr>
    </w:p>
    <w:p w14:paraId="6BBB987C" w14:textId="77777777" w:rsidR="001855F6" w:rsidRDefault="001855F6" w:rsidP="003E0225">
      <w:pPr>
        <w:rPr>
          <w:rFonts w:ascii="Times New Roman" w:hAnsi="Times New Roman" w:cs="Times New Roman"/>
          <w:sz w:val="24"/>
          <w:szCs w:val="24"/>
        </w:rPr>
      </w:pPr>
    </w:p>
    <w:p w14:paraId="7BDD466F" w14:textId="4C224683" w:rsidR="007F2F3B" w:rsidRPr="001B3F9B" w:rsidRDefault="00302148" w:rsidP="0073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</w:t>
      </w:r>
    </w:p>
    <w:p w14:paraId="72E3FA7F" w14:textId="77777777" w:rsidR="007F2F3B" w:rsidRDefault="007F2F3B" w:rsidP="0073466C">
      <w:pPr>
        <w:rPr>
          <w:rFonts w:ascii="Times New Roman" w:hAnsi="Times New Roman" w:cs="Times New Roman"/>
          <w:sz w:val="24"/>
          <w:szCs w:val="24"/>
        </w:rPr>
      </w:pPr>
    </w:p>
    <w:p w14:paraId="2F0DC2D0" w14:textId="605A80C1" w:rsidR="007F2F3B" w:rsidRDefault="007F2F3B" w:rsidP="0073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0AD4">
        <w:rPr>
          <w:rFonts w:ascii="Times New Roman" w:hAnsi="Times New Roman" w:cs="Times New Roman"/>
          <w:sz w:val="24"/>
          <w:szCs w:val="24"/>
        </w:rPr>
        <w:t xml:space="preserve">Exhibit </w:t>
      </w:r>
      <w:r w:rsidR="002B5BA3">
        <w:rPr>
          <w:rFonts w:ascii="Times New Roman" w:hAnsi="Times New Roman" w:cs="Times New Roman"/>
          <w:sz w:val="24"/>
          <w:szCs w:val="24"/>
        </w:rPr>
        <w:t>3</w:t>
      </w:r>
      <w:r w:rsidRPr="00700AD4">
        <w:rPr>
          <w:rFonts w:ascii="Times New Roman" w:hAnsi="Times New Roman" w:cs="Times New Roman"/>
          <w:sz w:val="24"/>
          <w:szCs w:val="24"/>
        </w:rPr>
        <w:t xml:space="preserve"> contains my estimate of the typical cost of investing large public funds </w:t>
      </w:r>
      <w:r>
        <w:rPr>
          <w:rFonts w:ascii="Times New Roman" w:hAnsi="Times New Roman" w:cs="Times New Roman"/>
          <w:sz w:val="24"/>
          <w:szCs w:val="24"/>
        </w:rPr>
        <w:t>today and 20 years ago</w:t>
      </w:r>
      <w:r w:rsidRPr="00700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700AD4">
        <w:rPr>
          <w:rFonts w:ascii="Times New Roman" w:hAnsi="Times New Roman" w:cs="Times New Roman"/>
          <w:sz w:val="24"/>
          <w:szCs w:val="24"/>
        </w:rPr>
        <w:t xml:space="preserve"> funds incurred </w:t>
      </w:r>
      <w:r>
        <w:rPr>
          <w:rFonts w:ascii="Times New Roman" w:hAnsi="Times New Roman" w:cs="Times New Roman"/>
          <w:sz w:val="24"/>
          <w:szCs w:val="24"/>
        </w:rPr>
        <w:t xml:space="preserve">estimated </w:t>
      </w:r>
      <w:r w:rsidRPr="00700AD4">
        <w:rPr>
          <w:rFonts w:ascii="Times New Roman" w:hAnsi="Times New Roman" w:cs="Times New Roman"/>
          <w:sz w:val="24"/>
          <w:szCs w:val="24"/>
        </w:rPr>
        <w:t>average annual costs of about 60 bps of asset value in 200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00AD4">
        <w:rPr>
          <w:rFonts w:ascii="Times New Roman" w:hAnsi="Times New Roman" w:cs="Times New Roman"/>
          <w:sz w:val="24"/>
          <w:szCs w:val="24"/>
        </w:rPr>
        <w:t xml:space="preserve">, based on then-prevailing asset allocation data. The current estimate is 120 bps. At 120 bps, the cost per dollar managed </w:t>
      </w:r>
      <w:r>
        <w:rPr>
          <w:rFonts w:ascii="Times New Roman" w:hAnsi="Times New Roman" w:cs="Times New Roman"/>
          <w:sz w:val="24"/>
          <w:szCs w:val="24"/>
        </w:rPr>
        <w:t xml:space="preserve">(expense ratio) </w:t>
      </w:r>
      <w:r w:rsidRPr="00700AD4">
        <w:rPr>
          <w:rFonts w:ascii="Times New Roman" w:hAnsi="Times New Roman" w:cs="Times New Roman"/>
          <w:sz w:val="24"/>
          <w:szCs w:val="24"/>
        </w:rPr>
        <w:t>is more than 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AD4">
        <w:rPr>
          <w:rFonts w:ascii="Times New Roman" w:hAnsi="Times New Roman" w:cs="Times New Roman"/>
          <w:sz w:val="24"/>
          <w:szCs w:val="24"/>
        </w:rPr>
        <w:t xml:space="preserve">what it was 20 years ago, despite the opportunity for economies of scale resulting from </w:t>
      </w:r>
      <w:r>
        <w:rPr>
          <w:rFonts w:ascii="Times New Roman" w:hAnsi="Times New Roman" w:cs="Times New Roman"/>
          <w:sz w:val="24"/>
          <w:szCs w:val="24"/>
        </w:rPr>
        <w:t xml:space="preserve">enormous </w:t>
      </w:r>
      <w:r w:rsidRPr="00700AD4">
        <w:rPr>
          <w:rFonts w:ascii="Times New Roman" w:hAnsi="Times New Roman" w:cs="Times New Roman"/>
          <w:sz w:val="24"/>
          <w:szCs w:val="24"/>
        </w:rPr>
        <w:t xml:space="preserve">asset growth. Most of the increase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700AD4">
        <w:rPr>
          <w:rFonts w:ascii="Times New Roman" w:hAnsi="Times New Roman" w:cs="Times New Roman"/>
          <w:sz w:val="24"/>
          <w:szCs w:val="24"/>
        </w:rPr>
        <w:t xml:space="preserve"> due to growing allocations to alternative investments, which are roughly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AD4">
        <w:rPr>
          <w:rFonts w:ascii="Times New Roman" w:hAnsi="Times New Roman" w:cs="Times New Roman"/>
          <w:sz w:val="24"/>
          <w:szCs w:val="24"/>
        </w:rPr>
        <w:t xml:space="preserve">10 times </w:t>
      </w:r>
      <w:r>
        <w:rPr>
          <w:rFonts w:ascii="Times New Roman" w:hAnsi="Times New Roman" w:cs="Times New Roman"/>
          <w:sz w:val="24"/>
          <w:szCs w:val="24"/>
        </w:rPr>
        <w:t>more expensive than</w:t>
      </w:r>
      <w:r w:rsidRPr="00700AD4">
        <w:rPr>
          <w:rFonts w:ascii="Times New Roman" w:hAnsi="Times New Roman" w:cs="Times New Roman"/>
          <w:sz w:val="24"/>
          <w:szCs w:val="24"/>
        </w:rPr>
        <w:t xml:space="preserve"> traditional investments.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14:paraId="3681CEE7" w14:textId="59F7EB4D" w:rsidR="007E1606" w:rsidRDefault="007E1606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170ACF67" w14:textId="3013CE0E" w:rsidR="00F52771" w:rsidRDefault="00F52771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02D4ACAE" w14:textId="33F14E87" w:rsidR="00374862" w:rsidRDefault="00374862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4B5E572E" w14:textId="7D434AC9" w:rsidR="00374862" w:rsidRDefault="00374862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19990160" w14:textId="77777777" w:rsidR="00374862" w:rsidRDefault="00374862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7DE88F81" w14:textId="77777777" w:rsidR="00935727" w:rsidRPr="00C86E12" w:rsidRDefault="00935727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</w:p>
    <w:p w14:paraId="07082D3D" w14:textId="15B31C39" w:rsidR="007F2F3B" w:rsidRPr="00A7011C" w:rsidRDefault="007F2F3B" w:rsidP="0073466C">
      <w:pPr>
        <w:suppressAutoHyphens/>
        <w:autoSpaceDN w:val="0"/>
        <w:textAlignment w:val="baseline"/>
        <w:rPr>
          <w:rFonts w:ascii="Times New Roman" w:eastAsia="Yu Mincho" w:hAnsi="Times New Roman" w:cs="Times New Roman"/>
          <w:b/>
          <w:bCs/>
          <w:sz w:val="24"/>
          <w:szCs w:val="24"/>
        </w:rPr>
      </w:pPr>
      <w:r w:rsidRPr="00A7011C">
        <w:rPr>
          <w:rFonts w:ascii="Times New Roman" w:eastAsia="Yu Mincho" w:hAnsi="Times New Roman" w:cs="Times New Roman"/>
          <w:b/>
          <w:bCs/>
          <w:sz w:val="24"/>
          <w:szCs w:val="24"/>
        </w:rPr>
        <w:lastRenderedPageBreak/>
        <w:t xml:space="preserve">Exhibit </w:t>
      </w:r>
      <w:r w:rsidR="002B5BA3">
        <w:rPr>
          <w:rFonts w:ascii="Times New Roman" w:eastAsia="Yu Mincho" w:hAnsi="Times New Roman" w:cs="Times New Roman"/>
          <w:b/>
          <w:bCs/>
          <w:sz w:val="24"/>
          <w:szCs w:val="24"/>
        </w:rPr>
        <w:t>3</w:t>
      </w:r>
    </w:p>
    <w:p w14:paraId="5FBC1F7A" w14:textId="77777777" w:rsidR="007F2F3B" w:rsidRPr="00D51165" w:rsidRDefault="007F2F3B" w:rsidP="0073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93D">
        <w:rPr>
          <w:rFonts w:ascii="Times New Roman" w:hAnsi="Times New Roman" w:cs="Times New Roman"/>
          <w:b/>
          <w:bCs/>
          <w:sz w:val="24"/>
          <w:szCs w:val="24"/>
        </w:rPr>
        <w:t>Investment Expense for Public Pension Funds (2020 and 2001)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36"/>
        <w:gridCol w:w="1576"/>
        <w:gridCol w:w="1349"/>
        <w:gridCol w:w="1425"/>
        <w:gridCol w:w="1382"/>
        <w:gridCol w:w="1567"/>
      </w:tblGrid>
      <w:tr w:rsidR="007F2F3B" w:rsidRPr="00A7011C" w14:paraId="5C3898BA" w14:textId="77777777" w:rsidTr="0073466C">
        <w:tc>
          <w:tcPr>
            <w:tcW w:w="2236" w:type="dxa"/>
          </w:tcPr>
          <w:p w14:paraId="4F106C8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41F5AE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1EEC85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088F14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Asset Class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609CD655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Approximate</w:t>
            </w:r>
          </w:p>
          <w:p w14:paraId="7BD76BC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Cost Rate as a Percentage of Value</w:t>
            </w:r>
          </w:p>
        </w:tc>
        <w:tc>
          <w:tcPr>
            <w:tcW w:w="1349" w:type="dxa"/>
          </w:tcPr>
          <w:p w14:paraId="124F40B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  <w:p w14:paraId="05714FD2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of Total</w:t>
            </w:r>
          </w:p>
          <w:p w14:paraId="670FE163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Assets</w:t>
            </w:r>
            <w:r w:rsidRPr="001D3A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2020</w:t>
            </w:r>
          </w:p>
        </w:tc>
        <w:tc>
          <w:tcPr>
            <w:tcW w:w="1425" w:type="dxa"/>
          </w:tcPr>
          <w:p w14:paraId="67467259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Estimated</w:t>
            </w:r>
          </w:p>
          <w:p w14:paraId="149DA2F1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2020</w:t>
            </w:r>
          </w:p>
          <w:p w14:paraId="7E80AC8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Expense</w:t>
            </w:r>
          </w:p>
          <w:p w14:paraId="29677AA1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Ratio</w:t>
            </w:r>
          </w:p>
        </w:tc>
        <w:tc>
          <w:tcPr>
            <w:tcW w:w="1382" w:type="dxa"/>
          </w:tcPr>
          <w:p w14:paraId="01D8465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  <w:p w14:paraId="610F0E8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of Total</w:t>
            </w:r>
          </w:p>
          <w:p w14:paraId="19AD679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Assets</w:t>
            </w:r>
            <w:r w:rsidRPr="001D3A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2001</w:t>
            </w:r>
          </w:p>
        </w:tc>
        <w:tc>
          <w:tcPr>
            <w:tcW w:w="1567" w:type="dxa"/>
          </w:tcPr>
          <w:p w14:paraId="2C6B600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Estimated</w:t>
            </w:r>
          </w:p>
          <w:p w14:paraId="2E4F960E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2001</w:t>
            </w:r>
          </w:p>
          <w:p w14:paraId="3E3C62B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Expense</w:t>
            </w:r>
          </w:p>
          <w:p w14:paraId="2DA2DE5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Ratio</w:t>
            </w:r>
          </w:p>
        </w:tc>
      </w:tr>
      <w:tr w:rsidR="007F2F3B" w:rsidRPr="00A7011C" w14:paraId="1CFF9C52" w14:textId="77777777" w:rsidTr="0073466C">
        <w:tc>
          <w:tcPr>
            <w:tcW w:w="2236" w:type="dxa"/>
          </w:tcPr>
          <w:p w14:paraId="024811B5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Equities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21DC031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0.35%</w:t>
            </w:r>
            <w:r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6"/>
            </w:r>
          </w:p>
        </w:tc>
        <w:tc>
          <w:tcPr>
            <w:tcW w:w="1349" w:type="dxa"/>
          </w:tcPr>
          <w:p w14:paraId="106EE432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46.4%</w:t>
            </w:r>
          </w:p>
        </w:tc>
        <w:tc>
          <w:tcPr>
            <w:tcW w:w="1425" w:type="dxa"/>
          </w:tcPr>
          <w:p w14:paraId="0935190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0.16%</w:t>
            </w:r>
          </w:p>
        </w:tc>
        <w:tc>
          <w:tcPr>
            <w:tcW w:w="1382" w:type="dxa"/>
          </w:tcPr>
          <w:p w14:paraId="550EB4C1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57.7%</w:t>
            </w:r>
          </w:p>
        </w:tc>
        <w:tc>
          <w:tcPr>
            <w:tcW w:w="1567" w:type="dxa"/>
          </w:tcPr>
          <w:p w14:paraId="30393053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7F2F3B" w:rsidRPr="00A7011C" w14:paraId="36161383" w14:textId="77777777" w:rsidTr="0073466C">
        <w:tc>
          <w:tcPr>
            <w:tcW w:w="2236" w:type="dxa"/>
          </w:tcPr>
          <w:p w14:paraId="151CCA29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Fixed Income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0C844E9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349" w:type="dxa"/>
          </w:tcPr>
          <w:p w14:paraId="4AC83D4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23.3</w:t>
            </w:r>
          </w:p>
        </w:tc>
        <w:tc>
          <w:tcPr>
            <w:tcW w:w="1425" w:type="dxa"/>
          </w:tcPr>
          <w:p w14:paraId="7EE332F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382" w:type="dxa"/>
          </w:tcPr>
          <w:p w14:paraId="6D262E33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31.5</w:t>
            </w:r>
          </w:p>
        </w:tc>
        <w:tc>
          <w:tcPr>
            <w:tcW w:w="1567" w:type="dxa"/>
          </w:tcPr>
          <w:p w14:paraId="6CC7550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7F2F3B" w:rsidRPr="00A7011C" w14:paraId="468BD079" w14:textId="77777777" w:rsidTr="0073466C">
        <w:tc>
          <w:tcPr>
            <w:tcW w:w="2236" w:type="dxa"/>
          </w:tcPr>
          <w:p w14:paraId="07F748F5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Cash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34B6939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349" w:type="dxa"/>
          </w:tcPr>
          <w:p w14:paraId="5B49686A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1425" w:type="dxa"/>
          </w:tcPr>
          <w:p w14:paraId="2A3792CF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82" w:type="dxa"/>
          </w:tcPr>
          <w:p w14:paraId="3107E30C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567" w:type="dxa"/>
          </w:tcPr>
          <w:p w14:paraId="169E00A7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</w:tr>
      <w:tr w:rsidR="007F2F3B" w:rsidRPr="00A7011C" w14:paraId="283ADFC4" w14:textId="77777777" w:rsidTr="0073466C">
        <w:tc>
          <w:tcPr>
            <w:tcW w:w="2236" w:type="dxa"/>
          </w:tcPr>
          <w:p w14:paraId="7CC98892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5A894857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349" w:type="dxa"/>
          </w:tcPr>
          <w:p w14:paraId="5FA922D2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25" w:type="dxa"/>
          </w:tcPr>
          <w:p w14:paraId="76A9BDBC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82" w:type="dxa"/>
          </w:tcPr>
          <w:p w14:paraId="68E0C14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567" w:type="dxa"/>
          </w:tcPr>
          <w:p w14:paraId="1163442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</w:tr>
      <w:tr w:rsidR="007F2F3B" w:rsidRPr="00A7011C" w14:paraId="02FA603A" w14:textId="77777777" w:rsidTr="0073466C">
        <w:tc>
          <w:tcPr>
            <w:tcW w:w="2236" w:type="dxa"/>
          </w:tcPr>
          <w:p w14:paraId="75A73A3E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Subtotal Traditional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2B7246C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9" w:type="dxa"/>
          </w:tcPr>
          <w:p w14:paraId="5A11E349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72.2%</w:t>
            </w:r>
          </w:p>
        </w:tc>
        <w:tc>
          <w:tcPr>
            <w:tcW w:w="1425" w:type="dxa"/>
          </w:tcPr>
          <w:p w14:paraId="7B493AB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0.22%</w:t>
            </w:r>
          </w:p>
        </w:tc>
        <w:tc>
          <w:tcPr>
            <w:tcW w:w="1382" w:type="dxa"/>
          </w:tcPr>
          <w:p w14:paraId="435D639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91.1%</w:t>
            </w:r>
          </w:p>
        </w:tc>
        <w:tc>
          <w:tcPr>
            <w:tcW w:w="1567" w:type="dxa"/>
          </w:tcPr>
          <w:p w14:paraId="70C2F9E9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0.28%</w:t>
            </w:r>
          </w:p>
        </w:tc>
      </w:tr>
      <w:tr w:rsidR="007F2F3B" w:rsidRPr="00A7011C" w14:paraId="73BEA81A" w14:textId="77777777" w:rsidTr="0073466C">
        <w:tc>
          <w:tcPr>
            <w:tcW w:w="2236" w:type="dxa"/>
          </w:tcPr>
          <w:p w14:paraId="5A4A38DB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Private Equity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6C7414B5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  <w:r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7"/>
            </w:r>
          </w:p>
        </w:tc>
        <w:tc>
          <w:tcPr>
            <w:tcW w:w="1349" w:type="dxa"/>
          </w:tcPr>
          <w:p w14:paraId="3C4B4AD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1425" w:type="dxa"/>
          </w:tcPr>
          <w:p w14:paraId="2F838B0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1382" w:type="dxa"/>
          </w:tcPr>
          <w:p w14:paraId="647857D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1567" w:type="dxa"/>
          </w:tcPr>
          <w:p w14:paraId="77CFA375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7F2F3B" w:rsidRPr="00A7011C" w14:paraId="7FFEF59E" w14:textId="77777777" w:rsidTr="0073466C">
        <w:tc>
          <w:tcPr>
            <w:tcW w:w="2236" w:type="dxa"/>
          </w:tcPr>
          <w:p w14:paraId="7443DD29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Real Estate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6A88678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  <w:r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8"/>
            </w:r>
          </w:p>
        </w:tc>
        <w:tc>
          <w:tcPr>
            <w:tcW w:w="1349" w:type="dxa"/>
          </w:tcPr>
          <w:p w14:paraId="0DF7923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  <w:tc>
          <w:tcPr>
            <w:tcW w:w="1425" w:type="dxa"/>
          </w:tcPr>
          <w:p w14:paraId="6DB0ECFE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1382" w:type="dxa"/>
          </w:tcPr>
          <w:p w14:paraId="3780C223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567" w:type="dxa"/>
          </w:tcPr>
          <w:p w14:paraId="61A487EA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7F2F3B" w:rsidRPr="00A7011C" w14:paraId="265CB2EB" w14:textId="77777777" w:rsidTr="0073466C">
        <w:tc>
          <w:tcPr>
            <w:tcW w:w="2236" w:type="dxa"/>
          </w:tcPr>
          <w:p w14:paraId="7321B7E4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Hedge Funds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6F988BA7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  <w:r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9"/>
            </w:r>
          </w:p>
        </w:tc>
        <w:tc>
          <w:tcPr>
            <w:tcW w:w="1349" w:type="dxa"/>
          </w:tcPr>
          <w:p w14:paraId="4A32802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1425" w:type="dxa"/>
          </w:tcPr>
          <w:p w14:paraId="0E6C1797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382" w:type="dxa"/>
          </w:tcPr>
          <w:p w14:paraId="63D1BC24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567" w:type="dxa"/>
          </w:tcPr>
          <w:p w14:paraId="002BAB71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7F2F3B" w:rsidRPr="00A7011C" w14:paraId="24D27CB7" w14:textId="77777777" w:rsidTr="0073466C">
        <w:tc>
          <w:tcPr>
            <w:tcW w:w="2236" w:type="dxa"/>
          </w:tcPr>
          <w:p w14:paraId="4D48A2EF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Commodities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769F9093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  <w:r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10"/>
            </w:r>
          </w:p>
        </w:tc>
        <w:tc>
          <w:tcPr>
            <w:tcW w:w="1349" w:type="dxa"/>
          </w:tcPr>
          <w:p w14:paraId="627A4AD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425" w:type="dxa"/>
          </w:tcPr>
          <w:p w14:paraId="0896FD0B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382" w:type="dxa"/>
          </w:tcPr>
          <w:p w14:paraId="2376530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567" w:type="dxa"/>
          </w:tcPr>
          <w:p w14:paraId="0D5C310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</w:tr>
      <w:tr w:rsidR="007F2F3B" w:rsidRPr="00A7011C" w14:paraId="2E96DA7A" w14:textId="77777777" w:rsidTr="0073466C">
        <w:tc>
          <w:tcPr>
            <w:tcW w:w="2236" w:type="dxa"/>
          </w:tcPr>
          <w:p w14:paraId="3A074CC7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Misc. Alternatives</w:t>
            </w:r>
          </w:p>
        </w:tc>
        <w:tc>
          <w:tcPr>
            <w:tcW w:w="1576" w:type="dxa"/>
            <w:shd w:val="clear" w:color="auto" w:fill="F7CAAC" w:themeFill="accent2" w:themeFillTint="66"/>
          </w:tcPr>
          <w:p w14:paraId="45192F0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1349" w:type="dxa"/>
          </w:tcPr>
          <w:p w14:paraId="722E1D5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425" w:type="dxa"/>
          </w:tcPr>
          <w:p w14:paraId="6E28B832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382" w:type="dxa"/>
          </w:tcPr>
          <w:p w14:paraId="2B2F407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567" w:type="dxa"/>
          </w:tcPr>
          <w:p w14:paraId="4EC9CBA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</w:tr>
      <w:tr w:rsidR="007F2F3B" w:rsidRPr="00A7011C" w14:paraId="7BB4FB8D" w14:textId="77777777" w:rsidTr="0073466C">
        <w:tc>
          <w:tcPr>
            <w:tcW w:w="2236" w:type="dxa"/>
          </w:tcPr>
          <w:p w14:paraId="6C484A1E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Subtotal Alternative</w:t>
            </w:r>
          </w:p>
        </w:tc>
        <w:tc>
          <w:tcPr>
            <w:tcW w:w="1576" w:type="dxa"/>
          </w:tcPr>
          <w:p w14:paraId="2C504BE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9" w:type="dxa"/>
          </w:tcPr>
          <w:p w14:paraId="1F7C78B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27.7</w:t>
            </w:r>
          </w:p>
        </w:tc>
        <w:tc>
          <w:tcPr>
            <w:tcW w:w="1425" w:type="dxa"/>
          </w:tcPr>
          <w:p w14:paraId="052FED3C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0.98</w:t>
            </w:r>
          </w:p>
        </w:tc>
        <w:tc>
          <w:tcPr>
            <w:tcW w:w="1382" w:type="dxa"/>
          </w:tcPr>
          <w:p w14:paraId="1AACC7BA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8.9</w:t>
            </w:r>
          </w:p>
        </w:tc>
        <w:tc>
          <w:tcPr>
            <w:tcW w:w="1567" w:type="dxa"/>
          </w:tcPr>
          <w:p w14:paraId="7176F57F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0.33%</w:t>
            </w:r>
          </w:p>
        </w:tc>
      </w:tr>
      <w:tr w:rsidR="007F2F3B" w:rsidRPr="00A7011C" w14:paraId="486283C1" w14:textId="77777777" w:rsidTr="0073466C">
        <w:tc>
          <w:tcPr>
            <w:tcW w:w="2236" w:type="dxa"/>
          </w:tcPr>
          <w:p w14:paraId="69233825" w14:textId="77777777" w:rsidR="007F2F3B" w:rsidRPr="001D3A77" w:rsidRDefault="007F2F3B" w:rsidP="00734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Total</w:t>
            </w:r>
          </w:p>
        </w:tc>
        <w:tc>
          <w:tcPr>
            <w:tcW w:w="1576" w:type="dxa"/>
          </w:tcPr>
          <w:p w14:paraId="072DE140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9" w:type="dxa"/>
          </w:tcPr>
          <w:p w14:paraId="062706C1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100.0%</w:t>
            </w:r>
          </w:p>
        </w:tc>
        <w:tc>
          <w:tcPr>
            <w:tcW w:w="1425" w:type="dxa"/>
            <w:shd w:val="clear" w:color="auto" w:fill="F7CAAC" w:themeFill="accent2" w:themeFillTint="66"/>
          </w:tcPr>
          <w:p w14:paraId="223ADDED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1.20%</w:t>
            </w:r>
          </w:p>
        </w:tc>
        <w:tc>
          <w:tcPr>
            <w:tcW w:w="1382" w:type="dxa"/>
          </w:tcPr>
          <w:p w14:paraId="47608F56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567" w:type="dxa"/>
            <w:shd w:val="clear" w:color="auto" w:fill="F7CAAC" w:themeFill="accent2" w:themeFillTint="66"/>
          </w:tcPr>
          <w:p w14:paraId="5E679F98" w14:textId="77777777" w:rsidR="007F2F3B" w:rsidRPr="001D3A77" w:rsidRDefault="007F2F3B" w:rsidP="007346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A77">
              <w:rPr>
                <w:rFonts w:ascii="Times New Roman" w:hAnsi="Times New Roman" w:cs="Times New Roman"/>
                <w:b/>
                <w:sz w:val="20"/>
                <w:szCs w:val="20"/>
              </w:rPr>
              <w:t>0.61%</w:t>
            </w:r>
          </w:p>
        </w:tc>
      </w:tr>
    </w:tbl>
    <w:p w14:paraId="06654E6C" w14:textId="77777777" w:rsidR="007F2F3B" w:rsidRDefault="007F2F3B" w:rsidP="0073466C">
      <w:pPr>
        <w:rPr>
          <w:rFonts w:ascii="Times New Roman" w:hAnsi="Times New Roman" w:cs="Times New Roman"/>
          <w:sz w:val="20"/>
          <w:szCs w:val="20"/>
        </w:rPr>
      </w:pPr>
      <w:r w:rsidRPr="004F4DF6">
        <w:rPr>
          <w:rFonts w:ascii="Times New Roman" w:hAnsi="Times New Roman" w:cs="Times New Roman"/>
          <w:sz w:val="20"/>
          <w:szCs w:val="20"/>
        </w:rPr>
        <w:t xml:space="preserve">Figures may not sum to 100% due to rounding. </w:t>
      </w:r>
    </w:p>
    <w:p w14:paraId="777E2766" w14:textId="77777777" w:rsidR="007F2F3B" w:rsidRDefault="007F2F3B" w:rsidP="0073466C">
      <w:pPr>
        <w:rPr>
          <w:rFonts w:ascii="Times New Roman" w:hAnsi="Times New Roman" w:cs="Times New Roman"/>
          <w:sz w:val="20"/>
          <w:szCs w:val="20"/>
        </w:rPr>
      </w:pPr>
      <w:r w:rsidRPr="004F4DF6">
        <w:rPr>
          <w:rFonts w:ascii="Times New Roman" w:hAnsi="Times New Roman" w:cs="Times New Roman"/>
          <w:sz w:val="20"/>
          <w:szCs w:val="20"/>
        </w:rPr>
        <w:t>Source of asset allocation data: P</w:t>
      </w:r>
      <w:r>
        <w:rPr>
          <w:rFonts w:ascii="Times New Roman" w:hAnsi="Times New Roman" w:cs="Times New Roman"/>
          <w:sz w:val="20"/>
          <w:szCs w:val="20"/>
        </w:rPr>
        <w:t xml:space="preserve">ublic </w:t>
      </w:r>
      <w:r w:rsidRPr="004F4DF6">
        <w:rPr>
          <w:rFonts w:ascii="Times New Roman" w:hAnsi="Times New Roman" w:cs="Times New Roman"/>
          <w:sz w:val="20"/>
          <w:szCs w:val="20"/>
        </w:rPr>
        <w:t>Plan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F4DF6">
        <w:rPr>
          <w:rFonts w:ascii="Times New Roman" w:hAnsi="Times New Roman" w:cs="Times New Roman"/>
          <w:sz w:val="20"/>
          <w:szCs w:val="20"/>
        </w:rPr>
        <w:t xml:space="preserve"> Data, Center for Retirement Research, Boston College.</w:t>
      </w:r>
    </w:p>
    <w:p w14:paraId="725894E1" w14:textId="0D684CCB" w:rsidR="00B54D7B" w:rsidRDefault="00B54D7B" w:rsidP="00231BFE">
      <w:pPr>
        <w:rPr>
          <w:rFonts w:ascii="Times New Roman" w:hAnsi="Times New Roman" w:cs="Times New Roman"/>
          <w:sz w:val="24"/>
          <w:szCs w:val="24"/>
        </w:rPr>
      </w:pPr>
    </w:p>
    <w:p w14:paraId="28794F3C" w14:textId="3BF9A33D" w:rsidR="00C1791C" w:rsidRPr="00A62C30" w:rsidRDefault="0005673D" w:rsidP="00231BFE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4A64">
        <w:rPr>
          <w:rFonts w:ascii="Times New Roman" w:hAnsi="Times New Roman" w:cs="Times New Roman"/>
          <w:sz w:val="24"/>
          <w:szCs w:val="24"/>
        </w:rPr>
        <w:t>It is important to note</w:t>
      </w:r>
      <w:r w:rsidR="00F833CB">
        <w:rPr>
          <w:rFonts w:ascii="Times New Roman" w:hAnsi="Times New Roman" w:cs="Times New Roman"/>
          <w:sz w:val="24"/>
          <w:szCs w:val="24"/>
        </w:rPr>
        <w:t xml:space="preserve"> the </w:t>
      </w:r>
      <w:r w:rsidR="00F833CB" w:rsidRPr="00ED125F">
        <w:rPr>
          <w:rFonts w:ascii="Times New Roman" w:hAnsi="Times New Roman" w:cs="Times New Roman"/>
          <w:iCs/>
          <w:sz w:val="24"/>
          <w:szCs w:val="24"/>
        </w:rPr>
        <w:t>extent</w:t>
      </w:r>
      <w:r w:rsidR="00F833CB">
        <w:rPr>
          <w:rFonts w:ascii="Times New Roman" w:hAnsi="Times New Roman" w:cs="Times New Roman"/>
          <w:sz w:val="24"/>
          <w:szCs w:val="24"/>
        </w:rPr>
        <w:t xml:space="preserve"> of diversification of </w:t>
      </w:r>
      <w:r w:rsidR="00F833CB" w:rsidRPr="006B0D3D">
        <w:rPr>
          <w:rFonts w:ascii="Times New Roman" w:hAnsi="Times New Roman" w:cs="Times New Roman"/>
          <w:sz w:val="24"/>
          <w:szCs w:val="24"/>
        </w:rPr>
        <w:t>individual</w:t>
      </w:r>
      <w:r w:rsidR="00F833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33CB">
        <w:rPr>
          <w:rFonts w:ascii="Times New Roman" w:hAnsi="Times New Roman" w:cs="Times New Roman"/>
          <w:sz w:val="24"/>
          <w:szCs w:val="24"/>
        </w:rPr>
        <w:t xml:space="preserve">public funds. </w:t>
      </w:r>
      <w:r w:rsidR="003F3465">
        <w:rPr>
          <w:rFonts w:ascii="Times New Roman" w:hAnsi="Times New Roman" w:cs="Times New Roman"/>
          <w:sz w:val="24"/>
          <w:szCs w:val="24"/>
        </w:rPr>
        <w:t>Large funds</w:t>
      </w:r>
      <w:r w:rsidR="00A86E2B">
        <w:rPr>
          <w:rFonts w:ascii="Times New Roman" w:hAnsi="Times New Roman" w:cs="Times New Roman"/>
          <w:sz w:val="24"/>
          <w:szCs w:val="24"/>
        </w:rPr>
        <w:t xml:space="preserve">, with </w:t>
      </w:r>
      <w:r w:rsidR="003F3465">
        <w:rPr>
          <w:rFonts w:ascii="Times New Roman" w:hAnsi="Times New Roman" w:cs="Times New Roman"/>
          <w:sz w:val="24"/>
          <w:szCs w:val="24"/>
        </w:rPr>
        <w:t>an average of</w:t>
      </w:r>
      <w:r w:rsidR="00A86E2B">
        <w:rPr>
          <w:rFonts w:ascii="Times New Roman" w:hAnsi="Times New Roman" w:cs="Times New Roman"/>
          <w:sz w:val="24"/>
          <w:szCs w:val="24"/>
        </w:rPr>
        <w:t xml:space="preserve"> 182</w:t>
      </w:r>
      <w:r w:rsidR="003F3465">
        <w:rPr>
          <w:rFonts w:ascii="Times New Roman" w:hAnsi="Times New Roman" w:cs="Times New Roman"/>
          <w:sz w:val="24"/>
          <w:szCs w:val="24"/>
        </w:rPr>
        <w:t xml:space="preserve"> investment managers,</w:t>
      </w:r>
      <w:r w:rsidR="008817D0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E7691C">
        <w:rPr>
          <w:rFonts w:ascii="Times New Roman" w:hAnsi="Times New Roman" w:cs="Times New Roman"/>
          <w:sz w:val="24"/>
          <w:szCs w:val="24"/>
        </w:rPr>
        <w:t xml:space="preserve"> </w:t>
      </w:r>
      <w:r w:rsidR="006C1CE6">
        <w:rPr>
          <w:rFonts w:ascii="Times New Roman" w:hAnsi="Times New Roman" w:cs="Times New Roman"/>
          <w:sz w:val="24"/>
          <w:szCs w:val="24"/>
        </w:rPr>
        <w:t>are placing</w:t>
      </w:r>
      <w:r w:rsidR="00E7691C">
        <w:rPr>
          <w:rFonts w:ascii="Times New Roman" w:hAnsi="Times New Roman" w:cs="Times New Roman"/>
          <w:sz w:val="24"/>
          <w:szCs w:val="24"/>
        </w:rPr>
        <w:t xml:space="preserve"> countless active bets </w:t>
      </w:r>
      <w:r w:rsidR="006C1CE6">
        <w:rPr>
          <w:rFonts w:ascii="Times New Roman" w:hAnsi="Times New Roman" w:cs="Times New Roman"/>
          <w:sz w:val="24"/>
          <w:szCs w:val="24"/>
        </w:rPr>
        <w:t xml:space="preserve">that </w:t>
      </w:r>
      <w:r w:rsidR="00E7691C">
        <w:rPr>
          <w:rFonts w:ascii="Times New Roman" w:hAnsi="Times New Roman" w:cs="Times New Roman"/>
          <w:sz w:val="24"/>
          <w:szCs w:val="24"/>
        </w:rPr>
        <w:t>cancel one another out.</w:t>
      </w:r>
      <w:r w:rsidR="005B1925">
        <w:rPr>
          <w:rFonts w:ascii="Times New Roman" w:hAnsi="Times New Roman" w:cs="Times New Roman"/>
          <w:sz w:val="24"/>
          <w:szCs w:val="24"/>
        </w:rPr>
        <w:t xml:space="preserve"> </w:t>
      </w:r>
      <w:r w:rsidR="00F833CB">
        <w:rPr>
          <w:rFonts w:ascii="Times New Roman" w:hAnsi="Times New Roman" w:cs="Times New Roman"/>
          <w:sz w:val="24"/>
          <w:szCs w:val="24"/>
        </w:rPr>
        <w:t>The 59 funds describe</w:t>
      </w:r>
      <w:r w:rsidR="00F37825">
        <w:rPr>
          <w:rFonts w:ascii="Times New Roman" w:hAnsi="Times New Roman" w:cs="Times New Roman"/>
          <w:sz w:val="24"/>
          <w:szCs w:val="24"/>
        </w:rPr>
        <w:t>d</w:t>
      </w:r>
      <w:r w:rsidR="00F833CB">
        <w:rPr>
          <w:rFonts w:ascii="Times New Roman" w:hAnsi="Times New Roman" w:cs="Times New Roman"/>
          <w:sz w:val="24"/>
          <w:szCs w:val="24"/>
        </w:rPr>
        <w:t xml:space="preserve"> above 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7B4574">
        <w:rPr>
          <w:rFonts w:ascii="Times New Roman" w:hAnsi="Times New Roman" w:cs="Times New Roman"/>
          <w:sz w:val="24"/>
          <w:szCs w:val="24"/>
        </w:rPr>
        <w:t xml:space="preserve"> a</w:t>
      </w:r>
      <w:r w:rsidR="001D21EB">
        <w:rPr>
          <w:rFonts w:ascii="Times New Roman" w:hAnsi="Times New Roman" w:cs="Times New Roman"/>
          <w:sz w:val="24"/>
          <w:szCs w:val="24"/>
        </w:rPr>
        <w:t xml:space="preserve"> median (typical)</w:t>
      </w:r>
      <w:r w:rsidR="007B4574">
        <w:rPr>
          <w:rFonts w:ascii="Times New Roman" w:hAnsi="Times New Roman" w:cs="Times New Roman"/>
          <w:sz w:val="24"/>
          <w:szCs w:val="24"/>
        </w:rPr>
        <w:t xml:space="preserve"> </w:t>
      </w:r>
      <w:r w:rsidR="007B4574" w:rsidRPr="009C130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B4574" w:rsidRPr="009C13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4574">
        <w:rPr>
          <w:rFonts w:ascii="Times New Roman" w:hAnsi="Times New Roman" w:cs="Times New Roman"/>
          <w:sz w:val="24"/>
          <w:szCs w:val="24"/>
        </w:rPr>
        <w:t xml:space="preserve"> with market indexes of</w:t>
      </w:r>
      <w:r w:rsidR="001D21EB">
        <w:rPr>
          <w:rFonts w:ascii="Times New Roman" w:hAnsi="Times New Roman" w:cs="Times New Roman"/>
          <w:sz w:val="24"/>
          <w:szCs w:val="24"/>
        </w:rPr>
        <w:t xml:space="preserve"> 98.4%</w:t>
      </w:r>
      <w:r w:rsidR="00384C42">
        <w:rPr>
          <w:rFonts w:ascii="Times New Roman" w:hAnsi="Times New Roman" w:cs="Times New Roman"/>
          <w:sz w:val="24"/>
          <w:szCs w:val="24"/>
        </w:rPr>
        <w:t>, indicating that market-like diversification is the norm.</w:t>
      </w:r>
      <w:r w:rsidR="00FA703E">
        <w:rPr>
          <w:rFonts w:ascii="Times New Roman" w:hAnsi="Times New Roman" w:cs="Times New Roman"/>
          <w:sz w:val="24"/>
          <w:szCs w:val="24"/>
        </w:rPr>
        <w:t xml:space="preserve"> </w:t>
      </w:r>
      <w:r w:rsidR="00C1791C">
        <w:rPr>
          <w:rFonts w:ascii="Times New Roman" w:hAnsi="Times New Roman" w:cs="Times New Roman"/>
          <w:sz w:val="24"/>
          <w:szCs w:val="24"/>
        </w:rPr>
        <w:t>When 98%</w:t>
      </w:r>
      <w:r w:rsidR="00B129DE">
        <w:rPr>
          <w:rFonts w:ascii="Times New Roman" w:hAnsi="Times New Roman" w:cs="Times New Roman"/>
          <w:sz w:val="24"/>
          <w:szCs w:val="24"/>
        </w:rPr>
        <w:t xml:space="preserve"> </w:t>
      </w:r>
      <w:r w:rsidR="00C1791C">
        <w:rPr>
          <w:rFonts w:ascii="Times New Roman" w:hAnsi="Times New Roman" w:cs="Times New Roman"/>
          <w:sz w:val="24"/>
          <w:szCs w:val="24"/>
        </w:rPr>
        <w:t>to 99% of your return variance is explained by market indexes, you simply cannot expend 1.2% of the value of your assets each year trying to beat the market</w:t>
      </w:r>
      <w:r w:rsidR="000D2E0B">
        <w:rPr>
          <w:rFonts w:ascii="Times New Roman" w:hAnsi="Times New Roman" w:cs="Times New Roman"/>
          <w:sz w:val="24"/>
          <w:szCs w:val="24"/>
        </w:rPr>
        <w:t xml:space="preserve"> and expect to meet with success</w:t>
      </w:r>
      <w:r w:rsidR="00C1791C">
        <w:rPr>
          <w:rFonts w:ascii="Times New Roman" w:hAnsi="Times New Roman" w:cs="Times New Roman"/>
          <w:sz w:val="24"/>
          <w:szCs w:val="24"/>
        </w:rPr>
        <w:t>.</w:t>
      </w:r>
      <w:r w:rsidR="00A62C30">
        <w:rPr>
          <w:rFonts w:ascii="Times New Roman" w:hAnsi="Times New Roman" w:cs="Times New Roman"/>
          <w:sz w:val="24"/>
          <w:szCs w:val="24"/>
        </w:rPr>
        <w:t xml:space="preserve"> Economic theory </w:t>
      </w:r>
      <w:r w:rsidR="0052044E">
        <w:rPr>
          <w:rFonts w:ascii="Times New Roman" w:hAnsi="Times New Roman" w:cs="Times New Roman"/>
          <w:sz w:val="24"/>
          <w:szCs w:val="24"/>
        </w:rPr>
        <w:t xml:space="preserve">and evidence </w:t>
      </w:r>
      <w:r w:rsidR="00A62C30">
        <w:rPr>
          <w:rFonts w:ascii="Times New Roman" w:hAnsi="Times New Roman" w:cs="Times New Roman"/>
          <w:sz w:val="24"/>
          <w:szCs w:val="24"/>
        </w:rPr>
        <w:t>tell us that</w:t>
      </w:r>
      <w:r w:rsidR="0007713D">
        <w:rPr>
          <w:rFonts w:ascii="Times New Roman" w:hAnsi="Times New Roman" w:cs="Times New Roman"/>
          <w:sz w:val="24"/>
          <w:szCs w:val="24"/>
        </w:rPr>
        <w:t xml:space="preserve"> funds with that degree of diversification</w:t>
      </w:r>
      <w:r w:rsidR="00285120">
        <w:rPr>
          <w:rFonts w:ascii="Times New Roman" w:hAnsi="Times New Roman" w:cs="Times New Roman"/>
          <w:sz w:val="24"/>
          <w:szCs w:val="24"/>
        </w:rPr>
        <w:t>,</w:t>
      </w:r>
      <w:r w:rsidR="0007713D">
        <w:rPr>
          <w:rFonts w:ascii="Times New Roman" w:hAnsi="Times New Roman" w:cs="Times New Roman"/>
          <w:sz w:val="24"/>
          <w:szCs w:val="24"/>
        </w:rPr>
        <w:t xml:space="preserve"> operating in competitive markets</w:t>
      </w:r>
      <w:r w:rsidR="00285120">
        <w:rPr>
          <w:rFonts w:ascii="Times New Roman" w:hAnsi="Times New Roman" w:cs="Times New Roman"/>
          <w:sz w:val="24"/>
          <w:szCs w:val="24"/>
        </w:rPr>
        <w:t>,</w:t>
      </w:r>
      <w:r w:rsidR="0007713D">
        <w:rPr>
          <w:rFonts w:ascii="Times New Roman" w:hAnsi="Times New Roman" w:cs="Times New Roman"/>
          <w:sz w:val="24"/>
          <w:szCs w:val="24"/>
        </w:rPr>
        <w:t xml:space="preserve"> should expect to underperform by the margin of their cost. And </w:t>
      </w:r>
      <w:r w:rsidR="0052044E">
        <w:rPr>
          <w:rFonts w:ascii="Times New Roman" w:hAnsi="Times New Roman" w:cs="Times New Roman"/>
          <w:sz w:val="24"/>
          <w:szCs w:val="24"/>
        </w:rPr>
        <w:t xml:space="preserve">public </w:t>
      </w:r>
      <w:r w:rsidR="00E00BFD">
        <w:rPr>
          <w:rFonts w:ascii="Times New Roman" w:hAnsi="Times New Roman" w:cs="Times New Roman"/>
          <w:sz w:val="24"/>
          <w:szCs w:val="24"/>
        </w:rPr>
        <w:t xml:space="preserve">pension </w:t>
      </w:r>
      <w:r w:rsidR="0052044E">
        <w:rPr>
          <w:rFonts w:ascii="Times New Roman" w:hAnsi="Times New Roman" w:cs="Times New Roman"/>
          <w:sz w:val="24"/>
          <w:szCs w:val="24"/>
        </w:rPr>
        <w:t xml:space="preserve">funds </w:t>
      </w:r>
      <w:r w:rsidR="009A2989">
        <w:rPr>
          <w:rFonts w:ascii="Times New Roman" w:hAnsi="Times New Roman" w:cs="Times New Roman"/>
          <w:sz w:val="24"/>
          <w:szCs w:val="24"/>
        </w:rPr>
        <w:t xml:space="preserve">have </w:t>
      </w:r>
      <w:r w:rsidR="0052044E">
        <w:rPr>
          <w:rFonts w:ascii="Times New Roman" w:hAnsi="Times New Roman" w:cs="Times New Roman"/>
          <w:sz w:val="24"/>
          <w:szCs w:val="24"/>
        </w:rPr>
        <w:t>do</w:t>
      </w:r>
      <w:r w:rsidR="009A2989">
        <w:rPr>
          <w:rFonts w:ascii="Times New Roman" w:hAnsi="Times New Roman" w:cs="Times New Roman"/>
          <w:sz w:val="24"/>
          <w:szCs w:val="24"/>
        </w:rPr>
        <w:t>ne</w:t>
      </w:r>
      <w:r w:rsidR="0052044E">
        <w:rPr>
          <w:rFonts w:ascii="Times New Roman" w:hAnsi="Times New Roman" w:cs="Times New Roman"/>
          <w:sz w:val="24"/>
          <w:szCs w:val="24"/>
        </w:rPr>
        <w:t xml:space="preserve"> </w:t>
      </w:r>
      <w:r w:rsidR="00285120">
        <w:rPr>
          <w:rFonts w:ascii="Times New Roman" w:hAnsi="Times New Roman" w:cs="Times New Roman"/>
          <w:sz w:val="24"/>
          <w:szCs w:val="24"/>
        </w:rPr>
        <w:t xml:space="preserve">just </w:t>
      </w:r>
      <w:r w:rsidR="0052044E">
        <w:rPr>
          <w:rFonts w:ascii="Times New Roman" w:hAnsi="Times New Roman" w:cs="Times New Roman"/>
          <w:sz w:val="24"/>
          <w:szCs w:val="24"/>
        </w:rPr>
        <w:t>that.</w:t>
      </w:r>
    </w:p>
    <w:p w14:paraId="2ED7A629" w14:textId="76FAFA84" w:rsidR="007D4B76" w:rsidRDefault="007D4B76" w:rsidP="003E0225">
      <w:pPr>
        <w:rPr>
          <w:rFonts w:ascii="Times New Roman" w:hAnsi="Times New Roman" w:cs="Times New Roman"/>
          <w:sz w:val="24"/>
          <w:szCs w:val="24"/>
        </w:rPr>
      </w:pPr>
    </w:p>
    <w:p w14:paraId="1663896B" w14:textId="4AF340BC" w:rsidR="000B4715" w:rsidRDefault="00541CB5" w:rsidP="0011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3F6F">
        <w:rPr>
          <w:rFonts w:ascii="Times New Roman" w:hAnsi="Times New Roman" w:cs="Times New Roman"/>
          <w:sz w:val="24"/>
          <w:szCs w:val="24"/>
        </w:rPr>
        <w:t xml:space="preserve">Thanks to the prevailing beat-the-market mentality of the </w:t>
      </w:r>
      <w:r w:rsidR="00DB5A06">
        <w:rPr>
          <w:rFonts w:ascii="Times New Roman" w:hAnsi="Times New Roman" w:cs="Times New Roman"/>
          <w:sz w:val="24"/>
          <w:szCs w:val="24"/>
        </w:rPr>
        <w:t>p</w:t>
      </w:r>
      <w:r w:rsidR="00066101">
        <w:rPr>
          <w:rFonts w:ascii="Times New Roman" w:hAnsi="Times New Roman" w:cs="Times New Roman"/>
          <w:sz w:val="24"/>
          <w:szCs w:val="24"/>
        </w:rPr>
        <w:t>ublic funds</w:t>
      </w:r>
      <w:r w:rsidR="00DB5A06">
        <w:rPr>
          <w:rFonts w:ascii="Times New Roman" w:hAnsi="Times New Roman" w:cs="Times New Roman"/>
          <w:sz w:val="24"/>
          <w:szCs w:val="24"/>
        </w:rPr>
        <w:t>, they</w:t>
      </w:r>
      <w:r w:rsidR="00066101">
        <w:rPr>
          <w:rFonts w:ascii="Times New Roman" w:hAnsi="Times New Roman" w:cs="Times New Roman"/>
          <w:sz w:val="24"/>
          <w:szCs w:val="24"/>
        </w:rPr>
        <w:t xml:space="preserve"> are </w:t>
      </w:r>
      <w:r w:rsidR="0024553B">
        <w:rPr>
          <w:rFonts w:ascii="Times New Roman" w:hAnsi="Times New Roman" w:cs="Times New Roman"/>
          <w:sz w:val="24"/>
          <w:szCs w:val="24"/>
        </w:rPr>
        <w:t>wasting upwards o</w:t>
      </w:r>
      <w:r w:rsidR="00821EC8">
        <w:rPr>
          <w:rFonts w:ascii="Times New Roman" w:hAnsi="Times New Roman" w:cs="Times New Roman"/>
          <w:sz w:val="24"/>
          <w:szCs w:val="24"/>
        </w:rPr>
        <w:t xml:space="preserve">f </w:t>
      </w:r>
      <w:r w:rsidR="0024553B">
        <w:rPr>
          <w:rFonts w:ascii="Times New Roman" w:hAnsi="Times New Roman" w:cs="Times New Roman"/>
          <w:sz w:val="24"/>
          <w:szCs w:val="24"/>
        </w:rPr>
        <w:t xml:space="preserve">1% of </w:t>
      </w:r>
      <w:r w:rsidR="00AB11AD">
        <w:rPr>
          <w:rFonts w:ascii="Times New Roman" w:hAnsi="Times New Roman" w:cs="Times New Roman"/>
          <w:sz w:val="24"/>
          <w:szCs w:val="24"/>
        </w:rPr>
        <w:t xml:space="preserve">their </w:t>
      </w:r>
      <w:r w:rsidR="0024553B">
        <w:rPr>
          <w:rFonts w:ascii="Times New Roman" w:hAnsi="Times New Roman" w:cs="Times New Roman"/>
          <w:sz w:val="24"/>
          <w:szCs w:val="24"/>
        </w:rPr>
        <w:t xml:space="preserve">asset </w:t>
      </w:r>
      <w:r w:rsidR="00131392">
        <w:rPr>
          <w:rFonts w:ascii="Times New Roman" w:hAnsi="Times New Roman" w:cs="Times New Roman"/>
          <w:sz w:val="24"/>
          <w:szCs w:val="24"/>
        </w:rPr>
        <w:t xml:space="preserve">value annually </w:t>
      </w:r>
      <w:r w:rsidR="00B632C8">
        <w:rPr>
          <w:rFonts w:ascii="Times New Roman" w:hAnsi="Times New Roman" w:cs="Times New Roman"/>
          <w:sz w:val="24"/>
          <w:szCs w:val="24"/>
        </w:rPr>
        <w:t>via costly</w:t>
      </w:r>
      <w:r w:rsidR="00226F45">
        <w:rPr>
          <w:rFonts w:ascii="Times New Roman" w:hAnsi="Times New Roman" w:cs="Times New Roman"/>
          <w:sz w:val="24"/>
          <w:szCs w:val="24"/>
        </w:rPr>
        <w:t>, unproductive</w:t>
      </w:r>
      <w:r w:rsidR="00B632C8">
        <w:rPr>
          <w:rFonts w:ascii="Times New Roman" w:hAnsi="Times New Roman" w:cs="Times New Roman"/>
          <w:sz w:val="24"/>
          <w:szCs w:val="24"/>
        </w:rPr>
        <w:t xml:space="preserve"> active management</w:t>
      </w:r>
      <w:r w:rsidR="00563BA3">
        <w:rPr>
          <w:rFonts w:ascii="Times New Roman" w:hAnsi="Times New Roman" w:cs="Times New Roman"/>
          <w:sz w:val="24"/>
          <w:szCs w:val="24"/>
        </w:rPr>
        <w:t>.</w:t>
      </w:r>
      <w:r w:rsidR="00553E4E">
        <w:rPr>
          <w:rFonts w:ascii="Times New Roman" w:hAnsi="Times New Roman" w:cs="Times New Roman"/>
          <w:sz w:val="24"/>
          <w:szCs w:val="24"/>
        </w:rPr>
        <w:t xml:space="preserve"> Over the long run this </w:t>
      </w:r>
      <w:r w:rsidR="00577E5C">
        <w:rPr>
          <w:rFonts w:ascii="Times New Roman" w:hAnsi="Times New Roman" w:cs="Times New Roman"/>
          <w:sz w:val="24"/>
          <w:szCs w:val="24"/>
        </w:rPr>
        <w:t>increases taxpayers’ burden.</w:t>
      </w:r>
      <w:r w:rsidR="00563BA3">
        <w:rPr>
          <w:rFonts w:ascii="Times New Roman" w:hAnsi="Times New Roman" w:cs="Times New Roman"/>
          <w:sz w:val="24"/>
          <w:szCs w:val="24"/>
        </w:rPr>
        <w:t xml:space="preserve"> </w:t>
      </w:r>
      <w:r w:rsidR="005216CC">
        <w:rPr>
          <w:rFonts w:ascii="Times New Roman" w:hAnsi="Times New Roman" w:cs="Times New Roman"/>
          <w:sz w:val="24"/>
          <w:szCs w:val="24"/>
        </w:rPr>
        <w:t>T</w:t>
      </w:r>
      <w:r w:rsidR="00961976">
        <w:rPr>
          <w:rFonts w:ascii="Times New Roman" w:hAnsi="Times New Roman" w:cs="Times New Roman"/>
          <w:sz w:val="24"/>
          <w:szCs w:val="24"/>
        </w:rPr>
        <w:t xml:space="preserve">he next section </w:t>
      </w:r>
      <w:r w:rsidR="00211898">
        <w:rPr>
          <w:rFonts w:ascii="Times New Roman" w:hAnsi="Times New Roman" w:cs="Times New Roman"/>
          <w:sz w:val="24"/>
          <w:szCs w:val="24"/>
        </w:rPr>
        <w:t>advances</w:t>
      </w:r>
      <w:r w:rsidR="00961976">
        <w:rPr>
          <w:rFonts w:ascii="Times New Roman" w:hAnsi="Times New Roman" w:cs="Times New Roman"/>
          <w:sz w:val="24"/>
          <w:szCs w:val="24"/>
        </w:rPr>
        <w:t xml:space="preserve"> a proposal</w:t>
      </w:r>
      <w:r w:rsidR="008A040E">
        <w:rPr>
          <w:rFonts w:ascii="Times New Roman" w:hAnsi="Times New Roman" w:cs="Times New Roman"/>
          <w:sz w:val="24"/>
          <w:szCs w:val="24"/>
        </w:rPr>
        <w:t xml:space="preserve"> </w:t>
      </w:r>
      <w:r w:rsidR="00161064">
        <w:rPr>
          <w:rFonts w:ascii="Times New Roman" w:hAnsi="Times New Roman" w:cs="Times New Roman"/>
          <w:sz w:val="24"/>
          <w:szCs w:val="24"/>
        </w:rPr>
        <w:t xml:space="preserve">to </w:t>
      </w:r>
      <w:r w:rsidR="0084782B">
        <w:rPr>
          <w:rFonts w:ascii="Times New Roman" w:hAnsi="Times New Roman" w:cs="Times New Roman"/>
          <w:sz w:val="24"/>
          <w:szCs w:val="24"/>
        </w:rPr>
        <w:t>ameliorate</w:t>
      </w:r>
      <w:r w:rsidR="009C54AF">
        <w:rPr>
          <w:rFonts w:ascii="Times New Roman" w:hAnsi="Times New Roman" w:cs="Times New Roman"/>
          <w:sz w:val="24"/>
          <w:szCs w:val="24"/>
        </w:rPr>
        <w:t xml:space="preserve"> the problems described </w:t>
      </w:r>
      <w:r w:rsidR="0023308C">
        <w:rPr>
          <w:rFonts w:ascii="Times New Roman" w:hAnsi="Times New Roman" w:cs="Times New Roman"/>
          <w:sz w:val="24"/>
          <w:szCs w:val="24"/>
        </w:rPr>
        <w:t xml:space="preserve">by establishing </w:t>
      </w:r>
      <w:r w:rsidR="007411E6">
        <w:rPr>
          <w:rFonts w:ascii="Times New Roman" w:hAnsi="Times New Roman" w:cs="Times New Roman"/>
          <w:sz w:val="24"/>
          <w:szCs w:val="24"/>
        </w:rPr>
        <w:t>a benchmark that</w:t>
      </w:r>
      <w:r w:rsidR="00DC50F1">
        <w:rPr>
          <w:rFonts w:ascii="Times New Roman" w:hAnsi="Times New Roman" w:cs="Times New Roman"/>
          <w:sz w:val="24"/>
          <w:szCs w:val="24"/>
        </w:rPr>
        <w:t xml:space="preserve"> </w:t>
      </w:r>
      <w:r w:rsidR="00DE7DEA">
        <w:rPr>
          <w:rFonts w:ascii="Times New Roman" w:hAnsi="Times New Roman" w:cs="Times New Roman"/>
          <w:sz w:val="24"/>
          <w:szCs w:val="24"/>
        </w:rPr>
        <w:t>better al</w:t>
      </w:r>
      <w:r w:rsidR="00DC50F1">
        <w:rPr>
          <w:rFonts w:ascii="Times New Roman" w:hAnsi="Times New Roman" w:cs="Times New Roman"/>
          <w:sz w:val="24"/>
          <w:szCs w:val="24"/>
        </w:rPr>
        <w:t>ign</w:t>
      </w:r>
      <w:r w:rsidR="007411E6">
        <w:rPr>
          <w:rFonts w:ascii="Times New Roman" w:hAnsi="Times New Roman" w:cs="Times New Roman"/>
          <w:sz w:val="24"/>
          <w:szCs w:val="24"/>
        </w:rPr>
        <w:t>s</w:t>
      </w:r>
      <w:r w:rsidR="00DE7DEA">
        <w:rPr>
          <w:rFonts w:ascii="Times New Roman" w:hAnsi="Times New Roman" w:cs="Times New Roman"/>
          <w:sz w:val="24"/>
          <w:szCs w:val="24"/>
        </w:rPr>
        <w:t xml:space="preserve"> </w:t>
      </w:r>
      <w:r w:rsidR="00DF17BE">
        <w:rPr>
          <w:rFonts w:ascii="Times New Roman" w:hAnsi="Times New Roman" w:cs="Times New Roman"/>
          <w:sz w:val="24"/>
          <w:szCs w:val="24"/>
        </w:rPr>
        <w:t xml:space="preserve">investing </w:t>
      </w:r>
      <w:r w:rsidR="00DE7DEA">
        <w:rPr>
          <w:rFonts w:ascii="Times New Roman" w:hAnsi="Times New Roman" w:cs="Times New Roman"/>
          <w:sz w:val="24"/>
          <w:szCs w:val="24"/>
        </w:rPr>
        <w:t xml:space="preserve">with </w:t>
      </w:r>
      <w:r w:rsidR="00DC50F1">
        <w:rPr>
          <w:rFonts w:ascii="Times New Roman" w:hAnsi="Times New Roman" w:cs="Times New Roman"/>
          <w:sz w:val="24"/>
          <w:szCs w:val="24"/>
        </w:rPr>
        <w:t>stakeholder</w:t>
      </w:r>
      <w:r w:rsidR="000B24D7">
        <w:rPr>
          <w:rFonts w:ascii="Times New Roman" w:hAnsi="Times New Roman" w:cs="Times New Roman"/>
          <w:sz w:val="24"/>
          <w:szCs w:val="24"/>
        </w:rPr>
        <w:t xml:space="preserve"> interests</w:t>
      </w:r>
      <w:r w:rsidR="00C24281">
        <w:rPr>
          <w:rFonts w:ascii="Times New Roman" w:hAnsi="Times New Roman" w:cs="Times New Roman"/>
          <w:sz w:val="24"/>
          <w:szCs w:val="24"/>
        </w:rPr>
        <w:t>.</w:t>
      </w:r>
    </w:p>
    <w:p w14:paraId="0697ADC4" w14:textId="14C36183" w:rsidR="00211898" w:rsidRDefault="00211898" w:rsidP="00113540">
      <w:pPr>
        <w:rPr>
          <w:rFonts w:ascii="Times New Roman" w:hAnsi="Times New Roman" w:cs="Times New Roman"/>
          <w:sz w:val="24"/>
          <w:szCs w:val="24"/>
        </w:rPr>
      </w:pPr>
    </w:p>
    <w:p w14:paraId="26808FD2" w14:textId="2D1A2BBB" w:rsidR="00F52771" w:rsidRDefault="00F52771" w:rsidP="00113540">
      <w:pPr>
        <w:rPr>
          <w:rFonts w:ascii="Times New Roman" w:hAnsi="Times New Roman" w:cs="Times New Roman"/>
          <w:sz w:val="24"/>
          <w:szCs w:val="24"/>
        </w:rPr>
      </w:pPr>
    </w:p>
    <w:p w14:paraId="600C6080" w14:textId="77777777" w:rsidR="00F52771" w:rsidRDefault="00F52771" w:rsidP="00113540">
      <w:pPr>
        <w:rPr>
          <w:rFonts w:ascii="Times New Roman" w:hAnsi="Times New Roman" w:cs="Times New Roman"/>
          <w:sz w:val="24"/>
          <w:szCs w:val="24"/>
        </w:rPr>
      </w:pPr>
    </w:p>
    <w:p w14:paraId="3E0651F4" w14:textId="45B488BE" w:rsidR="00BF5D1E" w:rsidRPr="00EE30C5" w:rsidRDefault="00AC02A7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="00033325">
        <w:rPr>
          <w:rFonts w:ascii="Times New Roman" w:hAnsi="Times New Roman" w:cs="Times New Roman"/>
          <w:b/>
          <w:bCs/>
          <w:sz w:val="24"/>
          <w:szCs w:val="24"/>
        </w:rPr>
        <w:t xml:space="preserve">AXIMIZE </w:t>
      </w:r>
      <w:r w:rsidR="005C2BC3">
        <w:rPr>
          <w:rFonts w:ascii="Times New Roman" w:hAnsi="Times New Roman" w:cs="Times New Roman"/>
          <w:b/>
          <w:bCs/>
          <w:sz w:val="24"/>
          <w:szCs w:val="24"/>
        </w:rPr>
        <w:t>RISK-ADJUSTED RETURN</w:t>
      </w:r>
    </w:p>
    <w:p w14:paraId="302F9CA1" w14:textId="77777777" w:rsidR="00BB6EFF" w:rsidRDefault="002C7244" w:rsidP="0011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FDA2A9" w14:textId="7ADE2965" w:rsidR="00CE36D1" w:rsidRDefault="004D3DD5" w:rsidP="0011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C7244">
        <w:rPr>
          <w:rFonts w:ascii="Times New Roman" w:hAnsi="Times New Roman" w:cs="Times New Roman"/>
          <w:sz w:val="24"/>
          <w:szCs w:val="24"/>
        </w:rPr>
        <w:t>rustees</w:t>
      </w:r>
      <w:r w:rsidR="000E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BC0290">
        <w:rPr>
          <w:rFonts w:ascii="Times New Roman" w:hAnsi="Times New Roman" w:cs="Times New Roman"/>
          <w:sz w:val="24"/>
          <w:szCs w:val="24"/>
        </w:rPr>
        <w:t>m</w:t>
      </w:r>
      <w:r w:rsidR="009D3D80">
        <w:rPr>
          <w:rFonts w:ascii="Times New Roman" w:hAnsi="Times New Roman" w:cs="Times New Roman"/>
          <w:sz w:val="24"/>
          <w:szCs w:val="24"/>
        </w:rPr>
        <w:t xml:space="preserve">odify the </w:t>
      </w:r>
      <w:r w:rsidR="001410A2">
        <w:rPr>
          <w:rFonts w:ascii="Times New Roman" w:hAnsi="Times New Roman" w:cs="Times New Roman"/>
          <w:sz w:val="24"/>
          <w:szCs w:val="24"/>
        </w:rPr>
        <w:t xml:space="preserve">way </w:t>
      </w:r>
      <w:r w:rsidR="00A75CB4">
        <w:rPr>
          <w:rFonts w:ascii="Times New Roman" w:hAnsi="Times New Roman" w:cs="Times New Roman"/>
          <w:sz w:val="24"/>
          <w:szCs w:val="24"/>
        </w:rPr>
        <w:t>they evaluate the performance of their portfolio</w:t>
      </w:r>
      <w:r w:rsidR="00F50AF8">
        <w:rPr>
          <w:rFonts w:ascii="Times New Roman" w:hAnsi="Times New Roman" w:cs="Times New Roman"/>
          <w:sz w:val="24"/>
          <w:szCs w:val="24"/>
        </w:rPr>
        <w:t xml:space="preserve">. </w:t>
      </w:r>
      <w:r w:rsidR="00CC2739">
        <w:rPr>
          <w:rFonts w:ascii="Times New Roman" w:hAnsi="Times New Roman" w:cs="Times New Roman"/>
          <w:sz w:val="24"/>
          <w:szCs w:val="24"/>
        </w:rPr>
        <w:t>Specifically, the</w:t>
      </w:r>
      <w:r w:rsidR="003A18E3">
        <w:rPr>
          <w:rFonts w:ascii="Times New Roman" w:hAnsi="Times New Roman" w:cs="Times New Roman"/>
          <w:sz w:val="24"/>
          <w:szCs w:val="24"/>
        </w:rPr>
        <w:t xml:space="preserve"> </w:t>
      </w:r>
      <w:r w:rsidR="006D4724">
        <w:rPr>
          <w:rFonts w:ascii="Times New Roman" w:hAnsi="Times New Roman" w:cs="Times New Roman"/>
          <w:sz w:val="24"/>
          <w:szCs w:val="24"/>
        </w:rPr>
        <w:t>goal should be to maximize</w:t>
      </w:r>
      <w:r w:rsidR="00307426">
        <w:rPr>
          <w:rFonts w:ascii="Times New Roman" w:hAnsi="Times New Roman" w:cs="Times New Roman"/>
          <w:sz w:val="24"/>
          <w:szCs w:val="24"/>
        </w:rPr>
        <w:t xml:space="preserve"> </w:t>
      </w:r>
      <w:r w:rsidR="00244121" w:rsidRPr="00E73536">
        <w:rPr>
          <w:rFonts w:ascii="Times New Roman" w:hAnsi="Times New Roman" w:cs="Times New Roman"/>
          <w:i/>
          <w:iCs/>
          <w:sz w:val="24"/>
          <w:szCs w:val="24"/>
        </w:rPr>
        <w:t xml:space="preserve">risk-adjusted </w:t>
      </w:r>
      <w:r w:rsidR="00307426" w:rsidRPr="00E73536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307426">
        <w:rPr>
          <w:rFonts w:ascii="Times New Roman" w:hAnsi="Times New Roman" w:cs="Times New Roman"/>
          <w:sz w:val="24"/>
          <w:szCs w:val="24"/>
        </w:rPr>
        <w:t xml:space="preserve"> rather than return relative to a </w:t>
      </w:r>
      <w:r w:rsidR="001D5B90">
        <w:rPr>
          <w:rFonts w:ascii="Times New Roman" w:hAnsi="Times New Roman" w:cs="Times New Roman"/>
          <w:sz w:val="24"/>
          <w:szCs w:val="24"/>
        </w:rPr>
        <w:t>market</w:t>
      </w:r>
      <w:r w:rsidR="00307426">
        <w:rPr>
          <w:rFonts w:ascii="Times New Roman" w:hAnsi="Times New Roman" w:cs="Times New Roman"/>
          <w:sz w:val="24"/>
          <w:szCs w:val="24"/>
        </w:rPr>
        <w:t xml:space="preserve"> benchmark</w:t>
      </w:r>
      <w:r w:rsidR="00244121">
        <w:rPr>
          <w:rFonts w:ascii="Times New Roman" w:hAnsi="Times New Roman" w:cs="Times New Roman"/>
          <w:sz w:val="24"/>
          <w:szCs w:val="24"/>
        </w:rPr>
        <w:t>.</w:t>
      </w:r>
      <w:r w:rsidR="00D77915">
        <w:rPr>
          <w:rFonts w:ascii="Times New Roman" w:hAnsi="Times New Roman" w:cs="Times New Roman"/>
          <w:sz w:val="24"/>
          <w:szCs w:val="24"/>
        </w:rPr>
        <w:t xml:space="preserve"> </w:t>
      </w:r>
      <w:r w:rsidR="00CE36D1">
        <w:rPr>
          <w:rFonts w:ascii="Times New Roman" w:hAnsi="Times New Roman" w:cs="Times New Roman"/>
          <w:sz w:val="24"/>
          <w:szCs w:val="24"/>
        </w:rPr>
        <w:t>Exhibit 4 shows</w:t>
      </w:r>
      <w:r w:rsidR="002D1994">
        <w:rPr>
          <w:rFonts w:ascii="Times New Roman" w:hAnsi="Times New Roman" w:cs="Times New Roman"/>
          <w:sz w:val="24"/>
          <w:szCs w:val="24"/>
        </w:rPr>
        <w:t xml:space="preserve"> annualized return, risk (standard deviation of </w:t>
      </w:r>
      <w:r w:rsidR="00F31BF1">
        <w:rPr>
          <w:rFonts w:ascii="Times New Roman" w:hAnsi="Times New Roman" w:cs="Times New Roman"/>
          <w:sz w:val="24"/>
          <w:szCs w:val="24"/>
        </w:rPr>
        <w:t xml:space="preserve">return) and </w:t>
      </w:r>
      <w:r w:rsidR="00482898">
        <w:rPr>
          <w:rFonts w:ascii="Times New Roman" w:hAnsi="Times New Roman" w:cs="Times New Roman"/>
          <w:sz w:val="24"/>
          <w:szCs w:val="24"/>
        </w:rPr>
        <w:t>Sharp</w:t>
      </w:r>
      <w:r w:rsidR="00F57311">
        <w:rPr>
          <w:rFonts w:ascii="Times New Roman" w:hAnsi="Times New Roman" w:cs="Times New Roman"/>
          <w:sz w:val="24"/>
          <w:szCs w:val="24"/>
        </w:rPr>
        <w:t>e ratio</w:t>
      </w:r>
      <w:r w:rsidR="00F31BF1">
        <w:rPr>
          <w:rFonts w:ascii="Times New Roman" w:hAnsi="Times New Roman" w:cs="Times New Roman"/>
          <w:sz w:val="24"/>
          <w:szCs w:val="24"/>
        </w:rPr>
        <w:t xml:space="preserve"> for the 59</w:t>
      </w:r>
      <w:r w:rsidR="00BE77BE">
        <w:rPr>
          <w:rFonts w:ascii="Times New Roman" w:hAnsi="Times New Roman" w:cs="Times New Roman"/>
          <w:sz w:val="24"/>
          <w:szCs w:val="24"/>
        </w:rPr>
        <w:t xml:space="preserve"> </w:t>
      </w:r>
      <w:r w:rsidR="00F31BF1">
        <w:rPr>
          <w:rFonts w:ascii="Times New Roman" w:hAnsi="Times New Roman" w:cs="Times New Roman"/>
          <w:sz w:val="24"/>
          <w:szCs w:val="24"/>
        </w:rPr>
        <w:t>funds described above.</w:t>
      </w:r>
      <w:r w:rsidR="00991FFF">
        <w:rPr>
          <w:rFonts w:ascii="Times New Roman" w:hAnsi="Times New Roman" w:cs="Times New Roman"/>
          <w:sz w:val="24"/>
          <w:szCs w:val="24"/>
        </w:rPr>
        <w:t xml:space="preserve"> </w:t>
      </w:r>
      <w:r w:rsidR="00482898">
        <w:rPr>
          <w:rFonts w:ascii="Times New Roman" w:hAnsi="Times New Roman" w:cs="Times New Roman"/>
          <w:sz w:val="24"/>
          <w:szCs w:val="24"/>
        </w:rPr>
        <w:t>SR is a simple</w:t>
      </w:r>
      <w:r w:rsidR="001F0D95">
        <w:rPr>
          <w:rFonts w:ascii="Times New Roman" w:hAnsi="Times New Roman" w:cs="Times New Roman"/>
          <w:sz w:val="24"/>
          <w:szCs w:val="24"/>
        </w:rPr>
        <w:t>, widely accepted</w:t>
      </w:r>
      <w:r w:rsidR="00482898">
        <w:rPr>
          <w:rFonts w:ascii="Times New Roman" w:hAnsi="Times New Roman" w:cs="Times New Roman"/>
          <w:sz w:val="24"/>
          <w:szCs w:val="24"/>
        </w:rPr>
        <w:t xml:space="preserve"> measure of risk-adjusted performance in which a portfolio’s multiperiod return (in excess of the riskless rate) is divided by the standard deviation of return. </w:t>
      </w:r>
      <w:r w:rsidR="004D37C4">
        <w:rPr>
          <w:rFonts w:ascii="Times New Roman" w:hAnsi="Times New Roman" w:cs="Times New Roman"/>
          <w:sz w:val="24"/>
          <w:szCs w:val="24"/>
        </w:rPr>
        <w:t xml:space="preserve">SR </w:t>
      </w:r>
      <w:r w:rsidR="001E7C2B">
        <w:rPr>
          <w:rFonts w:ascii="Times New Roman" w:hAnsi="Times New Roman" w:cs="Times New Roman"/>
          <w:sz w:val="24"/>
          <w:szCs w:val="24"/>
        </w:rPr>
        <w:t xml:space="preserve">measures </w:t>
      </w:r>
      <w:r w:rsidR="00330DC7">
        <w:rPr>
          <w:rFonts w:ascii="Times New Roman" w:hAnsi="Times New Roman" w:cs="Times New Roman"/>
          <w:sz w:val="24"/>
          <w:szCs w:val="24"/>
        </w:rPr>
        <w:t xml:space="preserve">return per unit of risk. </w:t>
      </w:r>
      <w:r w:rsidR="00E913DF">
        <w:rPr>
          <w:rFonts w:ascii="Times New Roman" w:hAnsi="Times New Roman" w:cs="Times New Roman"/>
          <w:sz w:val="24"/>
          <w:szCs w:val="24"/>
        </w:rPr>
        <w:t xml:space="preserve">Exhibit 4 </w:t>
      </w:r>
      <w:r w:rsidR="00991FFF">
        <w:rPr>
          <w:rFonts w:ascii="Times New Roman" w:hAnsi="Times New Roman" w:cs="Times New Roman"/>
          <w:sz w:val="24"/>
          <w:szCs w:val="24"/>
        </w:rPr>
        <w:t xml:space="preserve">provides </w:t>
      </w:r>
      <w:r w:rsidR="006E75B3">
        <w:rPr>
          <w:rFonts w:ascii="Times New Roman" w:hAnsi="Times New Roman" w:cs="Times New Roman"/>
          <w:sz w:val="24"/>
          <w:szCs w:val="24"/>
        </w:rPr>
        <w:t xml:space="preserve">an illustration </w:t>
      </w:r>
      <w:r w:rsidR="00E532B9">
        <w:rPr>
          <w:rFonts w:ascii="Times New Roman" w:hAnsi="Times New Roman" w:cs="Times New Roman"/>
          <w:sz w:val="24"/>
          <w:szCs w:val="24"/>
        </w:rPr>
        <w:t xml:space="preserve">of </w:t>
      </w:r>
      <w:r w:rsidR="006E75B3">
        <w:rPr>
          <w:rFonts w:ascii="Times New Roman" w:hAnsi="Times New Roman" w:cs="Times New Roman"/>
          <w:sz w:val="24"/>
          <w:szCs w:val="24"/>
        </w:rPr>
        <w:t>us</w:t>
      </w:r>
      <w:r w:rsidR="00E532B9">
        <w:rPr>
          <w:rFonts w:ascii="Times New Roman" w:hAnsi="Times New Roman" w:cs="Times New Roman"/>
          <w:sz w:val="24"/>
          <w:szCs w:val="24"/>
        </w:rPr>
        <w:t>ing</w:t>
      </w:r>
      <w:r w:rsidR="006E75B3">
        <w:rPr>
          <w:rFonts w:ascii="Times New Roman" w:hAnsi="Times New Roman" w:cs="Times New Roman"/>
          <w:sz w:val="24"/>
          <w:szCs w:val="24"/>
        </w:rPr>
        <w:t xml:space="preserve"> SR in evaluating performance.</w:t>
      </w:r>
      <w:r w:rsidR="00A36427">
        <w:rPr>
          <w:rFonts w:ascii="Times New Roman" w:hAnsi="Times New Roman" w:cs="Times New Roman"/>
          <w:sz w:val="24"/>
          <w:szCs w:val="24"/>
        </w:rPr>
        <w:t xml:space="preserve"> </w:t>
      </w:r>
      <w:r w:rsidR="00A02AC8">
        <w:rPr>
          <w:rFonts w:ascii="Times New Roman" w:hAnsi="Times New Roman" w:cs="Times New Roman"/>
          <w:sz w:val="24"/>
          <w:szCs w:val="24"/>
        </w:rPr>
        <w:t>In the analysis, s</w:t>
      </w:r>
      <w:r w:rsidR="00EE7420">
        <w:rPr>
          <w:rFonts w:ascii="Times New Roman" w:hAnsi="Times New Roman" w:cs="Times New Roman"/>
          <w:sz w:val="24"/>
          <w:szCs w:val="24"/>
        </w:rPr>
        <w:t xml:space="preserve">tandard deviations vary </w:t>
      </w:r>
      <w:r w:rsidR="001D453E">
        <w:rPr>
          <w:rFonts w:ascii="Times New Roman" w:hAnsi="Times New Roman" w:cs="Times New Roman"/>
          <w:sz w:val="24"/>
          <w:szCs w:val="24"/>
        </w:rPr>
        <w:t>widely</w:t>
      </w:r>
      <w:r w:rsidR="00EE7420">
        <w:rPr>
          <w:rFonts w:ascii="Times New Roman" w:hAnsi="Times New Roman" w:cs="Times New Roman"/>
          <w:sz w:val="24"/>
          <w:szCs w:val="24"/>
        </w:rPr>
        <w:t xml:space="preserve">, </w:t>
      </w:r>
      <w:r w:rsidR="006B5450">
        <w:rPr>
          <w:rFonts w:ascii="Times New Roman" w:hAnsi="Times New Roman" w:cs="Times New Roman"/>
          <w:sz w:val="24"/>
          <w:szCs w:val="24"/>
        </w:rPr>
        <w:t xml:space="preserve">from </w:t>
      </w:r>
      <w:r w:rsidR="00757FA6">
        <w:rPr>
          <w:rFonts w:ascii="Times New Roman" w:hAnsi="Times New Roman" w:cs="Times New Roman"/>
          <w:sz w:val="24"/>
          <w:szCs w:val="24"/>
        </w:rPr>
        <w:t xml:space="preserve">8.9% </w:t>
      </w:r>
      <w:r w:rsidR="00EE7420">
        <w:rPr>
          <w:rFonts w:ascii="Times New Roman" w:hAnsi="Times New Roman" w:cs="Times New Roman"/>
          <w:sz w:val="24"/>
          <w:szCs w:val="24"/>
        </w:rPr>
        <w:t xml:space="preserve">to </w:t>
      </w:r>
      <w:r w:rsidR="00757FA6">
        <w:rPr>
          <w:rFonts w:ascii="Times New Roman" w:hAnsi="Times New Roman" w:cs="Times New Roman"/>
          <w:sz w:val="24"/>
          <w:szCs w:val="24"/>
        </w:rPr>
        <w:t xml:space="preserve">14.3%, the latter </w:t>
      </w:r>
      <w:r w:rsidR="006F08E3">
        <w:rPr>
          <w:rFonts w:ascii="Times New Roman" w:hAnsi="Times New Roman" w:cs="Times New Roman"/>
          <w:sz w:val="24"/>
          <w:szCs w:val="24"/>
        </w:rPr>
        <w:t>being</w:t>
      </w:r>
      <w:r w:rsidR="00CC6E42">
        <w:rPr>
          <w:rFonts w:ascii="Times New Roman" w:hAnsi="Times New Roman" w:cs="Times New Roman"/>
          <w:sz w:val="24"/>
          <w:szCs w:val="24"/>
        </w:rPr>
        <w:t xml:space="preserve"> fully</w:t>
      </w:r>
      <w:r w:rsidR="006F08E3">
        <w:rPr>
          <w:rFonts w:ascii="Times New Roman" w:hAnsi="Times New Roman" w:cs="Times New Roman"/>
          <w:sz w:val="24"/>
          <w:szCs w:val="24"/>
        </w:rPr>
        <w:t xml:space="preserve"> 60%  greater than the former</w:t>
      </w:r>
      <w:r w:rsidR="00D96ECF">
        <w:rPr>
          <w:rFonts w:ascii="Times New Roman" w:hAnsi="Times New Roman" w:cs="Times New Roman"/>
          <w:sz w:val="24"/>
          <w:szCs w:val="24"/>
        </w:rPr>
        <w:t xml:space="preserve">. Standard deviation is taken as an indication of investment aggressiveness, </w:t>
      </w:r>
      <w:r w:rsidR="00665D02">
        <w:rPr>
          <w:rFonts w:ascii="Times New Roman" w:hAnsi="Times New Roman" w:cs="Times New Roman"/>
          <w:sz w:val="24"/>
          <w:szCs w:val="24"/>
        </w:rPr>
        <w:t xml:space="preserve">or chosen risk level, </w:t>
      </w:r>
      <w:r w:rsidR="00D96ECF">
        <w:rPr>
          <w:rFonts w:ascii="Times New Roman" w:hAnsi="Times New Roman" w:cs="Times New Roman"/>
          <w:sz w:val="24"/>
          <w:szCs w:val="24"/>
        </w:rPr>
        <w:t>reflecting the circumstances and objectives of each fund</w:t>
      </w:r>
      <w:r w:rsidR="00EB1A88">
        <w:rPr>
          <w:rFonts w:ascii="Times New Roman" w:hAnsi="Times New Roman" w:cs="Times New Roman"/>
          <w:sz w:val="24"/>
          <w:szCs w:val="24"/>
        </w:rPr>
        <w:t>,</w:t>
      </w:r>
      <w:r w:rsidR="00042227">
        <w:rPr>
          <w:rFonts w:ascii="Times New Roman" w:hAnsi="Times New Roman" w:cs="Times New Roman"/>
          <w:sz w:val="24"/>
          <w:szCs w:val="24"/>
        </w:rPr>
        <w:t xml:space="preserve"> a</w:t>
      </w:r>
      <w:r w:rsidR="001A4D94">
        <w:rPr>
          <w:rFonts w:ascii="Times New Roman" w:hAnsi="Times New Roman" w:cs="Times New Roman"/>
          <w:sz w:val="24"/>
          <w:szCs w:val="24"/>
        </w:rPr>
        <w:t>s well as</w:t>
      </w:r>
      <w:r w:rsidR="00042227">
        <w:rPr>
          <w:rFonts w:ascii="Times New Roman" w:hAnsi="Times New Roman" w:cs="Times New Roman"/>
          <w:sz w:val="24"/>
          <w:szCs w:val="24"/>
        </w:rPr>
        <w:t xml:space="preserve"> the risk tolerance of </w:t>
      </w:r>
      <w:r w:rsidR="004B7692">
        <w:rPr>
          <w:rFonts w:ascii="Times New Roman" w:hAnsi="Times New Roman" w:cs="Times New Roman"/>
          <w:sz w:val="24"/>
          <w:szCs w:val="24"/>
        </w:rPr>
        <w:t xml:space="preserve">its </w:t>
      </w:r>
      <w:r w:rsidR="00042227">
        <w:rPr>
          <w:rFonts w:ascii="Times New Roman" w:hAnsi="Times New Roman" w:cs="Times New Roman"/>
          <w:sz w:val="24"/>
          <w:szCs w:val="24"/>
        </w:rPr>
        <w:t>trustees</w:t>
      </w:r>
      <w:r w:rsidR="00D96ECF">
        <w:rPr>
          <w:rFonts w:ascii="Times New Roman" w:hAnsi="Times New Roman" w:cs="Times New Roman"/>
          <w:sz w:val="24"/>
          <w:szCs w:val="24"/>
        </w:rPr>
        <w:t xml:space="preserve">. </w:t>
      </w:r>
      <w:r w:rsidR="00BE2B07">
        <w:rPr>
          <w:rFonts w:ascii="Times New Roman" w:hAnsi="Times New Roman" w:cs="Times New Roman"/>
          <w:sz w:val="24"/>
          <w:szCs w:val="24"/>
        </w:rPr>
        <w:t xml:space="preserve">The funds are ranked in </w:t>
      </w:r>
      <w:r w:rsidR="00363445">
        <w:rPr>
          <w:rFonts w:ascii="Times New Roman" w:hAnsi="Times New Roman" w:cs="Times New Roman"/>
          <w:sz w:val="24"/>
          <w:szCs w:val="24"/>
        </w:rPr>
        <w:t>descending order of</w:t>
      </w:r>
      <w:r w:rsidR="00BE2B07">
        <w:rPr>
          <w:rFonts w:ascii="Times New Roman" w:hAnsi="Times New Roman" w:cs="Times New Roman"/>
          <w:sz w:val="24"/>
          <w:szCs w:val="24"/>
        </w:rPr>
        <w:t xml:space="preserve"> SR</w:t>
      </w:r>
      <w:r w:rsidR="00536D9B">
        <w:rPr>
          <w:rFonts w:ascii="Times New Roman" w:hAnsi="Times New Roman" w:cs="Times New Roman"/>
          <w:sz w:val="24"/>
          <w:szCs w:val="24"/>
        </w:rPr>
        <w:t xml:space="preserve"> in Exhibit 4</w:t>
      </w:r>
      <w:r w:rsidR="00BF2121">
        <w:rPr>
          <w:rFonts w:ascii="Times New Roman" w:hAnsi="Times New Roman" w:cs="Times New Roman"/>
          <w:sz w:val="24"/>
          <w:szCs w:val="24"/>
        </w:rPr>
        <w:t xml:space="preserve">. In this example, </w:t>
      </w:r>
      <w:r w:rsidR="00966F52">
        <w:rPr>
          <w:rFonts w:ascii="Times New Roman" w:hAnsi="Times New Roman" w:cs="Times New Roman"/>
          <w:sz w:val="24"/>
          <w:szCs w:val="24"/>
        </w:rPr>
        <w:t>Georgia Teachers</w:t>
      </w:r>
      <w:r w:rsidR="00525CE3">
        <w:rPr>
          <w:rFonts w:ascii="Times New Roman" w:hAnsi="Times New Roman" w:cs="Times New Roman"/>
          <w:sz w:val="24"/>
          <w:szCs w:val="24"/>
        </w:rPr>
        <w:t xml:space="preserve"> has</w:t>
      </w:r>
      <w:r w:rsidR="00CE616E">
        <w:rPr>
          <w:rFonts w:ascii="Times New Roman" w:hAnsi="Times New Roman" w:cs="Times New Roman"/>
          <w:sz w:val="24"/>
          <w:szCs w:val="24"/>
        </w:rPr>
        <w:t xml:space="preserve"> the</w:t>
      </w:r>
      <w:r w:rsidR="00525CE3">
        <w:rPr>
          <w:rFonts w:ascii="Times New Roman" w:hAnsi="Times New Roman" w:cs="Times New Roman"/>
          <w:sz w:val="24"/>
          <w:szCs w:val="24"/>
        </w:rPr>
        <w:t xml:space="preserve"> </w:t>
      </w:r>
      <w:r w:rsidR="006653CE">
        <w:rPr>
          <w:rFonts w:ascii="Times New Roman" w:hAnsi="Times New Roman" w:cs="Times New Roman"/>
          <w:sz w:val="24"/>
          <w:szCs w:val="24"/>
        </w:rPr>
        <w:t>greatest</w:t>
      </w:r>
      <w:r w:rsidR="00525CE3">
        <w:rPr>
          <w:rFonts w:ascii="Times New Roman" w:hAnsi="Times New Roman" w:cs="Times New Roman"/>
          <w:sz w:val="24"/>
          <w:szCs w:val="24"/>
        </w:rPr>
        <w:t xml:space="preserve"> risk-adjusted return</w:t>
      </w:r>
      <w:r w:rsidR="007865C7">
        <w:rPr>
          <w:rFonts w:ascii="Times New Roman" w:hAnsi="Times New Roman" w:cs="Times New Roman"/>
          <w:sz w:val="24"/>
          <w:szCs w:val="24"/>
        </w:rPr>
        <w:t xml:space="preserve"> (SR)</w:t>
      </w:r>
      <w:r w:rsidR="000A4497">
        <w:rPr>
          <w:rFonts w:ascii="Times New Roman" w:hAnsi="Times New Roman" w:cs="Times New Roman"/>
          <w:sz w:val="24"/>
          <w:szCs w:val="24"/>
        </w:rPr>
        <w:t xml:space="preserve"> at 0.79</w:t>
      </w:r>
      <w:r w:rsidR="003C3AD1">
        <w:rPr>
          <w:rFonts w:ascii="Times New Roman" w:hAnsi="Times New Roman" w:cs="Times New Roman"/>
          <w:sz w:val="24"/>
          <w:szCs w:val="24"/>
        </w:rPr>
        <w:t>6</w:t>
      </w:r>
      <w:r w:rsidR="00CC315A">
        <w:rPr>
          <w:rFonts w:ascii="Times New Roman" w:hAnsi="Times New Roman" w:cs="Times New Roman"/>
          <w:sz w:val="24"/>
          <w:szCs w:val="24"/>
        </w:rPr>
        <w:t>,</w:t>
      </w:r>
      <w:r w:rsidR="00525CE3">
        <w:rPr>
          <w:rFonts w:ascii="Times New Roman" w:hAnsi="Times New Roman" w:cs="Times New Roman"/>
          <w:sz w:val="24"/>
          <w:szCs w:val="24"/>
        </w:rPr>
        <w:t xml:space="preserve"> and </w:t>
      </w:r>
      <w:r w:rsidR="004C08CF">
        <w:rPr>
          <w:rFonts w:ascii="Times New Roman" w:hAnsi="Times New Roman" w:cs="Times New Roman"/>
          <w:sz w:val="24"/>
          <w:szCs w:val="24"/>
        </w:rPr>
        <w:t>Louisiana Police</w:t>
      </w:r>
      <w:r w:rsidR="007865C7">
        <w:rPr>
          <w:rFonts w:ascii="Times New Roman" w:hAnsi="Times New Roman" w:cs="Times New Roman"/>
          <w:sz w:val="24"/>
          <w:szCs w:val="24"/>
        </w:rPr>
        <w:t xml:space="preserve"> has the </w:t>
      </w:r>
      <w:r w:rsidR="006653CE">
        <w:rPr>
          <w:rFonts w:ascii="Times New Roman" w:hAnsi="Times New Roman" w:cs="Times New Roman"/>
          <w:sz w:val="24"/>
          <w:szCs w:val="24"/>
        </w:rPr>
        <w:t>lowest</w:t>
      </w:r>
      <w:r w:rsidR="00B43683">
        <w:rPr>
          <w:rFonts w:ascii="Times New Roman" w:hAnsi="Times New Roman" w:cs="Times New Roman"/>
          <w:sz w:val="24"/>
          <w:szCs w:val="24"/>
        </w:rPr>
        <w:t xml:space="preserve"> at 0.420</w:t>
      </w:r>
      <w:r w:rsidR="009F0274">
        <w:rPr>
          <w:rFonts w:ascii="Times New Roman" w:hAnsi="Times New Roman" w:cs="Times New Roman"/>
          <w:sz w:val="24"/>
          <w:szCs w:val="24"/>
        </w:rPr>
        <w:t xml:space="preserve">. This means that the former </w:t>
      </w:r>
      <w:r w:rsidR="008C3342">
        <w:rPr>
          <w:rFonts w:ascii="Times New Roman" w:hAnsi="Times New Roman" w:cs="Times New Roman"/>
          <w:sz w:val="24"/>
          <w:szCs w:val="24"/>
        </w:rPr>
        <w:t>earned</w:t>
      </w:r>
      <w:r w:rsidR="009F0274">
        <w:rPr>
          <w:rFonts w:ascii="Times New Roman" w:hAnsi="Times New Roman" w:cs="Times New Roman"/>
          <w:sz w:val="24"/>
          <w:szCs w:val="24"/>
        </w:rPr>
        <w:t xml:space="preserve"> near </w:t>
      </w:r>
      <w:r w:rsidR="00B82B86">
        <w:rPr>
          <w:rFonts w:ascii="Times New Roman" w:hAnsi="Times New Roman" w:cs="Times New Roman"/>
          <w:sz w:val="24"/>
          <w:szCs w:val="24"/>
        </w:rPr>
        <w:t>twice</w:t>
      </w:r>
      <w:r w:rsidR="009F0274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C16FC7">
        <w:rPr>
          <w:rFonts w:ascii="Times New Roman" w:hAnsi="Times New Roman" w:cs="Times New Roman"/>
          <w:sz w:val="24"/>
          <w:szCs w:val="24"/>
        </w:rPr>
        <w:t xml:space="preserve"> excess return per unit of risk as the</w:t>
      </w:r>
      <w:r w:rsidR="00226FB3">
        <w:rPr>
          <w:rFonts w:ascii="Times New Roman" w:hAnsi="Times New Roman" w:cs="Times New Roman"/>
          <w:sz w:val="24"/>
          <w:szCs w:val="24"/>
        </w:rPr>
        <w:t xml:space="preserve"> latter</w:t>
      </w:r>
      <w:r w:rsidR="00E766B8">
        <w:rPr>
          <w:rFonts w:ascii="Times New Roman" w:hAnsi="Times New Roman" w:cs="Times New Roman"/>
          <w:sz w:val="24"/>
          <w:szCs w:val="24"/>
        </w:rPr>
        <w:t xml:space="preserve">, a </w:t>
      </w:r>
      <w:r w:rsidR="00AE74CA">
        <w:rPr>
          <w:rFonts w:ascii="Times New Roman" w:hAnsi="Times New Roman" w:cs="Times New Roman"/>
          <w:sz w:val="24"/>
          <w:szCs w:val="24"/>
        </w:rPr>
        <w:t>very large</w:t>
      </w:r>
      <w:r w:rsidR="00E766B8">
        <w:rPr>
          <w:rFonts w:ascii="Times New Roman" w:hAnsi="Times New Roman" w:cs="Times New Roman"/>
          <w:sz w:val="24"/>
          <w:szCs w:val="24"/>
        </w:rPr>
        <w:t xml:space="preserve"> margin in economic terms</w:t>
      </w:r>
      <w:r w:rsidR="00C16FC7">
        <w:rPr>
          <w:rFonts w:ascii="Times New Roman" w:hAnsi="Times New Roman" w:cs="Times New Roman"/>
          <w:sz w:val="24"/>
          <w:szCs w:val="24"/>
        </w:rPr>
        <w:t>. The median S</w:t>
      </w:r>
      <w:r w:rsidR="00E94598">
        <w:rPr>
          <w:rFonts w:ascii="Times New Roman" w:hAnsi="Times New Roman" w:cs="Times New Roman"/>
          <w:sz w:val="24"/>
          <w:szCs w:val="24"/>
        </w:rPr>
        <w:t>R is 0</w:t>
      </w:r>
      <w:r w:rsidR="009D0308">
        <w:rPr>
          <w:rFonts w:ascii="Times New Roman" w:hAnsi="Times New Roman" w:cs="Times New Roman"/>
          <w:sz w:val="24"/>
          <w:szCs w:val="24"/>
        </w:rPr>
        <w:t>.601</w:t>
      </w:r>
      <w:r w:rsidR="00DD4F88">
        <w:rPr>
          <w:rFonts w:ascii="Times New Roman" w:hAnsi="Times New Roman" w:cs="Times New Roman"/>
          <w:sz w:val="24"/>
          <w:szCs w:val="24"/>
        </w:rPr>
        <w:t>.</w:t>
      </w:r>
      <w:r w:rsidR="000830E3">
        <w:rPr>
          <w:rFonts w:ascii="Times New Roman" w:hAnsi="Times New Roman" w:cs="Times New Roman"/>
          <w:sz w:val="24"/>
          <w:szCs w:val="24"/>
        </w:rPr>
        <w:t xml:space="preserve"> </w:t>
      </w:r>
      <w:r w:rsidR="007B3F4C">
        <w:rPr>
          <w:rFonts w:ascii="Times New Roman" w:hAnsi="Times New Roman" w:cs="Times New Roman"/>
          <w:sz w:val="24"/>
          <w:szCs w:val="24"/>
        </w:rPr>
        <w:t>Using the proposed framework</w:t>
      </w:r>
      <w:r w:rsidR="00D3549C">
        <w:rPr>
          <w:rFonts w:ascii="Times New Roman" w:hAnsi="Times New Roman" w:cs="Times New Roman"/>
          <w:sz w:val="24"/>
          <w:szCs w:val="24"/>
        </w:rPr>
        <w:t>, one</w:t>
      </w:r>
      <w:r w:rsidR="00402AC0">
        <w:rPr>
          <w:rFonts w:ascii="Times New Roman" w:hAnsi="Times New Roman" w:cs="Times New Roman"/>
          <w:sz w:val="24"/>
          <w:szCs w:val="24"/>
        </w:rPr>
        <w:t xml:space="preserve"> can</w:t>
      </w:r>
      <w:r w:rsidR="000830E3">
        <w:rPr>
          <w:rFonts w:ascii="Times New Roman" w:hAnsi="Times New Roman" w:cs="Times New Roman"/>
          <w:sz w:val="24"/>
          <w:szCs w:val="24"/>
        </w:rPr>
        <w:t xml:space="preserve"> identify top-quartile performers</w:t>
      </w:r>
      <w:r w:rsidR="002E26F3">
        <w:rPr>
          <w:rFonts w:ascii="Times New Roman" w:hAnsi="Times New Roman" w:cs="Times New Roman"/>
          <w:sz w:val="24"/>
          <w:szCs w:val="24"/>
        </w:rPr>
        <w:t xml:space="preserve"> and the percentile rank of any particular fund. It is also possible</w:t>
      </w:r>
      <w:r w:rsidR="00C379D5">
        <w:rPr>
          <w:rFonts w:ascii="Times New Roman" w:hAnsi="Times New Roman" w:cs="Times New Roman"/>
          <w:sz w:val="24"/>
          <w:szCs w:val="24"/>
        </w:rPr>
        <w:t xml:space="preserve"> </w:t>
      </w:r>
      <w:r w:rsidR="002E26F3">
        <w:rPr>
          <w:rFonts w:ascii="Times New Roman" w:hAnsi="Times New Roman" w:cs="Times New Roman"/>
          <w:sz w:val="24"/>
          <w:szCs w:val="24"/>
        </w:rPr>
        <w:t>to</w:t>
      </w:r>
      <w:r w:rsidR="006F625C">
        <w:rPr>
          <w:rFonts w:ascii="Times New Roman" w:hAnsi="Times New Roman" w:cs="Times New Roman"/>
          <w:sz w:val="24"/>
          <w:szCs w:val="24"/>
        </w:rPr>
        <w:t xml:space="preserve"> </w:t>
      </w:r>
      <w:r w:rsidR="00D3549C">
        <w:rPr>
          <w:rFonts w:ascii="Times New Roman" w:hAnsi="Times New Roman" w:cs="Times New Roman"/>
          <w:sz w:val="24"/>
          <w:szCs w:val="24"/>
        </w:rPr>
        <w:t>calculate</w:t>
      </w:r>
      <w:r w:rsidR="00834174">
        <w:rPr>
          <w:rFonts w:ascii="Times New Roman" w:hAnsi="Times New Roman" w:cs="Times New Roman"/>
          <w:sz w:val="24"/>
          <w:szCs w:val="24"/>
        </w:rPr>
        <w:t xml:space="preserve"> what I refer to as the</w:t>
      </w:r>
      <w:r w:rsidR="006F625C">
        <w:rPr>
          <w:rFonts w:ascii="Times New Roman" w:hAnsi="Times New Roman" w:cs="Times New Roman"/>
          <w:sz w:val="24"/>
          <w:szCs w:val="24"/>
        </w:rPr>
        <w:t xml:space="preserve"> the</w:t>
      </w:r>
      <w:r w:rsidR="00EF3338">
        <w:rPr>
          <w:rFonts w:ascii="Times New Roman" w:hAnsi="Times New Roman" w:cs="Times New Roman"/>
          <w:sz w:val="24"/>
          <w:szCs w:val="24"/>
        </w:rPr>
        <w:t xml:space="preserve"> </w:t>
      </w:r>
      <w:r w:rsidR="003B1454">
        <w:rPr>
          <w:rFonts w:ascii="Times New Roman" w:hAnsi="Times New Roman" w:cs="Times New Roman"/>
          <w:i/>
          <w:iCs/>
          <w:sz w:val="24"/>
          <w:szCs w:val="24"/>
        </w:rPr>
        <w:t>return premium</w:t>
      </w:r>
      <w:r w:rsidR="003B1454">
        <w:rPr>
          <w:rFonts w:ascii="Times New Roman" w:hAnsi="Times New Roman" w:cs="Times New Roman"/>
          <w:sz w:val="24"/>
          <w:szCs w:val="24"/>
        </w:rPr>
        <w:t xml:space="preserve">, which is the </w:t>
      </w:r>
      <w:r w:rsidR="006F625C">
        <w:rPr>
          <w:rFonts w:ascii="Times New Roman" w:hAnsi="Times New Roman" w:cs="Times New Roman"/>
          <w:sz w:val="24"/>
          <w:szCs w:val="24"/>
        </w:rPr>
        <w:t xml:space="preserve"> margin of return by which individual funds</w:t>
      </w:r>
      <w:r w:rsidR="00C93AB8">
        <w:rPr>
          <w:rFonts w:ascii="Times New Roman" w:hAnsi="Times New Roman" w:cs="Times New Roman"/>
          <w:sz w:val="24"/>
          <w:szCs w:val="24"/>
        </w:rPr>
        <w:t xml:space="preserve"> exceed</w:t>
      </w:r>
      <w:r w:rsidR="00AD02CB">
        <w:rPr>
          <w:rFonts w:ascii="Times New Roman" w:hAnsi="Times New Roman" w:cs="Times New Roman"/>
          <w:sz w:val="24"/>
          <w:szCs w:val="24"/>
        </w:rPr>
        <w:t xml:space="preserve"> (fall short of)</w:t>
      </w:r>
      <w:r w:rsidR="00C93AB8">
        <w:rPr>
          <w:rFonts w:ascii="Times New Roman" w:hAnsi="Times New Roman" w:cs="Times New Roman"/>
          <w:sz w:val="24"/>
          <w:szCs w:val="24"/>
        </w:rPr>
        <w:t xml:space="preserve"> the return</w:t>
      </w:r>
      <w:r w:rsidR="00D20E07">
        <w:rPr>
          <w:rFonts w:ascii="Times New Roman" w:hAnsi="Times New Roman" w:cs="Times New Roman"/>
          <w:sz w:val="24"/>
          <w:szCs w:val="24"/>
        </w:rPr>
        <w:t xml:space="preserve"> required for SR parity with the median fund.</w:t>
      </w:r>
      <w:r w:rsidR="00942287">
        <w:rPr>
          <w:rFonts w:ascii="Times New Roman" w:hAnsi="Times New Roman" w:cs="Times New Roman"/>
          <w:sz w:val="24"/>
          <w:szCs w:val="24"/>
        </w:rPr>
        <w:t xml:space="preserve"> </w:t>
      </w:r>
      <w:r w:rsidR="00F5678E">
        <w:rPr>
          <w:rFonts w:ascii="Times New Roman" w:hAnsi="Times New Roman" w:cs="Times New Roman"/>
          <w:sz w:val="24"/>
          <w:szCs w:val="24"/>
        </w:rPr>
        <w:t>By this means</w:t>
      </w:r>
      <w:r w:rsidR="009B4312">
        <w:rPr>
          <w:rFonts w:ascii="Times New Roman" w:hAnsi="Times New Roman" w:cs="Times New Roman"/>
          <w:sz w:val="24"/>
          <w:szCs w:val="24"/>
        </w:rPr>
        <w:t xml:space="preserve">, </w:t>
      </w:r>
      <w:r w:rsidR="00A71628">
        <w:rPr>
          <w:rFonts w:ascii="Times New Roman" w:hAnsi="Times New Roman" w:cs="Times New Roman"/>
          <w:sz w:val="24"/>
          <w:szCs w:val="24"/>
        </w:rPr>
        <w:t>for example,</w:t>
      </w:r>
      <w:r w:rsidR="0037370B">
        <w:rPr>
          <w:rFonts w:ascii="Times New Roman" w:hAnsi="Times New Roman" w:cs="Times New Roman"/>
          <w:sz w:val="24"/>
          <w:szCs w:val="24"/>
        </w:rPr>
        <w:t xml:space="preserve"> </w:t>
      </w:r>
      <w:r w:rsidR="00903982">
        <w:rPr>
          <w:rFonts w:ascii="Times New Roman" w:hAnsi="Times New Roman" w:cs="Times New Roman"/>
          <w:sz w:val="24"/>
          <w:szCs w:val="24"/>
        </w:rPr>
        <w:t>Idaho</w:t>
      </w:r>
      <w:r w:rsidR="009B4312">
        <w:rPr>
          <w:rFonts w:ascii="Times New Roman" w:hAnsi="Times New Roman" w:cs="Times New Roman"/>
          <w:sz w:val="24"/>
          <w:szCs w:val="24"/>
        </w:rPr>
        <w:t xml:space="preserve"> c</w:t>
      </w:r>
      <w:r w:rsidR="00D623F4">
        <w:rPr>
          <w:rFonts w:ascii="Times New Roman" w:hAnsi="Times New Roman" w:cs="Times New Roman"/>
          <w:sz w:val="24"/>
          <w:szCs w:val="24"/>
        </w:rPr>
        <w:t>an</w:t>
      </w:r>
      <w:r w:rsidR="009B4312">
        <w:rPr>
          <w:rFonts w:ascii="Times New Roman" w:hAnsi="Times New Roman" w:cs="Times New Roman"/>
          <w:sz w:val="24"/>
          <w:szCs w:val="24"/>
        </w:rPr>
        <w:t xml:space="preserve"> say that it</w:t>
      </w:r>
      <w:r w:rsidR="0037370B">
        <w:rPr>
          <w:rFonts w:ascii="Times New Roman" w:hAnsi="Times New Roman" w:cs="Times New Roman"/>
          <w:sz w:val="24"/>
          <w:szCs w:val="24"/>
        </w:rPr>
        <w:t xml:space="preserve"> outperformed the median fund by </w:t>
      </w:r>
      <w:r w:rsidR="00125C14">
        <w:rPr>
          <w:rFonts w:ascii="Times New Roman" w:hAnsi="Times New Roman" w:cs="Times New Roman"/>
          <w:sz w:val="24"/>
          <w:szCs w:val="24"/>
        </w:rPr>
        <w:t>1.</w:t>
      </w:r>
      <w:r w:rsidR="005A5149">
        <w:rPr>
          <w:rFonts w:ascii="Times New Roman" w:hAnsi="Times New Roman" w:cs="Times New Roman"/>
          <w:sz w:val="24"/>
          <w:szCs w:val="24"/>
        </w:rPr>
        <w:t>1</w:t>
      </w:r>
      <w:r w:rsidR="00125C14">
        <w:rPr>
          <w:rFonts w:ascii="Times New Roman" w:hAnsi="Times New Roman" w:cs="Times New Roman"/>
          <w:sz w:val="24"/>
          <w:szCs w:val="24"/>
        </w:rPr>
        <w:t xml:space="preserve">% </w:t>
      </w:r>
      <w:r w:rsidR="00C624DA">
        <w:rPr>
          <w:rFonts w:ascii="Times New Roman" w:hAnsi="Times New Roman" w:cs="Times New Roman"/>
          <w:sz w:val="24"/>
          <w:szCs w:val="24"/>
        </w:rPr>
        <w:t xml:space="preserve"> per year </w:t>
      </w:r>
      <w:r w:rsidR="00731A10">
        <w:rPr>
          <w:rFonts w:ascii="Times New Roman" w:hAnsi="Times New Roman" w:cs="Times New Roman"/>
          <w:sz w:val="24"/>
          <w:szCs w:val="24"/>
        </w:rPr>
        <w:t xml:space="preserve">in risk-adjusted terms </w:t>
      </w:r>
      <w:r w:rsidR="00C624DA">
        <w:rPr>
          <w:rFonts w:ascii="Times New Roman" w:hAnsi="Times New Roman" w:cs="Times New Roman"/>
          <w:sz w:val="24"/>
          <w:szCs w:val="24"/>
        </w:rPr>
        <w:t>over the period covered.</w:t>
      </w:r>
      <w:r w:rsidR="00AD0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065AE" w14:textId="77777777" w:rsidR="00C36054" w:rsidRDefault="00C36054" w:rsidP="00113540">
      <w:pPr>
        <w:rPr>
          <w:rFonts w:ascii="Times New Roman" w:hAnsi="Times New Roman" w:cs="Times New Roman"/>
          <w:sz w:val="24"/>
          <w:szCs w:val="24"/>
        </w:rPr>
      </w:pPr>
    </w:p>
    <w:p w14:paraId="66A4F780" w14:textId="5F5AFDB6" w:rsidR="00A57E7C" w:rsidRDefault="00A57E7C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4</w:t>
      </w:r>
    </w:p>
    <w:p w14:paraId="31064701" w14:textId="4EC1A283" w:rsidR="00C36054" w:rsidRDefault="00C36054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Risk-Adjusted Performance </w:t>
      </w:r>
    </w:p>
    <w:p w14:paraId="27BB3CF9" w14:textId="23241E90" w:rsidR="00EF5141" w:rsidRPr="00785163" w:rsidRDefault="00C36054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 Years Ending June 30, 2021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2700"/>
        <w:gridCol w:w="1170"/>
        <w:gridCol w:w="1195"/>
        <w:gridCol w:w="1195"/>
        <w:gridCol w:w="3010"/>
      </w:tblGrid>
      <w:tr w:rsidR="00EF5141" w:rsidRPr="00EF5141" w14:paraId="0B031D3E" w14:textId="77777777" w:rsidTr="003D349A">
        <w:trPr>
          <w:trHeight w:val="1380"/>
        </w:trPr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164BEA8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52EE1B8E" w14:textId="77777777" w:rsidR="002116F2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Sharpe </w:t>
            </w:r>
          </w:p>
          <w:p w14:paraId="796FE04D" w14:textId="78DD0AA4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1529E840" w14:textId="77777777" w:rsidR="00E53AD5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Annualized </w:t>
            </w:r>
          </w:p>
          <w:p w14:paraId="469AB21E" w14:textId="77777777" w:rsidR="00E53AD5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  <w:p w14:paraId="53FCE5D4" w14:textId="2E09BCBF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7917BF4A" w14:textId="77777777" w:rsidR="00E53AD5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Annualized </w:t>
            </w:r>
          </w:p>
          <w:p w14:paraId="24132208" w14:textId="77777777" w:rsidR="00E53AD5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Standard </w:t>
            </w:r>
          </w:p>
          <w:p w14:paraId="2809D999" w14:textId="1F128208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1CED856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Return </w:t>
            </w:r>
          </w:p>
          <w:p w14:paraId="5F24349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Premium </w:t>
            </w:r>
          </w:p>
        </w:tc>
      </w:tr>
      <w:tr w:rsidR="00EF5141" w:rsidRPr="00EF5141" w14:paraId="5999B06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57B7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Georgia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E309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AD8B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89F6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6F6E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2.0%</w:t>
            </w:r>
          </w:p>
        </w:tc>
      </w:tr>
      <w:tr w:rsidR="00EF5141" w:rsidRPr="00EF5141" w14:paraId="1FAB8BF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19F75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F3A3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A6EB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5FE3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5F2A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EF5141" w:rsidRPr="00EF5141" w14:paraId="38DE7DC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5A0F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Iowa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88A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FABA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A239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3B7C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</w:tr>
      <w:tr w:rsidR="00EF5141" w:rsidRPr="00EF5141" w14:paraId="3814700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AFF99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Oklahoma Fire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C6A0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D238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9C63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61EB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</w:t>
            </w:r>
          </w:p>
        </w:tc>
      </w:tr>
      <w:tr w:rsidR="00EF5141" w:rsidRPr="00EF5141" w14:paraId="40429468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A7C76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Jersey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56C0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DDBA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06C5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9E56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EF5141" w:rsidRPr="00EF5141" w14:paraId="5D3A8EAB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43A8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 Angeles DWP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5A08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C85A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0485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4D27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EF5141" w:rsidRPr="00EF5141" w14:paraId="38341FAD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030D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Minnesota SBI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F094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3490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5446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EA38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 w:rsidR="00EF5141" w:rsidRPr="00EF5141" w14:paraId="5DBA09F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FFB1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Idaho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FEFD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06F6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DD4A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3BA2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EF5141" w:rsidRPr="00EF5141" w14:paraId="035D648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D3CB8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Oklahoma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F3F9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D75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04F3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BE1A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 w:rsidR="00EF5141" w:rsidRPr="00EF5141" w14:paraId="271E1C7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5FE69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Missouri PEERS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DCF8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FF9A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AA7E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77CD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EF5141" w:rsidRPr="00EF5141" w14:paraId="47136192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74744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Arizona SRS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5D87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E222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FF7C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0373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EF5141" w:rsidRPr="00EF5141" w14:paraId="1A11E6E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EC30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Mexico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BD89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0C29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5FB5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8F6D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EF5141" w:rsidRPr="00EF5141" w14:paraId="580DBC6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3F520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Mexico Educational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F91D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B787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5B6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34C2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EF5141" w:rsidRPr="00EF5141" w14:paraId="65F0EA0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095E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Hampshire 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38F6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0CC5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B02D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99E0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</w:tr>
      <w:tr w:rsidR="00EF5141" w:rsidRPr="00EF5141" w14:paraId="3B41DB2B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F0D2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Florida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929C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4742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8291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C9DE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EF5141" w:rsidRPr="00EF5141" w14:paraId="719665D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1C1F5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Ohio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ABCD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AEF4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A3D9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A095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EF5141" w:rsidRPr="00EF5141" w14:paraId="7817D86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DCB4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Montana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FBA16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AF07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8B49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5D6A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EF5141" w:rsidRPr="00EF5141" w14:paraId="1EDF1168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588D6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 Angeles County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F626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F733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3143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B4DA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EF5141" w:rsidRPr="00EF5141" w14:paraId="069E2973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816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0E06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CC27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DA8F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82C7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EF5141" w:rsidRPr="00EF5141" w14:paraId="24056BC2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8C2F1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Washington 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B912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CA43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5A9F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B25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EF5141" w:rsidRPr="00EF5141" w14:paraId="34EA82A7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3C05F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 Diego City 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806F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0986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4BE9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00EF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EF5141" w:rsidRPr="00EF5141" w14:paraId="145E48BD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31C9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Hawaii 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D3B4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7EBE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115D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ECF2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EF5141" w:rsidRPr="00EF5141" w14:paraId="580C5B1F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94345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Connecticut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661E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7428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FE11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B74C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EF5141" w:rsidRPr="00EF5141" w14:paraId="731C5A1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0AA1F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Kentucky County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B5CC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2046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F7DF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F6BE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EF5141" w:rsidRPr="00EF5141" w14:paraId="50F0CF23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8C28E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7CD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EAB0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44B1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09A0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EF5141" w:rsidRPr="00EF5141" w14:paraId="1B39A70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74316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Illinois Universities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586D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3F7B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33E7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0EE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EF5141" w:rsidRPr="00EF5141" w14:paraId="639A440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9F7AA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EDDB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DA99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F474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EC86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EF5141" w:rsidRPr="00EF5141" w14:paraId="25DFB27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06DA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Oklahoma Police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B607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12D1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BC67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9877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EF5141" w:rsidRPr="00EF5141" w14:paraId="26D5D3D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E0980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Arkansas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F228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D7E1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C519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3D2A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EF5141" w:rsidRPr="00EF5141" w14:paraId="5B7AE61B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42CEA9E" w14:textId="06113705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Rhode Island</w:t>
            </w:r>
            <w:r w:rsidR="00CB6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D34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(Median SR</w:t>
            </w:r>
            <w:r w:rsidR="00AC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A31B7D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6066AA7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5DA67EB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5757B9A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EF5141" w:rsidRPr="00EF5141" w14:paraId="126C6FF4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A85DC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Ohio School Employees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DF98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B6BA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D4F1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0F1E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EF5141" w:rsidRPr="00EF5141" w14:paraId="46256C7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98FD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Alaska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D085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5B0B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8744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0C86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6200359E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DEE0A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Illinois SERS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1B7F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A8F3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5E63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D714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238E128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5D36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Texas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BEA9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26F7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B7B0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AAD7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72BF5258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9FD4B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Connecticut Employees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6F2D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E548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EA58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FF82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06B408F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6EF15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Louisiana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ECED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31D7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E8A5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E0E3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52DEE143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8629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Vermont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B0E8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A0CF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F4B9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4027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</w:tr>
      <w:tr w:rsidR="00EF5141" w:rsidRPr="00EF5141" w14:paraId="6F25948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4A3A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California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70F1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BB66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0A83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12A6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EF5141" w:rsidRPr="00EF5141" w14:paraId="3107133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EEAD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Virginia Ret. System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3E2C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0516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0879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F2A5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EF5141" w:rsidRPr="00EF5141" w14:paraId="252CD52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8B16A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B358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260C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7843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713B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EF5141" w:rsidRPr="00EF5141" w14:paraId="41CE1C0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A52D9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9173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C5E4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A177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3479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EF5141" w:rsidRPr="00EF5141" w14:paraId="6E0120BF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6573E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Maryland State Ret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DB46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F775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211D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3E2D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</w:tr>
      <w:tr w:rsidR="00EF5141" w:rsidRPr="00EF5141" w14:paraId="5F6B4C15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241C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Arizona Pub Safety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1B1C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DF44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0876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85FA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</w:tr>
      <w:tr w:rsidR="00EF5141" w:rsidRPr="00EF5141" w14:paraId="14343F61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2B279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 STRS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5949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1328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C333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C9F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</w:t>
            </w:r>
          </w:p>
        </w:tc>
      </w:tr>
      <w:tr w:rsidR="00EF5141" w:rsidRPr="00EF5141" w14:paraId="60EFCBE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02662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Sacramento County 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D55A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B5ED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1B45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173B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</w:t>
            </w:r>
          </w:p>
        </w:tc>
      </w:tr>
      <w:tr w:rsidR="00EF5141" w:rsidRPr="00EF5141" w14:paraId="0C9AB26B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D3F44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Phoenix 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10D4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8885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30FC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20D0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</w:t>
            </w:r>
          </w:p>
        </w:tc>
      </w:tr>
      <w:tr w:rsidR="00EF5141" w:rsidRPr="00EF5141" w14:paraId="0CECE00D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B636D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21B0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47C0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68B6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FDCF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</w:tc>
      </w:tr>
      <w:tr w:rsidR="00EF5141" w:rsidRPr="00EF5141" w14:paraId="4E281C48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C1C69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Illinois Teachers Ret Sys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AEDD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3B69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1668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6F31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</w:tr>
      <w:tr w:rsidR="00EF5141" w:rsidRPr="00EF5141" w14:paraId="1B51736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1E41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Louisiana SERS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798A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7F9F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C39A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D018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</w:t>
            </w:r>
          </w:p>
        </w:tc>
      </w:tr>
      <w:tr w:rsidR="00EF5141" w:rsidRPr="00EF5141" w14:paraId="6B379A2F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56048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B7B8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ECDE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EB57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3A0A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</w:tr>
      <w:tr w:rsidR="00EF5141" w:rsidRPr="00EF5141" w14:paraId="4E06091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2E3A7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Philadelphia Municipal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44AC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53DE2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3EA8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93EA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</w:t>
            </w:r>
          </w:p>
        </w:tc>
      </w:tr>
      <w:tr w:rsidR="00EF5141" w:rsidRPr="00EF5141" w14:paraId="1D78BD19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80256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Missouri SERS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E798D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A0E09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933C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34DB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</w:t>
            </w:r>
          </w:p>
        </w:tc>
      </w:tr>
      <w:tr w:rsidR="00EF5141" w:rsidRPr="00EF5141" w14:paraId="7B3C8DB6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B1F4E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Kern County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CC82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771A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12788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67E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</w:t>
            </w:r>
          </w:p>
        </w:tc>
      </w:tr>
      <w:tr w:rsidR="00EF5141" w:rsidRPr="00EF5141" w14:paraId="696DB540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570EF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Indiana PERS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A575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6831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0B2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60800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</w:t>
            </w:r>
          </w:p>
        </w:tc>
      </w:tr>
      <w:tr w:rsidR="00EF5141" w:rsidRPr="00EF5141" w14:paraId="681E8C4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F3C81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San Diego County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FC0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25AB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FBA3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864C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</w:t>
            </w:r>
          </w:p>
        </w:tc>
      </w:tr>
      <w:tr w:rsidR="00EF5141" w:rsidRPr="00EF5141" w14:paraId="689B8CFA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8F1F5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Pennsylvania Pub Sch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7469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C72D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F57D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A690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</w:t>
            </w:r>
          </w:p>
        </w:tc>
      </w:tr>
      <w:tr w:rsidR="00EF5141" w:rsidRPr="00EF5141" w14:paraId="187B8053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C3A73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Dakota Teachers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B094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F7E7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2C835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78F91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</w:t>
            </w:r>
          </w:p>
        </w:tc>
      </w:tr>
      <w:tr w:rsidR="00EF5141" w:rsidRPr="00EF5141" w14:paraId="5DCD552D" w14:textId="77777777" w:rsidTr="003D349A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6B10A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Mexico PERA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2B20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3EDB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34A0A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C4344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</w:t>
            </w:r>
          </w:p>
        </w:tc>
      </w:tr>
      <w:tr w:rsidR="00EF5141" w:rsidRPr="00EF5141" w14:paraId="50F9A555" w14:textId="77777777" w:rsidTr="003D349A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499882" w14:textId="4B564A59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Louisiana Muni</w:t>
            </w:r>
            <w:r w:rsidR="000A13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Police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6C820E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609D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750E4C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B2371F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-2.4</w:t>
            </w:r>
          </w:p>
        </w:tc>
      </w:tr>
      <w:tr w:rsidR="00EF5141" w:rsidRPr="00EF5141" w14:paraId="58AC2DE8" w14:textId="77777777" w:rsidTr="003D349A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489E80" w14:textId="77777777" w:rsidR="00EF5141" w:rsidRPr="00EF5141" w:rsidRDefault="00EF5141" w:rsidP="00EF514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Median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4833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0.601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FB31B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7.6%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E6DFD6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11.7%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25E417" w14:textId="77777777" w:rsidR="00EF5141" w:rsidRPr="00EF5141" w:rsidRDefault="00EF5141" w:rsidP="00EF51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F514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0.0%</w:t>
            </w:r>
          </w:p>
        </w:tc>
      </w:tr>
    </w:tbl>
    <w:p w14:paraId="1D68EF7A" w14:textId="77777777" w:rsidR="00EF5141" w:rsidRDefault="00EF5141" w:rsidP="00113540">
      <w:pPr>
        <w:rPr>
          <w:rFonts w:ascii="Times New Roman" w:hAnsi="Times New Roman" w:cs="Times New Roman"/>
          <w:sz w:val="24"/>
          <w:szCs w:val="24"/>
        </w:rPr>
      </w:pPr>
    </w:p>
    <w:p w14:paraId="13013955" w14:textId="739388DA" w:rsidR="0032403C" w:rsidRDefault="0032403C" w:rsidP="00113540">
      <w:pPr>
        <w:rPr>
          <w:rFonts w:ascii="Times New Roman" w:hAnsi="Times New Roman" w:cs="Times New Roman"/>
          <w:sz w:val="24"/>
          <w:szCs w:val="24"/>
        </w:rPr>
      </w:pPr>
    </w:p>
    <w:p w14:paraId="7DF613EB" w14:textId="5C400DC4" w:rsidR="00B90B81" w:rsidRDefault="00B90B81" w:rsidP="00113540">
      <w:pPr>
        <w:rPr>
          <w:rFonts w:ascii="Times New Roman" w:hAnsi="Times New Roman" w:cs="Times New Roman"/>
          <w:sz w:val="24"/>
          <w:szCs w:val="24"/>
        </w:rPr>
      </w:pPr>
      <w:r w:rsidRPr="00942287">
        <w:rPr>
          <w:rFonts w:ascii="Times New Roman" w:hAnsi="Times New Roman" w:cs="Times New Roman"/>
          <w:sz w:val="24"/>
          <w:szCs w:val="24"/>
        </w:rPr>
        <w:t>Exhibit 5 is a graphic depiction of the same results.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7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vertical distance between the risk-return line and each plot point </w:t>
      </w:r>
      <w:r w:rsidR="00396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the return premium for a particular fund. </w:t>
      </w:r>
      <w:r w:rsidR="0027698C">
        <w:rPr>
          <w:rFonts w:ascii="Times New Roman" w:hAnsi="Times New Roman" w:cs="Times New Roman"/>
          <w:sz w:val="24"/>
          <w:szCs w:val="24"/>
        </w:rPr>
        <w:t>Included in Exhibit</w:t>
      </w:r>
      <w:r w:rsidR="009A1C82">
        <w:rPr>
          <w:rFonts w:ascii="Times New Roman" w:hAnsi="Times New Roman" w:cs="Times New Roman"/>
          <w:sz w:val="24"/>
          <w:szCs w:val="24"/>
        </w:rPr>
        <w:t xml:space="preserve"> 5</w:t>
      </w:r>
      <w:r w:rsidR="0027698C">
        <w:rPr>
          <w:rFonts w:ascii="Times New Roman" w:hAnsi="Times New Roman" w:cs="Times New Roman"/>
          <w:sz w:val="24"/>
          <w:szCs w:val="24"/>
        </w:rPr>
        <w:t xml:space="preserve"> is </w:t>
      </w:r>
      <w:r w:rsidR="00D82D4E">
        <w:rPr>
          <w:rFonts w:ascii="Times New Roman" w:hAnsi="Times New Roman" w:cs="Times New Roman"/>
          <w:sz w:val="24"/>
          <w:szCs w:val="24"/>
        </w:rPr>
        <w:t xml:space="preserve">a plot point labeled </w:t>
      </w:r>
      <w:r w:rsidR="00BA592C">
        <w:rPr>
          <w:rFonts w:ascii="Times New Roman" w:hAnsi="Times New Roman" w:cs="Times New Roman"/>
          <w:sz w:val="24"/>
          <w:szCs w:val="24"/>
        </w:rPr>
        <w:t>“</w:t>
      </w:r>
      <w:r w:rsidR="00D82D4E">
        <w:rPr>
          <w:rFonts w:ascii="Times New Roman" w:hAnsi="Times New Roman" w:cs="Times New Roman"/>
          <w:sz w:val="24"/>
          <w:szCs w:val="24"/>
        </w:rPr>
        <w:t>Passive Alternative.</w:t>
      </w:r>
      <w:r w:rsidR="00BA592C">
        <w:rPr>
          <w:rFonts w:ascii="Times New Roman" w:hAnsi="Times New Roman" w:cs="Times New Roman"/>
          <w:sz w:val="24"/>
          <w:szCs w:val="24"/>
        </w:rPr>
        <w:t>”</w:t>
      </w:r>
      <w:r w:rsidR="00986DAB">
        <w:rPr>
          <w:rFonts w:ascii="Times New Roman" w:hAnsi="Times New Roman" w:cs="Times New Roman"/>
          <w:sz w:val="24"/>
          <w:szCs w:val="24"/>
        </w:rPr>
        <w:t xml:space="preserve"> </w:t>
      </w:r>
      <w:r w:rsidR="00636CF0">
        <w:rPr>
          <w:rFonts w:ascii="Times New Roman" w:hAnsi="Times New Roman" w:cs="Times New Roman"/>
          <w:sz w:val="24"/>
          <w:szCs w:val="24"/>
        </w:rPr>
        <w:t>P</w:t>
      </w:r>
      <w:r w:rsidR="00986DAB">
        <w:rPr>
          <w:rFonts w:ascii="Times New Roman" w:hAnsi="Times New Roman" w:cs="Times New Roman"/>
          <w:sz w:val="24"/>
          <w:szCs w:val="24"/>
        </w:rPr>
        <w:t xml:space="preserve">assive </w:t>
      </w:r>
      <w:r w:rsidR="00636CF0">
        <w:rPr>
          <w:rFonts w:ascii="Times New Roman" w:hAnsi="Times New Roman" w:cs="Times New Roman"/>
          <w:sz w:val="24"/>
          <w:szCs w:val="24"/>
        </w:rPr>
        <w:t>A</w:t>
      </w:r>
      <w:r w:rsidR="00986DAB">
        <w:rPr>
          <w:rFonts w:ascii="Times New Roman" w:hAnsi="Times New Roman" w:cs="Times New Roman"/>
          <w:sz w:val="24"/>
          <w:szCs w:val="24"/>
        </w:rPr>
        <w:t>lternative</w:t>
      </w:r>
      <w:r w:rsidR="0066274B">
        <w:rPr>
          <w:rFonts w:ascii="Times New Roman" w:hAnsi="Times New Roman" w:cs="Times New Roman"/>
          <w:sz w:val="24"/>
          <w:szCs w:val="24"/>
        </w:rPr>
        <w:t xml:space="preserve"> is </w:t>
      </w:r>
      <w:r w:rsidR="00576DD4">
        <w:rPr>
          <w:rFonts w:ascii="Times New Roman" w:hAnsi="Times New Roman" w:cs="Times New Roman"/>
          <w:sz w:val="24"/>
          <w:szCs w:val="24"/>
        </w:rPr>
        <w:t>the benchmark described above</w:t>
      </w:r>
      <w:r w:rsidR="00FE5610">
        <w:rPr>
          <w:rFonts w:ascii="Times New Roman" w:hAnsi="Times New Roman" w:cs="Times New Roman"/>
          <w:sz w:val="24"/>
          <w:szCs w:val="24"/>
        </w:rPr>
        <w:t xml:space="preserve">, </w:t>
      </w:r>
      <w:r w:rsidR="0066274B">
        <w:rPr>
          <w:rFonts w:ascii="Times New Roman" w:hAnsi="Times New Roman" w:cs="Times New Roman"/>
          <w:sz w:val="24"/>
          <w:szCs w:val="24"/>
        </w:rPr>
        <w:t xml:space="preserve">with </w:t>
      </w:r>
      <w:r w:rsidR="002556AA">
        <w:rPr>
          <w:rFonts w:ascii="Times New Roman" w:hAnsi="Times New Roman" w:cs="Times New Roman"/>
          <w:sz w:val="24"/>
          <w:szCs w:val="24"/>
        </w:rPr>
        <w:t xml:space="preserve">the same </w:t>
      </w:r>
      <w:r w:rsidR="0066274B">
        <w:rPr>
          <w:rFonts w:ascii="Times New Roman" w:hAnsi="Times New Roman" w:cs="Times New Roman"/>
          <w:sz w:val="24"/>
          <w:szCs w:val="24"/>
        </w:rPr>
        <w:t>market exposures and risk characteristics</w:t>
      </w:r>
      <w:r w:rsidR="002556AA">
        <w:rPr>
          <w:rFonts w:ascii="Times New Roman" w:hAnsi="Times New Roman" w:cs="Times New Roman"/>
          <w:sz w:val="24"/>
          <w:szCs w:val="24"/>
        </w:rPr>
        <w:t xml:space="preserve"> as </w:t>
      </w:r>
      <w:r w:rsidR="001712AC">
        <w:rPr>
          <w:rFonts w:ascii="Times New Roman" w:hAnsi="Times New Roman" w:cs="Times New Roman"/>
          <w:sz w:val="24"/>
          <w:szCs w:val="24"/>
        </w:rPr>
        <w:t>an equal</w:t>
      </w:r>
      <w:r w:rsidR="004B3F88">
        <w:rPr>
          <w:rFonts w:ascii="Times New Roman" w:hAnsi="Times New Roman" w:cs="Times New Roman"/>
          <w:sz w:val="24"/>
          <w:szCs w:val="24"/>
        </w:rPr>
        <w:t>-</w:t>
      </w:r>
      <w:r w:rsidR="001712AC">
        <w:rPr>
          <w:rFonts w:ascii="Times New Roman" w:hAnsi="Times New Roman" w:cs="Times New Roman"/>
          <w:sz w:val="24"/>
          <w:szCs w:val="24"/>
        </w:rPr>
        <w:t>weighted</w:t>
      </w:r>
      <w:r w:rsidR="002556AA">
        <w:rPr>
          <w:rFonts w:ascii="Times New Roman" w:hAnsi="Times New Roman" w:cs="Times New Roman"/>
          <w:sz w:val="24"/>
          <w:szCs w:val="24"/>
        </w:rPr>
        <w:t xml:space="preserve"> composite</w:t>
      </w:r>
      <w:r w:rsidR="001712AC">
        <w:rPr>
          <w:rFonts w:ascii="Times New Roman" w:hAnsi="Times New Roman" w:cs="Times New Roman"/>
          <w:sz w:val="24"/>
          <w:szCs w:val="24"/>
        </w:rPr>
        <w:t xml:space="preserve"> of all 59 funds</w:t>
      </w:r>
      <w:r w:rsidR="002556AA">
        <w:rPr>
          <w:rFonts w:ascii="Times New Roman" w:hAnsi="Times New Roman" w:cs="Times New Roman"/>
          <w:sz w:val="24"/>
          <w:szCs w:val="24"/>
        </w:rPr>
        <w:t>.</w:t>
      </w:r>
    </w:p>
    <w:p w14:paraId="12A9F541" w14:textId="77777777" w:rsidR="0032403C" w:rsidRDefault="0032403C" w:rsidP="00113540">
      <w:pPr>
        <w:rPr>
          <w:rFonts w:ascii="Times New Roman" w:hAnsi="Times New Roman" w:cs="Times New Roman"/>
          <w:sz w:val="24"/>
          <w:szCs w:val="24"/>
        </w:rPr>
      </w:pPr>
    </w:p>
    <w:p w14:paraId="7478CFD5" w14:textId="3A68D32A" w:rsidR="00EF5141" w:rsidRDefault="00AC18B4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5</w:t>
      </w:r>
    </w:p>
    <w:p w14:paraId="76494115" w14:textId="77777777" w:rsidR="0032403C" w:rsidRDefault="0032403C" w:rsidP="007425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Risk-Adjusted Performance </w:t>
      </w:r>
    </w:p>
    <w:p w14:paraId="7352B38B" w14:textId="77777777" w:rsidR="0032403C" w:rsidRPr="00785163" w:rsidRDefault="0032403C" w:rsidP="007425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 Years Ending June 30, 2021</w:t>
      </w:r>
    </w:p>
    <w:p w14:paraId="14BEC99D" w14:textId="77777777" w:rsidR="0032403C" w:rsidRPr="00AC18B4" w:rsidRDefault="0032403C" w:rsidP="0011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BDE3E" w14:textId="39FC57AB" w:rsidR="00EF5141" w:rsidRDefault="00F75DF1" w:rsidP="001135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3" behindDoc="0" locked="0" layoutInCell="1" allowOverlap="1" wp14:anchorId="20BC13B0" wp14:editId="6A4C153C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2982595"/>
            <wp:effectExtent l="0" t="0" r="0" b="1905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9F0AA37-9BF9-E549-8D44-D95091913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273C" w14:textId="77777777" w:rsidR="001D139C" w:rsidRDefault="001D139C" w:rsidP="00113540">
      <w:pPr>
        <w:rPr>
          <w:rFonts w:ascii="Times New Roman" w:hAnsi="Times New Roman" w:cs="Times New Roman"/>
          <w:sz w:val="24"/>
          <w:szCs w:val="24"/>
        </w:rPr>
      </w:pPr>
    </w:p>
    <w:p w14:paraId="14670713" w14:textId="77777777" w:rsidR="00074BA8" w:rsidRDefault="00074BA8" w:rsidP="00E350CA">
      <w:pPr>
        <w:rPr>
          <w:rFonts w:ascii="Times New Roman" w:hAnsi="Times New Roman" w:cs="Times New Roman"/>
          <w:sz w:val="24"/>
          <w:szCs w:val="24"/>
        </w:rPr>
      </w:pPr>
    </w:p>
    <w:p w14:paraId="2C71E21B" w14:textId="64D133C9" w:rsidR="00037DB1" w:rsidRDefault="00641573" w:rsidP="00E35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AE36E7">
        <w:rPr>
          <w:rFonts w:ascii="Times New Roman" w:hAnsi="Times New Roman" w:cs="Times New Roman"/>
          <w:sz w:val="24"/>
          <w:szCs w:val="24"/>
        </w:rPr>
        <w:t>evaluating performance via risk-adjusted re</w:t>
      </w:r>
      <w:r w:rsidR="009B085A">
        <w:rPr>
          <w:rFonts w:ascii="Times New Roman" w:hAnsi="Times New Roman" w:cs="Times New Roman"/>
          <w:sz w:val="24"/>
          <w:szCs w:val="24"/>
        </w:rPr>
        <w:t>turn,</w:t>
      </w:r>
      <w:r w:rsidR="00E77B6C">
        <w:rPr>
          <w:rFonts w:ascii="Times New Roman" w:hAnsi="Times New Roman" w:cs="Times New Roman"/>
          <w:sz w:val="24"/>
          <w:szCs w:val="24"/>
        </w:rPr>
        <w:t xml:space="preserve"> t</w:t>
      </w:r>
      <w:r w:rsidR="001D139C">
        <w:rPr>
          <w:rFonts w:ascii="Times New Roman" w:hAnsi="Times New Roman" w:cs="Times New Roman"/>
          <w:sz w:val="24"/>
          <w:szCs w:val="24"/>
        </w:rPr>
        <w:t>he incentive to excel</w:t>
      </w:r>
      <w:r w:rsidR="001B116A">
        <w:rPr>
          <w:rFonts w:ascii="Times New Roman" w:hAnsi="Times New Roman" w:cs="Times New Roman"/>
          <w:sz w:val="24"/>
          <w:szCs w:val="24"/>
        </w:rPr>
        <w:t xml:space="preserve">—to </w:t>
      </w:r>
      <w:r w:rsidR="001B116A" w:rsidRPr="009B085A">
        <w:rPr>
          <w:rFonts w:ascii="Times New Roman" w:hAnsi="Times New Roman" w:cs="Times New Roman"/>
          <w:i/>
          <w:iCs/>
          <w:sz w:val="24"/>
          <w:szCs w:val="24"/>
        </w:rPr>
        <w:t>compete</w:t>
      </w:r>
      <w:r w:rsidR="001B116A">
        <w:rPr>
          <w:rFonts w:ascii="Times New Roman" w:hAnsi="Times New Roman" w:cs="Times New Roman"/>
          <w:sz w:val="24"/>
          <w:szCs w:val="24"/>
        </w:rPr>
        <w:t>—</w:t>
      </w:r>
      <w:r w:rsidR="001D139C">
        <w:rPr>
          <w:rFonts w:ascii="Times New Roman" w:hAnsi="Times New Roman" w:cs="Times New Roman"/>
          <w:sz w:val="24"/>
          <w:szCs w:val="24"/>
        </w:rPr>
        <w:t>remains</w:t>
      </w:r>
      <w:r w:rsidR="00F07588">
        <w:rPr>
          <w:rFonts w:ascii="Times New Roman" w:hAnsi="Times New Roman" w:cs="Times New Roman"/>
          <w:sz w:val="24"/>
          <w:szCs w:val="24"/>
        </w:rPr>
        <w:t>. B</w:t>
      </w:r>
      <w:r w:rsidR="001D139C">
        <w:rPr>
          <w:rFonts w:ascii="Times New Roman" w:hAnsi="Times New Roman" w:cs="Times New Roman"/>
          <w:sz w:val="24"/>
          <w:szCs w:val="24"/>
        </w:rPr>
        <w:t>ut the</w:t>
      </w:r>
      <w:r w:rsidR="00C67CFA">
        <w:rPr>
          <w:rFonts w:ascii="Times New Roman" w:hAnsi="Times New Roman" w:cs="Times New Roman"/>
          <w:sz w:val="24"/>
          <w:szCs w:val="24"/>
        </w:rPr>
        <w:t xml:space="preserve"> investment management</w:t>
      </w:r>
      <w:r w:rsidR="001D139C">
        <w:rPr>
          <w:rFonts w:ascii="Times New Roman" w:hAnsi="Times New Roman" w:cs="Times New Roman"/>
          <w:sz w:val="24"/>
          <w:szCs w:val="24"/>
        </w:rPr>
        <w:t xml:space="preserve"> </w:t>
      </w:r>
      <w:r w:rsidR="00E77B6C">
        <w:rPr>
          <w:rFonts w:ascii="Times New Roman" w:hAnsi="Times New Roman" w:cs="Times New Roman"/>
          <w:sz w:val="24"/>
          <w:szCs w:val="24"/>
        </w:rPr>
        <w:t xml:space="preserve">emphasis </w:t>
      </w:r>
      <w:r w:rsidR="001D139C">
        <w:rPr>
          <w:rFonts w:ascii="Times New Roman" w:hAnsi="Times New Roman" w:cs="Times New Roman"/>
          <w:sz w:val="24"/>
          <w:szCs w:val="24"/>
        </w:rPr>
        <w:t>shifts</w:t>
      </w:r>
      <w:r w:rsidR="00572A46">
        <w:rPr>
          <w:rFonts w:ascii="Times New Roman" w:hAnsi="Times New Roman" w:cs="Times New Roman"/>
          <w:sz w:val="24"/>
          <w:szCs w:val="24"/>
        </w:rPr>
        <w:t xml:space="preserve"> from </w:t>
      </w:r>
      <w:r w:rsidR="00C21EEC">
        <w:rPr>
          <w:rFonts w:ascii="Times New Roman" w:hAnsi="Times New Roman" w:cs="Times New Roman"/>
          <w:sz w:val="24"/>
          <w:szCs w:val="24"/>
        </w:rPr>
        <w:t xml:space="preserve">trying to </w:t>
      </w:r>
      <w:r w:rsidR="00572A46">
        <w:rPr>
          <w:rFonts w:ascii="Times New Roman" w:hAnsi="Times New Roman" w:cs="Times New Roman"/>
          <w:sz w:val="24"/>
          <w:szCs w:val="24"/>
        </w:rPr>
        <w:t>beat the market</w:t>
      </w:r>
      <w:r w:rsidR="000C704F">
        <w:rPr>
          <w:rFonts w:ascii="Times New Roman" w:hAnsi="Times New Roman" w:cs="Times New Roman"/>
          <w:sz w:val="24"/>
          <w:szCs w:val="24"/>
        </w:rPr>
        <w:t xml:space="preserve"> (the loser’s game)</w:t>
      </w:r>
      <w:r w:rsidR="00572A46">
        <w:rPr>
          <w:rFonts w:ascii="Times New Roman" w:hAnsi="Times New Roman" w:cs="Times New Roman"/>
          <w:sz w:val="24"/>
          <w:szCs w:val="24"/>
        </w:rPr>
        <w:t xml:space="preserve"> </w:t>
      </w:r>
      <w:r w:rsidR="00770A64">
        <w:rPr>
          <w:rFonts w:ascii="Times New Roman" w:hAnsi="Times New Roman" w:cs="Times New Roman"/>
          <w:sz w:val="24"/>
          <w:szCs w:val="24"/>
        </w:rPr>
        <w:t>to</w:t>
      </w:r>
      <w:r w:rsidR="0099787D">
        <w:rPr>
          <w:rFonts w:ascii="Times New Roman" w:hAnsi="Times New Roman" w:cs="Times New Roman"/>
          <w:sz w:val="24"/>
          <w:szCs w:val="24"/>
        </w:rPr>
        <w:t xml:space="preserve"> performing better than peers in te</w:t>
      </w:r>
      <w:r w:rsidR="001A3AB6">
        <w:rPr>
          <w:rFonts w:ascii="Times New Roman" w:hAnsi="Times New Roman" w:cs="Times New Roman"/>
          <w:sz w:val="24"/>
          <w:szCs w:val="24"/>
        </w:rPr>
        <w:t>rms of risk-adjusted return.</w:t>
      </w:r>
      <w:r w:rsidR="00502AB1">
        <w:rPr>
          <w:rFonts w:ascii="Times New Roman" w:hAnsi="Times New Roman" w:cs="Times New Roman"/>
          <w:sz w:val="24"/>
          <w:szCs w:val="24"/>
        </w:rPr>
        <w:t xml:space="preserve"> </w:t>
      </w:r>
      <w:r w:rsidR="00037DB1">
        <w:rPr>
          <w:rFonts w:ascii="Times New Roman" w:hAnsi="Times New Roman" w:cs="Times New Roman"/>
          <w:sz w:val="24"/>
          <w:szCs w:val="24"/>
        </w:rPr>
        <w:t>In summary, the proposed framework:</w:t>
      </w:r>
    </w:p>
    <w:p w14:paraId="1B8E86F6" w14:textId="77777777" w:rsidR="00466B05" w:rsidRDefault="00466B05" w:rsidP="0081488C">
      <w:pPr>
        <w:rPr>
          <w:rFonts w:ascii="Times New Roman" w:hAnsi="Times New Roman" w:cs="Times New Roman"/>
          <w:sz w:val="24"/>
          <w:szCs w:val="24"/>
        </w:rPr>
      </w:pPr>
    </w:p>
    <w:p w14:paraId="1D7C712F" w14:textId="3C48DC35" w:rsidR="00113CE9" w:rsidRDefault="00FF6493" w:rsidP="00FF64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912E2" w:rsidRPr="00FF6493">
        <w:rPr>
          <w:rFonts w:ascii="Times New Roman" w:hAnsi="Times New Roman" w:cs="Times New Roman"/>
          <w:sz w:val="24"/>
          <w:szCs w:val="24"/>
        </w:rPr>
        <w:t xml:space="preserve">oes away with </w:t>
      </w:r>
      <w:r w:rsidR="00A82657">
        <w:rPr>
          <w:rFonts w:ascii="Times New Roman" w:hAnsi="Times New Roman" w:cs="Times New Roman"/>
          <w:sz w:val="24"/>
          <w:szCs w:val="24"/>
        </w:rPr>
        <w:t xml:space="preserve">self-selected, </w:t>
      </w:r>
      <w:r w:rsidR="006912E2" w:rsidRPr="00FF6493">
        <w:rPr>
          <w:rFonts w:ascii="Times New Roman" w:hAnsi="Times New Roman" w:cs="Times New Roman"/>
          <w:sz w:val="24"/>
          <w:szCs w:val="24"/>
        </w:rPr>
        <w:t>opaque benchmark</w:t>
      </w:r>
      <w:r w:rsidR="009A6E5F" w:rsidRPr="00FF6493">
        <w:rPr>
          <w:rFonts w:ascii="Times New Roman" w:hAnsi="Times New Roman" w:cs="Times New Roman"/>
          <w:sz w:val="24"/>
          <w:szCs w:val="24"/>
        </w:rPr>
        <w:t xml:space="preserve">s, which </w:t>
      </w:r>
      <w:r w:rsidR="009E5ECF">
        <w:rPr>
          <w:rFonts w:ascii="Times New Roman" w:hAnsi="Times New Roman" w:cs="Times New Roman"/>
          <w:sz w:val="24"/>
          <w:szCs w:val="24"/>
        </w:rPr>
        <w:t>tend to</w:t>
      </w:r>
      <w:r w:rsidR="00EB0365">
        <w:rPr>
          <w:rFonts w:ascii="Times New Roman" w:hAnsi="Times New Roman" w:cs="Times New Roman"/>
          <w:sz w:val="24"/>
          <w:szCs w:val="24"/>
        </w:rPr>
        <w:t xml:space="preserve"> </w:t>
      </w:r>
      <w:r w:rsidR="009A6E5F" w:rsidRPr="00FF6493">
        <w:rPr>
          <w:rFonts w:ascii="Times New Roman" w:hAnsi="Times New Roman" w:cs="Times New Roman"/>
          <w:sz w:val="24"/>
          <w:szCs w:val="24"/>
        </w:rPr>
        <w:t>produc</w:t>
      </w:r>
      <w:r w:rsidR="00EB0365">
        <w:rPr>
          <w:rFonts w:ascii="Times New Roman" w:hAnsi="Times New Roman" w:cs="Times New Roman"/>
          <w:sz w:val="24"/>
          <w:szCs w:val="24"/>
        </w:rPr>
        <w:t xml:space="preserve">e </w:t>
      </w:r>
      <w:r w:rsidR="004013FE">
        <w:rPr>
          <w:rFonts w:ascii="Times New Roman" w:hAnsi="Times New Roman" w:cs="Times New Roman"/>
          <w:sz w:val="24"/>
          <w:szCs w:val="24"/>
        </w:rPr>
        <w:t>misleading</w:t>
      </w:r>
      <w:r w:rsidR="009A6E5F" w:rsidRPr="00FF6493">
        <w:rPr>
          <w:rFonts w:ascii="Times New Roman" w:hAnsi="Times New Roman" w:cs="Times New Roman"/>
          <w:sz w:val="24"/>
          <w:szCs w:val="24"/>
        </w:rPr>
        <w:t xml:space="preserve"> reading</w:t>
      </w:r>
      <w:r w:rsidR="00A47E25" w:rsidRPr="00FF6493">
        <w:rPr>
          <w:rFonts w:ascii="Times New Roman" w:hAnsi="Times New Roman" w:cs="Times New Roman"/>
          <w:sz w:val="24"/>
          <w:szCs w:val="24"/>
        </w:rPr>
        <w:t>s</w:t>
      </w:r>
      <w:r w:rsidR="009A6E5F" w:rsidRPr="00FF6493">
        <w:rPr>
          <w:rFonts w:ascii="Times New Roman" w:hAnsi="Times New Roman" w:cs="Times New Roman"/>
          <w:sz w:val="24"/>
          <w:szCs w:val="24"/>
        </w:rPr>
        <w:t xml:space="preserve"> of fund performance.</w:t>
      </w:r>
    </w:p>
    <w:p w14:paraId="38836547" w14:textId="77777777" w:rsidR="00113CE9" w:rsidRPr="00113CE9" w:rsidRDefault="00113CE9" w:rsidP="00113CE9">
      <w:pPr>
        <w:ind w:left="359"/>
        <w:rPr>
          <w:rFonts w:ascii="Times New Roman" w:hAnsi="Times New Roman" w:cs="Times New Roman"/>
          <w:sz w:val="24"/>
          <w:szCs w:val="24"/>
        </w:rPr>
      </w:pPr>
    </w:p>
    <w:p w14:paraId="44AB78D7" w14:textId="6681A68E" w:rsidR="00113CE9" w:rsidRDefault="00113CE9" w:rsidP="00FF64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87E1C" w:rsidRPr="00113CE9">
        <w:rPr>
          <w:rFonts w:ascii="Times New Roman" w:hAnsi="Times New Roman" w:cs="Times New Roman"/>
          <w:sz w:val="24"/>
          <w:szCs w:val="24"/>
        </w:rPr>
        <w:t xml:space="preserve">liminates </w:t>
      </w:r>
      <w:r w:rsidR="009E6C77">
        <w:rPr>
          <w:rFonts w:ascii="Times New Roman" w:hAnsi="Times New Roman" w:cs="Times New Roman"/>
          <w:sz w:val="24"/>
          <w:szCs w:val="24"/>
        </w:rPr>
        <w:t xml:space="preserve">the </w:t>
      </w:r>
      <w:r w:rsidR="00587E1C" w:rsidRPr="00113CE9">
        <w:rPr>
          <w:rFonts w:ascii="Times New Roman" w:hAnsi="Times New Roman" w:cs="Times New Roman"/>
          <w:sz w:val="24"/>
          <w:szCs w:val="24"/>
        </w:rPr>
        <w:t>active</w:t>
      </w:r>
      <w:r w:rsidR="00FA2C10" w:rsidRPr="00113CE9">
        <w:rPr>
          <w:rFonts w:ascii="Times New Roman" w:hAnsi="Times New Roman" w:cs="Times New Roman"/>
          <w:sz w:val="24"/>
          <w:szCs w:val="24"/>
        </w:rPr>
        <w:t>-</w:t>
      </w:r>
      <w:r w:rsidR="00587E1C" w:rsidRPr="00113CE9">
        <w:rPr>
          <w:rFonts w:ascii="Times New Roman" w:hAnsi="Times New Roman" w:cs="Times New Roman"/>
          <w:sz w:val="24"/>
          <w:szCs w:val="24"/>
        </w:rPr>
        <w:t>management bias</w:t>
      </w:r>
      <w:r w:rsidR="004E15A2">
        <w:rPr>
          <w:rFonts w:ascii="Times New Roman" w:hAnsi="Times New Roman" w:cs="Times New Roman"/>
          <w:sz w:val="24"/>
          <w:szCs w:val="24"/>
        </w:rPr>
        <w:t xml:space="preserve"> by removing market indexes from the measurement process</w:t>
      </w:r>
      <w:r w:rsidR="00587E1C" w:rsidRPr="00113CE9">
        <w:rPr>
          <w:rFonts w:ascii="Times New Roman" w:hAnsi="Times New Roman" w:cs="Times New Roman"/>
          <w:sz w:val="24"/>
          <w:szCs w:val="24"/>
        </w:rPr>
        <w:t>.</w:t>
      </w:r>
    </w:p>
    <w:p w14:paraId="4CA219AB" w14:textId="77777777" w:rsidR="00871CBA" w:rsidRPr="00871CBA" w:rsidRDefault="00871CBA" w:rsidP="00871CBA">
      <w:pPr>
        <w:ind w:left="359"/>
        <w:rPr>
          <w:rFonts w:ascii="Times New Roman" w:hAnsi="Times New Roman" w:cs="Times New Roman"/>
          <w:sz w:val="24"/>
          <w:szCs w:val="24"/>
        </w:rPr>
      </w:pPr>
    </w:p>
    <w:p w14:paraId="5112D898" w14:textId="7197466D" w:rsidR="00B01E71" w:rsidRPr="00B23C8C" w:rsidRDefault="003C548A" w:rsidP="00B23C8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3CE9">
        <w:rPr>
          <w:rFonts w:ascii="Times New Roman" w:hAnsi="Times New Roman" w:cs="Times New Roman"/>
          <w:sz w:val="24"/>
          <w:szCs w:val="24"/>
        </w:rPr>
        <w:t>R</w:t>
      </w:r>
      <w:r w:rsidR="00322589" w:rsidRPr="00113CE9">
        <w:rPr>
          <w:rFonts w:ascii="Times New Roman" w:hAnsi="Times New Roman" w:cs="Times New Roman"/>
          <w:sz w:val="24"/>
          <w:szCs w:val="24"/>
        </w:rPr>
        <w:t>eflects each fund</w:t>
      </w:r>
      <w:r w:rsidR="0036413B" w:rsidRPr="00113CE9">
        <w:rPr>
          <w:rFonts w:ascii="Times New Roman" w:hAnsi="Times New Roman" w:cs="Times New Roman"/>
          <w:sz w:val="24"/>
          <w:szCs w:val="24"/>
        </w:rPr>
        <w:t>’s chosen level of investment risk</w:t>
      </w:r>
      <w:r w:rsidR="00990E20">
        <w:rPr>
          <w:rFonts w:ascii="Times New Roman" w:hAnsi="Times New Roman" w:cs="Times New Roman"/>
          <w:sz w:val="24"/>
          <w:szCs w:val="24"/>
        </w:rPr>
        <w:t>,</w:t>
      </w:r>
      <w:r w:rsidR="00DC14D1">
        <w:rPr>
          <w:rFonts w:ascii="Times New Roman" w:hAnsi="Times New Roman" w:cs="Times New Roman"/>
          <w:sz w:val="24"/>
          <w:szCs w:val="24"/>
        </w:rPr>
        <w:t xml:space="preserve"> based on</w:t>
      </w:r>
      <w:r w:rsidR="00D87750">
        <w:rPr>
          <w:rFonts w:ascii="Times New Roman" w:hAnsi="Times New Roman" w:cs="Times New Roman"/>
          <w:sz w:val="24"/>
          <w:szCs w:val="24"/>
        </w:rPr>
        <w:t xml:space="preserve"> the circumstances and objectives of </w:t>
      </w:r>
      <w:r w:rsidR="00981B46">
        <w:rPr>
          <w:rFonts w:ascii="Times New Roman" w:hAnsi="Times New Roman" w:cs="Times New Roman"/>
          <w:sz w:val="24"/>
          <w:szCs w:val="24"/>
        </w:rPr>
        <w:t>the</w:t>
      </w:r>
      <w:r w:rsidR="00D87750">
        <w:rPr>
          <w:rFonts w:ascii="Times New Roman" w:hAnsi="Times New Roman" w:cs="Times New Roman"/>
          <w:sz w:val="24"/>
          <w:szCs w:val="24"/>
        </w:rPr>
        <w:t xml:space="preserve"> fund as well as the risk tolerance of trustees</w:t>
      </w:r>
      <w:r w:rsidR="00B17E34">
        <w:rPr>
          <w:rFonts w:ascii="Times New Roman" w:hAnsi="Times New Roman" w:cs="Times New Roman"/>
          <w:sz w:val="24"/>
          <w:szCs w:val="24"/>
        </w:rPr>
        <w:t>.</w:t>
      </w:r>
      <w:r w:rsidR="00F97E16">
        <w:rPr>
          <w:rFonts w:ascii="Times New Roman" w:hAnsi="Times New Roman" w:cs="Times New Roman"/>
          <w:sz w:val="24"/>
          <w:szCs w:val="24"/>
        </w:rPr>
        <w:t xml:space="preserve"> At the same time, the approach facilitates inter-fund comparisons</w:t>
      </w:r>
      <w:r w:rsidR="001B1624">
        <w:rPr>
          <w:rFonts w:ascii="Times New Roman" w:hAnsi="Times New Roman" w:cs="Times New Roman"/>
          <w:sz w:val="24"/>
          <w:szCs w:val="24"/>
        </w:rPr>
        <w:t xml:space="preserve"> using a common denominator</w:t>
      </w:r>
      <w:r w:rsidR="00430F4B">
        <w:rPr>
          <w:rFonts w:ascii="Times New Roman" w:hAnsi="Times New Roman" w:cs="Times New Roman"/>
          <w:sz w:val="24"/>
          <w:szCs w:val="24"/>
        </w:rPr>
        <w:t>, namely, fund-specific risk</w:t>
      </w:r>
      <w:r w:rsidR="00F97E16">
        <w:rPr>
          <w:rFonts w:ascii="Times New Roman" w:hAnsi="Times New Roman" w:cs="Times New Roman"/>
          <w:sz w:val="24"/>
          <w:szCs w:val="24"/>
        </w:rPr>
        <w:t>.</w:t>
      </w:r>
    </w:p>
    <w:p w14:paraId="34F11D93" w14:textId="70DAF6D3" w:rsidR="0079734C" w:rsidRPr="00F95A15" w:rsidRDefault="0079734C" w:rsidP="00B73C7E">
      <w:pPr>
        <w:rPr>
          <w:rFonts w:ascii="Times New Roman" w:hAnsi="Times New Roman" w:cs="Times New Roman"/>
          <w:sz w:val="24"/>
          <w:szCs w:val="24"/>
        </w:rPr>
      </w:pPr>
    </w:p>
    <w:p w14:paraId="6525472D" w14:textId="2E6BF317" w:rsidR="005C507D" w:rsidRDefault="0005510F" w:rsidP="009B1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superior risk-adjusted return become</w:t>
      </w:r>
      <w:r w:rsidR="00981B02">
        <w:rPr>
          <w:rFonts w:ascii="Times New Roman" w:hAnsi="Times New Roman" w:cs="Times New Roman"/>
          <w:sz w:val="24"/>
          <w:szCs w:val="24"/>
        </w:rPr>
        <w:t xml:space="preserve">s the goal, the investment managers of these </w:t>
      </w:r>
      <w:r w:rsidR="00FD1EC4">
        <w:rPr>
          <w:rFonts w:ascii="Times New Roman" w:hAnsi="Times New Roman" w:cs="Times New Roman"/>
          <w:sz w:val="24"/>
          <w:szCs w:val="24"/>
        </w:rPr>
        <w:t>u</w:t>
      </w:r>
      <w:r w:rsidR="00E92DC9">
        <w:rPr>
          <w:rFonts w:ascii="Times New Roman" w:hAnsi="Times New Roman" w:cs="Times New Roman"/>
          <w:sz w:val="24"/>
          <w:szCs w:val="24"/>
        </w:rPr>
        <w:t xml:space="preserve">ber-diversified </w:t>
      </w:r>
      <w:r w:rsidR="00FD1EC4">
        <w:rPr>
          <w:rFonts w:ascii="Times New Roman" w:hAnsi="Times New Roman" w:cs="Times New Roman"/>
          <w:sz w:val="24"/>
          <w:szCs w:val="24"/>
        </w:rPr>
        <w:t xml:space="preserve">portfolios </w:t>
      </w:r>
      <w:r w:rsidR="00E92DC9">
        <w:rPr>
          <w:rFonts w:ascii="Times New Roman" w:hAnsi="Times New Roman" w:cs="Times New Roman"/>
          <w:sz w:val="24"/>
          <w:szCs w:val="24"/>
        </w:rPr>
        <w:t xml:space="preserve">will turn their attention to </w:t>
      </w:r>
      <w:r w:rsidR="006830AA">
        <w:rPr>
          <w:rFonts w:ascii="Times New Roman" w:hAnsi="Times New Roman" w:cs="Times New Roman"/>
          <w:sz w:val="24"/>
          <w:szCs w:val="24"/>
        </w:rPr>
        <w:t>controlling cost to a much greater extent. Not los</w:t>
      </w:r>
      <w:r w:rsidR="0020267F">
        <w:rPr>
          <w:rFonts w:ascii="Times New Roman" w:hAnsi="Times New Roman" w:cs="Times New Roman"/>
          <w:sz w:val="24"/>
          <w:szCs w:val="24"/>
        </w:rPr>
        <w:t xml:space="preserve">t on them will be the fact that the </w:t>
      </w:r>
      <w:r w:rsidR="00146767">
        <w:rPr>
          <w:rFonts w:ascii="Times New Roman" w:hAnsi="Times New Roman" w:cs="Times New Roman"/>
          <w:sz w:val="24"/>
          <w:szCs w:val="24"/>
        </w:rPr>
        <w:t>P</w:t>
      </w:r>
      <w:r w:rsidR="0020267F">
        <w:rPr>
          <w:rFonts w:ascii="Times New Roman" w:hAnsi="Times New Roman" w:cs="Times New Roman"/>
          <w:sz w:val="24"/>
          <w:szCs w:val="24"/>
        </w:rPr>
        <w:t xml:space="preserve">assive </w:t>
      </w:r>
      <w:r w:rsidR="00146767">
        <w:rPr>
          <w:rFonts w:ascii="Times New Roman" w:hAnsi="Times New Roman" w:cs="Times New Roman"/>
          <w:sz w:val="24"/>
          <w:szCs w:val="24"/>
        </w:rPr>
        <w:t>A</w:t>
      </w:r>
      <w:r w:rsidR="0020267F">
        <w:rPr>
          <w:rFonts w:ascii="Times New Roman" w:hAnsi="Times New Roman" w:cs="Times New Roman"/>
          <w:sz w:val="24"/>
          <w:szCs w:val="24"/>
        </w:rPr>
        <w:t>lternative</w:t>
      </w:r>
      <w:r w:rsidR="00146767">
        <w:rPr>
          <w:rFonts w:ascii="Times New Roman" w:hAnsi="Times New Roman" w:cs="Times New Roman"/>
          <w:sz w:val="24"/>
          <w:szCs w:val="24"/>
        </w:rPr>
        <w:t xml:space="preserve"> in Figure 5 </w:t>
      </w:r>
      <w:r w:rsidR="00BA592C">
        <w:rPr>
          <w:rFonts w:ascii="Times New Roman" w:hAnsi="Times New Roman" w:cs="Times New Roman"/>
          <w:sz w:val="24"/>
          <w:szCs w:val="24"/>
        </w:rPr>
        <w:t>consist</w:t>
      </w:r>
      <w:r w:rsidR="009E4EE8">
        <w:rPr>
          <w:rFonts w:ascii="Times New Roman" w:hAnsi="Times New Roman" w:cs="Times New Roman"/>
          <w:sz w:val="24"/>
          <w:szCs w:val="24"/>
        </w:rPr>
        <w:t xml:space="preserve">ently </w:t>
      </w:r>
      <w:r w:rsidR="00146767">
        <w:rPr>
          <w:rFonts w:ascii="Times New Roman" w:hAnsi="Times New Roman" w:cs="Times New Roman"/>
          <w:sz w:val="24"/>
          <w:szCs w:val="24"/>
        </w:rPr>
        <w:t>outperforms all but a few</w:t>
      </w:r>
      <w:r w:rsidR="00AC7CF7">
        <w:rPr>
          <w:rFonts w:ascii="Times New Roman" w:hAnsi="Times New Roman" w:cs="Times New Roman"/>
          <w:sz w:val="24"/>
          <w:szCs w:val="24"/>
        </w:rPr>
        <w:t xml:space="preserve"> of the competitors. It will become appar</w:t>
      </w:r>
      <w:r w:rsidR="009B1F46">
        <w:rPr>
          <w:rFonts w:ascii="Times New Roman" w:hAnsi="Times New Roman" w:cs="Times New Roman"/>
          <w:sz w:val="24"/>
          <w:szCs w:val="24"/>
        </w:rPr>
        <w:t xml:space="preserve">ent that way to move to the top of the rankings </w:t>
      </w:r>
      <w:r w:rsidR="009E4EE8">
        <w:rPr>
          <w:rFonts w:ascii="Times New Roman" w:hAnsi="Times New Roman" w:cs="Times New Roman"/>
          <w:sz w:val="24"/>
          <w:szCs w:val="24"/>
        </w:rPr>
        <w:t>is</w:t>
      </w:r>
      <w:r w:rsidR="009B1F46">
        <w:rPr>
          <w:rFonts w:ascii="Times New Roman" w:hAnsi="Times New Roman" w:cs="Times New Roman"/>
          <w:sz w:val="24"/>
          <w:szCs w:val="24"/>
        </w:rPr>
        <w:t xml:space="preserve"> </w:t>
      </w:r>
      <w:r w:rsidR="004E7FF4">
        <w:rPr>
          <w:rFonts w:ascii="Times New Roman" w:hAnsi="Times New Roman" w:cs="Times New Roman"/>
          <w:sz w:val="24"/>
          <w:szCs w:val="24"/>
        </w:rPr>
        <w:t>by</w:t>
      </w:r>
      <w:r w:rsidR="009B1F46">
        <w:rPr>
          <w:rFonts w:ascii="Times New Roman" w:hAnsi="Times New Roman" w:cs="Times New Roman"/>
          <w:sz w:val="24"/>
          <w:szCs w:val="24"/>
        </w:rPr>
        <w:t xml:space="preserve"> lower</w:t>
      </w:r>
      <w:r w:rsidR="004E7FF4">
        <w:rPr>
          <w:rFonts w:ascii="Times New Roman" w:hAnsi="Times New Roman" w:cs="Times New Roman"/>
          <w:sz w:val="24"/>
          <w:szCs w:val="24"/>
        </w:rPr>
        <w:t>ing</w:t>
      </w:r>
      <w:r w:rsidR="009B1F46">
        <w:rPr>
          <w:rFonts w:ascii="Times New Roman" w:hAnsi="Times New Roman" w:cs="Times New Roman"/>
          <w:sz w:val="24"/>
          <w:szCs w:val="24"/>
        </w:rPr>
        <w:t xml:space="preserve"> cost.</w:t>
      </w:r>
    </w:p>
    <w:p w14:paraId="62288128" w14:textId="77777777" w:rsidR="005C507D" w:rsidRDefault="005C507D" w:rsidP="007425E5">
      <w:pPr>
        <w:rPr>
          <w:rFonts w:ascii="Times New Roman" w:hAnsi="Times New Roman" w:cs="Times New Roman"/>
          <w:sz w:val="24"/>
          <w:szCs w:val="24"/>
        </w:rPr>
      </w:pPr>
    </w:p>
    <w:p w14:paraId="5E0F4625" w14:textId="77777777" w:rsidR="002801C7" w:rsidRDefault="002801C7" w:rsidP="007425E5">
      <w:pPr>
        <w:rPr>
          <w:rFonts w:ascii="Times New Roman" w:hAnsi="Times New Roman" w:cs="Times New Roman"/>
          <w:sz w:val="24"/>
          <w:szCs w:val="24"/>
        </w:rPr>
      </w:pPr>
    </w:p>
    <w:p w14:paraId="09BD5CCF" w14:textId="551E1B11" w:rsidR="002801C7" w:rsidRDefault="00F07588" w:rsidP="00742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A27DFDE" w14:textId="77777777" w:rsidR="00F07588" w:rsidRDefault="00F07588" w:rsidP="007425E5">
      <w:pPr>
        <w:rPr>
          <w:rFonts w:ascii="Times New Roman" w:hAnsi="Times New Roman" w:cs="Times New Roman"/>
          <w:sz w:val="24"/>
          <w:szCs w:val="24"/>
        </w:rPr>
      </w:pPr>
    </w:p>
    <w:p w14:paraId="474C1C89" w14:textId="0553C729" w:rsidR="00227D16" w:rsidRDefault="00227D16" w:rsidP="006E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pension funds in the United States typically use performance benchmarks that comprise multiple market indexes. The practice promotes a beat-the-market mentality on the part of fund managers, </w:t>
      </w:r>
      <w:r w:rsidR="003C70D4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the only way to outperform is to invest actively. The funds</w:t>
      </w:r>
      <w:r w:rsidR="006A55EC">
        <w:rPr>
          <w:rFonts w:ascii="Times New Roman" w:hAnsi="Times New Roman" w:cs="Times New Roman"/>
          <w:sz w:val="24"/>
          <w:szCs w:val="24"/>
        </w:rPr>
        <w:t>, however,</w:t>
      </w:r>
      <w:r>
        <w:rPr>
          <w:rFonts w:ascii="Times New Roman" w:hAnsi="Times New Roman" w:cs="Times New Roman"/>
          <w:sz w:val="24"/>
          <w:szCs w:val="24"/>
        </w:rPr>
        <w:t xml:space="preserve"> consistently </w:t>
      </w:r>
      <w:r w:rsidRPr="004B4CFD">
        <w:rPr>
          <w:rFonts w:ascii="Times New Roman" w:hAnsi="Times New Roman" w:cs="Times New Roman"/>
          <w:i/>
          <w:iCs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>perform passive stock-bond benchmarks by the margin of cost, which I estimate averages 1.2% of asset value</w:t>
      </w:r>
      <w:r w:rsidR="005310EA">
        <w:rPr>
          <w:rFonts w:ascii="Times New Roman" w:hAnsi="Times New Roman" w:cs="Times New Roman"/>
          <w:sz w:val="24"/>
          <w:szCs w:val="24"/>
        </w:rPr>
        <w:t xml:space="preserve"> annually</w:t>
      </w:r>
      <w:r>
        <w:rPr>
          <w:rFonts w:ascii="Times New Roman" w:hAnsi="Times New Roman" w:cs="Times New Roman"/>
          <w:sz w:val="24"/>
          <w:szCs w:val="24"/>
        </w:rPr>
        <w:t xml:space="preserve">. Replacing these benchmarks with simple calculation and comparison of risk-adjusted return has several potential benefits. It would eliminate the bias toward active management. It would curb abuses in performance reporting arising from downward-biased benchmarks. And it would bring about much greater attention to the cost of managing the funds, which in turn should lead to improved performance. </w:t>
      </w:r>
    </w:p>
    <w:p w14:paraId="6B30B993" w14:textId="77777777" w:rsidR="00227D16" w:rsidRPr="00F07588" w:rsidRDefault="00227D16" w:rsidP="007425E5">
      <w:pPr>
        <w:rPr>
          <w:rFonts w:ascii="Times New Roman" w:hAnsi="Times New Roman" w:cs="Times New Roman"/>
          <w:sz w:val="24"/>
          <w:szCs w:val="24"/>
        </w:rPr>
      </w:pPr>
    </w:p>
    <w:p w14:paraId="16F8D91B" w14:textId="77777777" w:rsidR="00E20B20" w:rsidRDefault="00E20B20" w:rsidP="007425E5">
      <w:pPr>
        <w:rPr>
          <w:rFonts w:ascii="Times New Roman" w:hAnsi="Times New Roman" w:cs="Times New Roman"/>
          <w:sz w:val="24"/>
          <w:szCs w:val="24"/>
        </w:rPr>
      </w:pPr>
    </w:p>
    <w:p w14:paraId="180144F5" w14:textId="6B9F433C" w:rsidR="00E20B20" w:rsidRDefault="00E20B20" w:rsidP="00742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43F09286" w14:textId="77777777" w:rsidR="00C6776B" w:rsidRDefault="00C6776B" w:rsidP="007425E5">
      <w:pPr>
        <w:rPr>
          <w:rFonts w:ascii="Times New Roman" w:hAnsi="Times New Roman" w:cs="Times New Roman"/>
          <w:sz w:val="24"/>
          <w:szCs w:val="24"/>
        </w:rPr>
      </w:pPr>
    </w:p>
    <w:p w14:paraId="39A508AC" w14:textId="502C6A5C" w:rsidR="00C6776B" w:rsidRPr="00C6776B" w:rsidRDefault="00535862" w:rsidP="00742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Anonymous, </w:t>
      </w:r>
      <w:r w:rsidR="00C6776B">
        <w:rPr>
          <w:rFonts w:ascii="Times New Roman" w:hAnsi="Times New Roman" w:cs="Times New Roman"/>
          <w:sz w:val="24"/>
          <w:szCs w:val="24"/>
        </w:rPr>
        <w:t>Barry Gillman, Paul O’Brien, Michael Sebastian</w:t>
      </w:r>
    </w:p>
    <w:p w14:paraId="4750F49D" w14:textId="31CA894C" w:rsidR="00297FCB" w:rsidRDefault="00297FCB" w:rsidP="00541CDE">
      <w:pPr>
        <w:rPr>
          <w:rFonts w:ascii="Times New Roman" w:hAnsi="Times New Roman" w:cs="Times New Roman"/>
          <w:sz w:val="24"/>
          <w:szCs w:val="24"/>
        </w:rPr>
      </w:pPr>
    </w:p>
    <w:p w14:paraId="2A7BAC84" w14:textId="77777777" w:rsidR="00297FCB" w:rsidRPr="00A7011C" w:rsidRDefault="00297FCB" w:rsidP="00541CDE">
      <w:pPr>
        <w:rPr>
          <w:rFonts w:ascii="Times New Roman" w:hAnsi="Times New Roman" w:cs="Times New Roman"/>
          <w:sz w:val="24"/>
          <w:szCs w:val="24"/>
        </w:rPr>
      </w:pPr>
    </w:p>
    <w:p w14:paraId="0D660282" w14:textId="6306AB2C" w:rsidR="004C0F43" w:rsidRPr="00A7011C" w:rsidRDefault="004A1DD0" w:rsidP="00541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11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1E190AD" w14:textId="7D94BD55" w:rsidR="004A1DD0" w:rsidRDefault="004A1DD0" w:rsidP="00541C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9C1F1" w14:textId="77777777" w:rsidR="000605F6" w:rsidRDefault="005A29EF" w:rsidP="00541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Aubry</w:t>
      </w:r>
      <w:r w:rsidR="000605F6">
        <w:rPr>
          <w:rFonts w:ascii="Times New Roman" w:hAnsi="Times New Roman" w:cs="Times New Roman"/>
          <w:sz w:val="24"/>
          <w:szCs w:val="24"/>
        </w:rPr>
        <w:t xml:space="preserve">, </w:t>
      </w:r>
      <w:r w:rsidRPr="005A29EF">
        <w:rPr>
          <w:rFonts w:ascii="Times New Roman" w:hAnsi="Times New Roman" w:cs="Times New Roman"/>
          <w:sz w:val="24"/>
          <w:szCs w:val="24"/>
        </w:rPr>
        <w:t>J.-P., and K. Wandrei. “Internal vs. External Management for State and Local Pension Plans.” No. 75, Center for Retirement Research of Boson College, November 2020.</w:t>
      </w:r>
      <w:r w:rsidRPr="00A701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94833" w14:textId="77777777" w:rsidR="001D5435" w:rsidRDefault="001D5435" w:rsidP="00541CDE">
      <w:pPr>
        <w:rPr>
          <w:rFonts w:ascii="Times New Roman" w:hAnsi="Times New Roman" w:cs="Times New Roman"/>
          <w:sz w:val="24"/>
          <w:szCs w:val="24"/>
        </w:rPr>
      </w:pPr>
    </w:p>
    <w:p w14:paraId="29ACA635" w14:textId="2F29A048" w:rsidR="006F23F4" w:rsidRDefault="00A951B2">
      <w:pPr>
        <w:divId w:val="764964174"/>
        <w:rPr>
          <w:rFonts w:ascii="NexusSansWebPro" w:eastAsia="Times New Roman" w:hAnsi="NexusSansWebPro" w:cs="Times New Roman"/>
          <w:color w:val="505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Ennis, ——. 2022. </w:t>
      </w:r>
      <w:r w:rsidR="00875B89">
        <w:rPr>
          <w:rFonts w:ascii="Times New Roman" w:hAnsi="Times New Roman" w:cs="Times New Roman"/>
          <w:sz w:val="24"/>
          <w:szCs w:val="24"/>
        </w:rPr>
        <w:t>“</w:t>
      </w:r>
      <w:r w:rsidR="00875B89" w:rsidRPr="00875B89">
        <w:rPr>
          <w:rFonts w:ascii="Times New Roman" w:hAnsi="Times New Roman" w:cs="Times New Roman"/>
          <w:sz w:val="24"/>
          <w:szCs w:val="24"/>
        </w:rPr>
        <w:t>Cost, Performance, and Benchmark Bias of Public Pension Funds in the United States: An Unflattering Portrait</w:t>
      </w:r>
      <w:r w:rsidR="00875B89">
        <w:rPr>
          <w:rFonts w:ascii="Times New Roman" w:hAnsi="Times New Roman" w:cs="Times New Roman"/>
          <w:sz w:val="24"/>
          <w:szCs w:val="24"/>
        </w:rPr>
        <w:t xml:space="preserve">.” </w:t>
      </w:r>
      <w:r w:rsidR="00875B89" w:rsidRPr="00183EC9">
        <w:rPr>
          <w:rFonts w:ascii="Times New Roman" w:hAnsi="Times New Roman" w:cs="Times New Roman"/>
          <w:sz w:val="24"/>
          <w:szCs w:val="24"/>
        </w:rPr>
        <w:t xml:space="preserve">Forthcoming in </w:t>
      </w:r>
      <w:r w:rsidR="00875B89" w:rsidRPr="00183EC9">
        <w:rPr>
          <w:rFonts w:ascii="Times New Roman" w:hAnsi="Times New Roman" w:cs="Times New Roman"/>
          <w:i/>
          <w:iCs/>
          <w:sz w:val="24"/>
          <w:szCs w:val="24"/>
        </w:rPr>
        <w:t>Journal of Portfolio Management.</w:t>
      </w:r>
      <w:r w:rsidR="00AC4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37684" w:rsidRPr="00537684">
        <w:rPr>
          <w:rFonts w:ascii="NexusSansWebPro" w:eastAsia="Times New Roman" w:hAnsi="NexusSansWebPro" w:cs="Times New Roman"/>
          <w:color w:val="505050"/>
          <w:sz w:val="24"/>
          <w:szCs w:val="24"/>
          <w:shd w:val="clear" w:color="auto" w:fill="FFFFFF"/>
        </w:rPr>
        <w:t>Available at SSRN: </w:t>
      </w:r>
      <w:hyperlink r:id="rId10" w:tgtFrame="_blank" w:history="1">
        <w:r w:rsidR="00537684" w:rsidRPr="00537684">
          <w:rPr>
            <w:rFonts w:ascii="NexusSansWebPro" w:eastAsia="Times New Roman" w:hAnsi="NexusSansWebPro" w:cs="Times New Roman"/>
            <w:color w:val="505050"/>
            <w:sz w:val="24"/>
            <w:szCs w:val="24"/>
            <w:u w:val="single"/>
          </w:rPr>
          <w:t>https://ssrn.com/abstract=3883370</w:t>
        </w:r>
      </w:hyperlink>
      <w:r w:rsidR="00537684" w:rsidRPr="00537684">
        <w:rPr>
          <w:rFonts w:ascii="NexusSansWebPro" w:eastAsia="Times New Roman" w:hAnsi="NexusSansWebPro" w:cs="Times New Roman"/>
          <w:color w:val="505050"/>
          <w:sz w:val="24"/>
          <w:szCs w:val="24"/>
          <w:shd w:val="clear" w:color="auto" w:fill="FFFFFF"/>
        </w:rPr>
        <w:t> or</w:t>
      </w:r>
    </w:p>
    <w:p w14:paraId="3FF43FFA" w14:textId="107D1573" w:rsidR="00537684" w:rsidRPr="00537684" w:rsidRDefault="00537684">
      <w:pPr>
        <w:divId w:val="764964174"/>
        <w:rPr>
          <w:rFonts w:ascii="Times New Roman" w:eastAsia="Times New Roman" w:hAnsi="Times New Roman" w:cs="Times New Roman"/>
          <w:sz w:val="24"/>
          <w:szCs w:val="24"/>
        </w:rPr>
      </w:pPr>
      <w:r w:rsidRPr="00537684">
        <w:rPr>
          <w:rFonts w:ascii="NexusSansWebPro" w:eastAsia="Times New Roman" w:hAnsi="NexusSansWebPro" w:cs="Times New Roman"/>
          <w:color w:val="505050"/>
          <w:sz w:val="24"/>
          <w:szCs w:val="24"/>
          <w:shd w:val="clear" w:color="auto" w:fill="FFFFFF"/>
        </w:rPr>
        <w:t> </w:t>
      </w:r>
      <w:hyperlink r:id="rId11" w:tgtFrame="_blank" w:history="1">
        <w:r w:rsidRPr="00537684">
          <w:rPr>
            <w:rFonts w:ascii="NexusSansWebPro" w:eastAsia="Times New Roman" w:hAnsi="NexusSansWebPro" w:cs="Times New Roman"/>
            <w:color w:val="505050"/>
            <w:sz w:val="24"/>
            <w:szCs w:val="24"/>
            <w:u w:val="single"/>
          </w:rPr>
          <w:t>http://dx.doi.org/10.2139/ssrn.3883370</w:t>
        </w:r>
      </w:hyperlink>
    </w:p>
    <w:p w14:paraId="42D39253" w14:textId="77777777" w:rsidR="00ED292E" w:rsidRDefault="00ED292E" w:rsidP="00541CDE">
      <w:pPr>
        <w:rPr>
          <w:rFonts w:ascii="Times New Roman" w:hAnsi="Times New Roman" w:cs="Times New Roman"/>
          <w:sz w:val="24"/>
          <w:szCs w:val="24"/>
        </w:rPr>
      </w:pPr>
    </w:p>
    <w:p w14:paraId="55BD4040" w14:textId="77777777" w:rsidR="00804E4A" w:rsidRDefault="001E1616" w:rsidP="001E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 Company Institute</w:t>
      </w:r>
      <w:r w:rsidR="007A7D6D">
        <w:rPr>
          <w:rFonts w:ascii="Times New Roman" w:hAnsi="Times New Roman" w:cs="Times New Roman"/>
          <w:sz w:val="24"/>
          <w:szCs w:val="24"/>
        </w:rPr>
        <w:t>. 20</w:t>
      </w:r>
      <w:r w:rsidR="002A5FEF">
        <w:rPr>
          <w:rFonts w:ascii="Times New Roman" w:hAnsi="Times New Roman" w:cs="Times New Roman"/>
          <w:sz w:val="24"/>
          <w:szCs w:val="24"/>
        </w:rPr>
        <w:t>21</w:t>
      </w:r>
      <w:r w:rsidR="007A7D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D6D">
        <w:rPr>
          <w:rFonts w:ascii="Times New Roman" w:hAnsi="Times New Roman" w:cs="Times New Roman"/>
          <w:sz w:val="24"/>
          <w:szCs w:val="24"/>
        </w:rPr>
        <w:t>“</w:t>
      </w:r>
      <w:r w:rsidR="007A7D6D" w:rsidRPr="001E1616">
        <w:rPr>
          <w:rFonts w:ascii="Times New Roman" w:hAnsi="Times New Roman" w:cs="Times New Roman"/>
          <w:sz w:val="24"/>
          <w:szCs w:val="24"/>
        </w:rPr>
        <w:t>Trends in the Expenses and Fees of Funds</w:t>
      </w:r>
      <w:r w:rsidR="007A7D6D">
        <w:rPr>
          <w:rFonts w:ascii="Times New Roman" w:hAnsi="Times New Roman" w:cs="Times New Roman"/>
          <w:sz w:val="24"/>
          <w:szCs w:val="24"/>
        </w:rPr>
        <w:t>.</w:t>
      </w:r>
      <w:r w:rsidR="002A5FEF">
        <w:rPr>
          <w:rFonts w:ascii="Times New Roman" w:hAnsi="Times New Roman" w:cs="Times New Roman"/>
          <w:sz w:val="24"/>
          <w:szCs w:val="24"/>
        </w:rPr>
        <w:t xml:space="preserve">” </w:t>
      </w:r>
      <w:r w:rsidR="00222A91" w:rsidRPr="00804E4A">
        <w:rPr>
          <w:rFonts w:ascii="Times New Roman" w:hAnsi="Times New Roman" w:cs="Times New Roman"/>
          <w:sz w:val="24"/>
          <w:szCs w:val="24"/>
        </w:rPr>
        <w:t>Vol. 27,</w:t>
      </w:r>
    </w:p>
    <w:p w14:paraId="05E2D0CE" w14:textId="5856C2EC" w:rsidR="001E1616" w:rsidRPr="002A5FEF" w:rsidRDefault="00222A91" w:rsidP="001E1616">
      <w:pPr>
        <w:rPr>
          <w:rFonts w:ascii="Times New Roman" w:hAnsi="Times New Roman" w:cs="Times New Roman"/>
          <w:sz w:val="24"/>
          <w:szCs w:val="24"/>
        </w:rPr>
      </w:pPr>
      <w:r w:rsidRPr="00804E4A">
        <w:rPr>
          <w:rFonts w:ascii="Times New Roman" w:hAnsi="Times New Roman" w:cs="Times New Roman"/>
          <w:sz w:val="24"/>
          <w:szCs w:val="24"/>
        </w:rPr>
        <w:t>No. 3</w:t>
      </w:r>
      <w:r w:rsidR="00804E4A">
        <w:rPr>
          <w:rFonts w:ascii="Times New Roman" w:hAnsi="Times New Roman" w:cs="Times New Roman"/>
          <w:sz w:val="24"/>
          <w:szCs w:val="24"/>
        </w:rPr>
        <w:t>.</w:t>
      </w:r>
    </w:p>
    <w:p w14:paraId="76C6A226" w14:textId="53B1AA32" w:rsidR="00EE2EB1" w:rsidRDefault="00EE2EB1" w:rsidP="00541CDE">
      <w:pPr>
        <w:rPr>
          <w:rFonts w:ascii="Times New Roman" w:hAnsi="Times New Roman" w:cs="Times New Roman"/>
          <w:sz w:val="24"/>
          <w:szCs w:val="24"/>
        </w:rPr>
      </w:pPr>
    </w:p>
    <w:p w14:paraId="71817734" w14:textId="77777777" w:rsidR="005403E3" w:rsidRPr="000204D0" w:rsidRDefault="005403E3" w:rsidP="008F7016">
      <w:pPr>
        <w:rPr>
          <w:rFonts w:ascii="Times New Roman" w:hAnsi="Times New Roman" w:cs="Times New Roman"/>
          <w:sz w:val="24"/>
          <w:szCs w:val="24"/>
        </w:rPr>
      </w:pPr>
      <w:r w:rsidRPr="000204D0">
        <w:rPr>
          <w:rFonts w:ascii="Times New Roman" w:hAnsi="Times New Roman" w:cs="Times New Roman"/>
          <w:sz w:val="24"/>
          <w:szCs w:val="24"/>
        </w:rPr>
        <w:t xml:space="preserve">Sharpe, W. F. 1988. “Determining a </w:t>
      </w:r>
      <w:r w:rsidRPr="000204D0">
        <w:rPr>
          <w:rFonts w:ascii="Times New Roman" w:eastAsia="Yu Mincho" w:hAnsi="Times New Roman" w:cs="Times New Roman"/>
          <w:sz w:val="24"/>
          <w:szCs w:val="24"/>
        </w:rPr>
        <w:t>Fund’s</w:t>
      </w:r>
      <w:r w:rsidRPr="000204D0">
        <w:rPr>
          <w:rFonts w:ascii="Times New Roman" w:hAnsi="Times New Roman" w:cs="Times New Roman"/>
          <w:sz w:val="24"/>
          <w:szCs w:val="24"/>
        </w:rPr>
        <w:t xml:space="preserve"> Effective Asset Mix.” </w:t>
      </w:r>
      <w:r w:rsidRPr="000204D0">
        <w:rPr>
          <w:rFonts w:ascii="Times New Roman" w:hAnsi="Times New Roman" w:cs="Times New Roman"/>
          <w:i/>
          <w:iCs/>
          <w:sz w:val="24"/>
          <w:szCs w:val="24"/>
        </w:rPr>
        <w:t>Investment Management Review</w:t>
      </w:r>
      <w:r w:rsidRPr="000204D0">
        <w:rPr>
          <w:rFonts w:ascii="Times New Roman" w:hAnsi="Times New Roman" w:cs="Times New Roman"/>
          <w:sz w:val="24"/>
          <w:szCs w:val="24"/>
        </w:rPr>
        <w:t xml:space="preserve"> 2 (6): 16–29.</w:t>
      </w:r>
    </w:p>
    <w:p w14:paraId="0EC6F011" w14:textId="77777777" w:rsidR="005403E3" w:rsidRPr="000204D0" w:rsidRDefault="005403E3" w:rsidP="008F7016">
      <w:pPr>
        <w:rPr>
          <w:rFonts w:ascii="Times New Roman" w:hAnsi="Times New Roman" w:cs="Times New Roman"/>
          <w:sz w:val="24"/>
          <w:szCs w:val="24"/>
        </w:rPr>
      </w:pPr>
    </w:p>
    <w:p w14:paraId="01AC05CC" w14:textId="009C1977" w:rsidR="006A6589" w:rsidRPr="00A7011C" w:rsidRDefault="005403E3">
      <w:pPr>
        <w:rPr>
          <w:rFonts w:ascii="Times New Roman" w:hAnsi="Times New Roman" w:cs="Times New Roman"/>
          <w:sz w:val="24"/>
          <w:szCs w:val="24"/>
        </w:rPr>
      </w:pPr>
      <w:r w:rsidRPr="000204D0">
        <w:rPr>
          <w:rFonts w:ascii="Times New Roman" w:hAnsi="Times New Roman" w:cs="Times New Roman"/>
          <w:sz w:val="24"/>
          <w:szCs w:val="24"/>
        </w:rPr>
        <w:t xml:space="preserve">——. 1992. “Asset Allocation: Management Style and Performance Measurement.” </w:t>
      </w:r>
      <w:r w:rsidRPr="000204D0">
        <w:rPr>
          <w:rFonts w:ascii="Times New Roman" w:hAnsi="Times New Roman" w:cs="Times New Roman"/>
          <w:i/>
          <w:iCs/>
          <w:sz w:val="24"/>
          <w:szCs w:val="24"/>
        </w:rPr>
        <w:t>The Journal of Portfolio Management</w:t>
      </w:r>
      <w:r w:rsidRPr="000204D0">
        <w:rPr>
          <w:rFonts w:ascii="Times New Roman" w:hAnsi="Times New Roman" w:cs="Times New Roman"/>
          <w:sz w:val="24"/>
          <w:szCs w:val="24"/>
        </w:rPr>
        <w:t xml:space="preserve"> 18 (2): 7–19.</w:t>
      </w:r>
    </w:p>
    <w:sectPr w:rsidR="006A6589" w:rsidRPr="00A7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8ED1" w14:textId="77777777" w:rsidR="00E3486C" w:rsidRDefault="00E3486C" w:rsidP="008A2501">
      <w:r>
        <w:separator/>
      </w:r>
    </w:p>
  </w:endnote>
  <w:endnote w:type="continuationSeparator" w:id="0">
    <w:p w14:paraId="04E9E95A" w14:textId="77777777" w:rsidR="00E3486C" w:rsidRDefault="00E3486C" w:rsidP="008A2501">
      <w:r>
        <w:continuationSeparator/>
      </w:r>
    </w:p>
  </w:endnote>
  <w:endnote w:type="continuationNotice" w:id="1">
    <w:p w14:paraId="3BB6FB65" w14:textId="77777777" w:rsidR="00E3486C" w:rsidRDefault="00E34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exusSansWebPro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3667" w14:textId="77777777" w:rsidR="00E3486C" w:rsidRDefault="00E3486C" w:rsidP="008A2501">
      <w:r>
        <w:separator/>
      </w:r>
    </w:p>
  </w:footnote>
  <w:footnote w:type="continuationSeparator" w:id="0">
    <w:p w14:paraId="07F330A2" w14:textId="77777777" w:rsidR="00E3486C" w:rsidRDefault="00E3486C" w:rsidP="008A2501">
      <w:r>
        <w:continuationSeparator/>
      </w:r>
    </w:p>
  </w:footnote>
  <w:footnote w:type="continuationNotice" w:id="1">
    <w:p w14:paraId="0C1C14AB" w14:textId="77777777" w:rsidR="00E3486C" w:rsidRDefault="00E3486C"/>
  </w:footnote>
  <w:footnote w:id="2">
    <w:p w14:paraId="28F98FAB" w14:textId="5A003254" w:rsidR="004E1C4E" w:rsidRDefault="004E1C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605F">
        <w:rPr>
          <w:rFonts w:ascii="Times New Roman" w:hAnsi="Times New Roman" w:cs="Times New Roman"/>
        </w:rPr>
        <w:t xml:space="preserve">Public fund portfolios often exhibit close year-to-year tracking with their </w:t>
      </w:r>
      <w:r>
        <w:rPr>
          <w:rFonts w:ascii="Times New Roman" w:hAnsi="Times New Roman" w:cs="Times New Roman"/>
        </w:rPr>
        <w:t>custom benchmarks</w:t>
      </w:r>
      <w:r w:rsidRPr="0061605F">
        <w:rPr>
          <w:rFonts w:ascii="Times New Roman" w:hAnsi="Times New Roman" w:cs="Times New Roman"/>
        </w:rPr>
        <w:t>. This results in part from how</w:t>
      </w:r>
      <w:r>
        <w:rPr>
          <w:rFonts w:ascii="Times New Roman" w:hAnsi="Times New Roman" w:cs="Times New Roman"/>
        </w:rPr>
        <w:t xml:space="preserve"> these benchmarks</w:t>
      </w:r>
      <w:r w:rsidRPr="0061605F">
        <w:rPr>
          <w:rFonts w:ascii="Times New Roman" w:hAnsi="Times New Roman" w:cs="Times New Roman"/>
        </w:rPr>
        <w:t xml:space="preserve"> are revised over time. Sometimes revisions are motivated by a change in asset allocation, which may warrant adjusting the benchmark. Often, though, the revisions are more a matter of periodically revising (tweaking) the benchmark to more closely match the execution of the investment program. No doubt the benchmarkers see such tweaking as a way of legitimizing the benchmark, so that it better aligns with the actual market, asset class, and factor exposures of the fund. It accomplishes that</w:t>
      </w:r>
      <w:r w:rsidR="00784107">
        <w:rPr>
          <w:rFonts w:ascii="Times New Roman" w:hAnsi="Times New Roman" w:cs="Times New Roman"/>
        </w:rPr>
        <w:t xml:space="preserve"> </w:t>
      </w:r>
      <w:r w:rsidR="00B623EB">
        <w:rPr>
          <w:rFonts w:ascii="Times New Roman" w:hAnsi="Times New Roman" w:cs="Times New Roman"/>
        </w:rPr>
        <w:t>alignment</w:t>
      </w:r>
      <w:r w:rsidRPr="0061605F">
        <w:rPr>
          <w:rFonts w:ascii="Times New Roman" w:hAnsi="Times New Roman" w:cs="Times New Roman"/>
        </w:rPr>
        <w:t>, to be sure. But it also reduces the value of the benchmark as a performance gauge, because the more a benchmark is tailored to fit the process being measured, the less information it can provide. At some point, it ceases to be a measuring stick altogether and becomes merely a shadow. We talk about “hugging the benchmark” in portfolio management. Here is a different twist on that theme, with the benchmarks hugging the portfolio.</w:t>
      </w:r>
    </w:p>
  </w:footnote>
  <w:footnote w:id="3">
    <w:p w14:paraId="1D7C3A9B" w14:textId="77777777" w:rsidR="00C00567" w:rsidRDefault="00C00567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B62ED8">
        <w:rPr>
          <w:rFonts w:ascii="Times New Roman" w:hAnsi="Times New Roman" w:cs="Times New Roman"/>
        </w:rPr>
        <w:t>FRED: State and Local Government Employee Defined Benefit Retirement Funds; Total Funded Assets, Level: https://fred.stlouisfed.org/series/BOGZ1FL222000075A</w:t>
      </w:r>
      <w:r>
        <w:rPr>
          <w:rFonts w:ascii="Times New Roman" w:hAnsi="Times New Roman" w:cs="Times New Roman"/>
        </w:rPr>
        <w:t xml:space="preserve"> (Q3 2021).</w:t>
      </w:r>
    </w:p>
  </w:footnote>
  <w:footnote w:id="4">
    <w:p w14:paraId="64E0560E" w14:textId="77777777" w:rsidR="00156A66" w:rsidRDefault="00156A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93130">
        <w:rPr>
          <w:rFonts w:ascii="Times New Roman" w:hAnsi="Times New Roman" w:cs="Times New Roman"/>
        </w:rPr>
        <w:t>See</w:t>
      </w:r>
      <w:r>
        <w:rPr>
          <w:rFonts w:ascii="Times New Roman" w:hAnsi="Times New Roman" w:cs="Times New Roman"/>
        </w:rPr>
        <w:t xml:space="preserve"> Public Plans Data, Center for Retirement Research, Boston College.</w:t>
      </w:r>
    </w:p>
  </w:footnote>
  <w:footnote w:id="5">
    <w:p w14:paraId="61190CBC" w14:textId="77777777" w:rsidR="007F2F3B" w:rsidRPr="003C600F" w:rsidRDefault="007F2F3B">
      <w:pPr>
        <w:pStyle w:val="FootnoteText"/>
        <w:rPr>
          <w:strike/>
        </w:rPr>
      </w:pPr>
      <w:r>
        <w:rPr>
          <w:rStyle w:val="FootnoteReference"/>
        </w:rPr>
        <w:footnoteRef/>
      </w:r>
      <w:r>
        <w:t xml:space="preserve"> </w:t>
      </w:r>
      <w:r w:rsidRPr="001B3F9B">
        <w:rPr>
          <w:rFonts w:ascii="Times New Roman" w:hAnsi="Times New Roman" w:cs="Times New Roman"/>
        </w:rPr>
        <w:t xml:space="preserve">It is noteworthy that the asset-weighted equity mutual fund expense ratio </w:t>
      </w:r>
      <w:r w:rsidRPr="006D63CF">
        <w:rPr>
          <w:rFonts w:ascii="Times New Roman" w:hAnsi="Times New Roman" w:cs="Times New Roman"/>
          <w:i/>
          <w:iCs/>
        </w:rPr>
        <w:t>declined</w:t>
      </w:r>
      <w:r w:rsidRPr="001B3F9B">
        <w:rPr>
          <w:rFonts w:ascii="Times New Roman" w:hAnsi="Times New Roman" w:cs="Times New Roman"/>
        </w:rPr>
        <w:t xml:space="preserve"> from 104 bps in 1996 to 50 bps in 2020</w:t>
      </w:r>
      <w:r>
        <w:rPr>
          <w:rFonts w:ascii="Times New Roman" w:hAnsi="Times New Roman" w:cs="Times New Roman"/>
        </w:rPr>
        <w:t>, (</w:t>
      </w:r>
      <w:r w:rsidRPr="001B3F9B">
        <w:rPr>
          <w:rFonts w:ascii="Times New Roman" w:hAnsi="Times New Roman" w:cs="Times New Roman"/>
        </w:rPr>
        <w:t>Investment Company Institute, 2021)</w:t>
      </w:r>
      <w:r>
        <w:rPr>
          <w:rFonts w:ascii="Times New Roman" w:hAnsi="Times New Roman" w:cs="Times New Roman"/>
        </w:rPr>
        <w:t xml:space="preserve">, </w:t>
      </w:r>
      <w:r w:rsidRPr="001B3F9B">
        <w:rPr>
          <w:rFonts w:ascii="Times New Roman" w:hAnsi="Times New Roman" w:cs="Times New Roman"/>
        </w:rPr>
        <w:t>an indication that the disappointing performance of active management has not been lost on the investing public in managing their own assets</w:t>
      </w:r>
      <w:r>
        <w:rPr>
          <w:rFonts w:ascii="Times New Roman" w:hAnsi="Times New Roman" w:cs="Times New Roman"/>
        </w:rPr>
        <w:t>.</w:t>
      </w:r>
    </w:p>
  </w:footnote>
  <w:footnote w:id="6">
    <w:p w14:paraId="190A7D1D" w14:textId="77777777" w:rsidR="007F2F3B" w:rsidRDefault="007F2F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6B8C">
        <w:rPr>
          <w:rFonts w:ascii="Times New Roman" w:hAnsi="Times New Roman" w:cs="Times New Roman"/>
        </w:rPr>
        <w:t>Callan (2019) is the source for fixed income and equities.</w:t>
      </w:r>
      <w:r>
        <w:rPr>
          <w:rFonts w:ascii="Times New Roman" w:hAnsi="Times New Roman" w:cs="Times New Roman"/>
        </w:rPr>
        <w:t xml:space="preserve"> The estimate for fixed income reflects the fact the endowments’ investments there are a combination of cash (at no cost) plus investment-grade and high-yield-type investments, the latter of which can cost up to 3% of asset value annually.</w:t>
      </w:r>
    </w:p>
  </w:footnote>
  <w:footnote w:id="7">
    <w:p w14:paraId="426E7BD4" w14:textId="77777777" w:rsidR="007F2F3B" w:rsidRDefault="007F2F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6B8C">
        <w:rPr>
          <w:rFonts w:ascii="Times New Roman" w:hAnsi="Times New Roman" w:cs="Times New Roman"/>
        </w:rPr>
        <w:t>Phalippou and Gottschalg (2009).</w:t>
      </w:r>
    </w:p>
  </w:footnote>
  <w:footnote w:id="8">
    <w:p w14:paraId="239159FF" w14:textId="77777777" w:rsidR="007F2F3B" w:rsidRDefault="007F2F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6B8C">
        <w:rPr>
          <w:rFonts w:ascii="Times New Roman" w:hAnsi="Times New Roman" w:cs="Times New Roman"/>
        </w:rPr>
        <w:t>Bollinger and Pagliari (2019).</w:t>
      </w:r>
      <w:r>
        <w:rPr>
          <w:rFonts w:ascii="Times New Roman" w:hAnsi="Times New Roman" w:cs="Times New Roman"/>
        </w:rPr>
        <w:t xml:space="preserve"> The figure indicated is a blend of rates for core equity, value-add and opportunistic investments.</w:t>
      </w:r>
    </w:p>
  </w:footnote>
  <w:footnote w:id="9">
    <w:p w14:paraId="1A364748" w14:textId="77777777" w:rsidR="007F2F3B" w:rsidRDefault="007F2F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6B8C">
        <w:rPr>
          <w:rFonts w:ascii="Times New Roman" w:hAnsi="Times New Roman" w:cs="Times New Roman"/>
        </w:rPr>
        <w:t xml:space="preserve">Ben-David et al. (2020), French (2008), Ibbotson </w:t>
      </w:r>
      <w:r>
        <w:rPr>
          <w:rFonts w:ascii="Times New Roman" w:hAnsi="Times New Roman" w:cs="Times New Roman"/>
        </w:rPr>
        <w:t>et al.</w:t>
      </w:r>
      <w:r w:rsidRPr="00AF6B8C">
        <w:rPr>
          <w:rFonts w:ascii="Times New Roman" w:hAnsi="Times New Roman" w:cs="Times New Roman"/>
        </w:rPr>
        <w:t xml:space="preserve"> (2010).</w:t>
      </w:r>
      <w:r>
        <w:rPr>
          <w:rFonts w:ascii="Times New Roman" w:hAnsi="Times New Roman" w:cs="Times New Roman"/>
        </w:rPr>
        <w:t xml:space="preserve"> The 3% figure is somewhat lower than the average reported in the studies.</w:t>
      </w:r>
    </w:p>
  </w:footnote>
  <w:footnote w:id="10">
    <w:p w14:paraId="2F595F1D" w14:textId="77777777" w:rsidR="007F2F3B" w:rsidRPr="0082254E" w:rsidRDefault="007F2F3B" w:rsidP="0082254E">
      <w:pPr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82254E">
        <w:rPr>
          <w:rFonts w:ascii="Times New Roman" w:hAnsi="Times New Roman" w:cs="Times New Roman"/>
          <w:sz w:val="20"/>
          <w:szCs w:val="20"/>
        </w:rPr>
        <w:t>Morningstar: https://www.morningstar.com/commodity-funds</w:t>
      </w:r>
    </w:p>
  </w:footnote>
  <w:footnote w:id="11">
    <w:p w14:paraId="72F81EF8" w14:textId="04D69547" w:rsidR="008817D0" w:rsidRDefault="008852B6">
      <w:pPr>
        <w:pStyle w:val="FootnoteText"/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</w:rPr>
        <w:t xml:space="preserve"> </w:t>
      </w:r>
      <w:r w:rsidR="005E32D3">
        <w:rPr>
          <w:rFonts w:ascii="Times New Roman" w:hAnsi="Times New Roman" w:cs="Times New Roman"/>
        </w:rPr>
        <w:t>See Aubry and</w:t>
      </w:r>
      <w:r w:rsidR="00F967BD">
        <w:rPr>
          <w:rFonts w:ascii="Times New Roman" w:hAnsi="Times New Roman" w:cs="Times New Roman"/>
        </w:rPr>
        <w:t xml:space="preserve"> </w:t>
      </w:r>
      <w:r w:rsidR="005E32D3" w:rsidRPr="005E32D3">
        <w:rPr>
          <w:rFonts w:ascii="Times New Roman" w:hAnsi="Times New Roman" w:cs="Times New Roman"/>
        </w:rPr>
        <w:t>Wandrei</w:t>
      </w:r>
      <w:r w:rsidR="00F967BD">
        <w:rPr>
          <w:rFonts w:ascii="Times New Roman" w:hAnsi="Times New Roman" w:cs="Times New Roman"/>
        </w:rPr>
        <w:t xml:space="preserve"> (2020)</w:t>
      </w:r>
      <w:r w:rsidR="005E32D3" w:rsidRPr="005E32D3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4B6"/>
    <w:multiLevelType w:val="hybridMultilevel"/>
    <w:tmpl w:val="B3A2C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B16"/>
    <w:multiLevelType w:val="hybridMultilevel"/>
    <w:tmpl w:val="6E76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F5C"/>
    <w:multiLevelType w:val="hybridMultilevel"/>
    <w:tmpl w:val="A16C5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550B0"/>
    <w:multiLevelType w:val="hybridMultilevel"/>
    <w:tmpl w:val="8EB64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D72"/>
    <w:multiLevelType w:val="hybridMultilevel"/>
    <w:tmpl w:val="86807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6709D"/>
    <w:multiLevelType w:val="hybridMultilevel"/>
    <w:tmpl w:val="EE689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07696"/>
    <w:multiLevelType w:val="hybridMultilevel"/>
    <w:tmpl w:val="71C89C82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7" w15:restartNumberingAfterBreak="0">
    <w:nsid w:val="291377A3"/>
    <w:multiLevelType w:val="hybridMultilevel"/>
    <w:tmpl w:val="E74E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64D8C"/>
    <w:multiLevelType w:val="hybridMultilevel"/>
    <w:tmpl w:val="6C82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673F3"/>
    <w:multiLevelType w:val="hybridMultilevel"/>
    <w:tmpl w:val="072EB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682"/>
    <w:multiLevelType w:val="hybridMultilevel"/>
    <w:tmpl w:val="1534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F5C0A"/>
    <w:multiLevelType w:val="hybridMultilevel"/>
    <w:tmpl w:val="69E6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41844"/>
    <w:multiLevelType w:val="hybridMultilevel"/>
    <w:tmpl w:val="2F52E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B4768"/>
    <w:multiLevelType w:val="hybridMultilevel"/>
    <w:tmpl w:val="3E56CEE6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4" w15:restartNumberingAfterBreak="0">
    <w:nsid w:val="503B3F9C"/>
    <w:multiLevelType w:val="hybridMultilevel"/>
    <w:tmpl w:val="0CD0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F70B4"/>
    <w:multiLevelType w:val="hybridMultilevel"/>
    <w:tmpl w:val="DB666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30F83"/>
    <w:multiLevelType w:val="hybridMultilevel"/>
    <w:tmpl w:val="93081A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5E35B5"/>
    <w:multiLevelType w:val="hybridMultilevel"/>
    <w:tmpl w:val="3FBEA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B3AE9"/>
    <w:multiLevelType w:val="hybridMultilevel"/>
    <w:tmpl w:val="8B326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B5BE4"/>
    <w:multiLevelType w:val="hybridMultilevel"/>
    <w:tmpl w:val="00AE7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2"/>
  </w:num>
  <w:num w:numId="5">
    <w:abstractNumId w:val="15"/>
  </w:num>
  <w:num w:numId="6">
    <w:abstractNumId w:val="8"/>
  </w:num>
  <w:num w:numId="7">
    <w:abstractNumId w:val="10"/>
  </w:num>
  <w:num w:numId="8">
    <w:abstractNumId w:val="3"/>
  </w:num>
  <w:num w:numId="9">
    <w:abstractNumId w:val="13"/>
  </w:num>
  <w:num w:numId="10">
    <w:abstractNumId w:val="16"/>
  </w:num>
  <w:num w:numId="11">
    <w:abstractNumId w:val="9"/>
  </w:num>
  <w:num w:numId="12">
    <w:abstractNumId w:val="4"/>
  </w:num>
  <w:num w:numId="13">
    <w:abstractNumId w:val="18"/>
  </w:num>
  <w:num w:numId="14">
    <w:abstractNumId w:val="14"/>
  </w:num>
  <w:num w:numId="15">
    <w:abstractNumId w:val="12"/>
  </w:num>
  <w:num w:numId="16">
    <w:abstractNumId w:val="11"/>
  </w:num>
  <w:num w:numId="17">
    <w:abstractNumId w:val="1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E"/>
    <w:rsid w:val="000006FD"/>
    <w:rsid w:val="0000145A"/>
    <w:rsid w:val="00001A39"/>
    <w:rsid w:val="00001D9C"/>
    <w:rsid w:val="00002629"/>
    <w:rsid w:val="00002C6D"/>
    <w:rsid w:val="0000380D"/>
    <w:rsid w:val="00004114"/>
    <w:rsid w:val="00004294"/>
    <w:rsid w:val="00004394"/>
    <w:rsid w:val="0000474B"/>
    <w:rsid w:val="00004958"/>
    <w:rsid w:val="00004A85"/>
    <w:rsid w:val="00004B9F"/>
    <w:rsid w:val="0000517A"/>
    <w:rsid w:val="00005AD6"/>
    <w:rsid w:val="00006739"/>
    <w:rsid w:val="00006AC1"/>
    <w:rsid w:val="000070DB"/>
    <w:rsid w:val="0000747B"/>
    <w:rsid w:val="0000768E"/>
    <w:rsid w:val="000078D1"/>
    <w:rsid w:val="00007BFD"/>
    <w:rsid w:val="0001016D"/>
    <w:rsid w:val="0001058B"/>
    <w:rsid w:val="00010AA7"/>
    <w:rsid w:val="000110D2"/>
    <w:rsid w:val="0001171B"/>
    <w:rsid w:val="00011A35"/>
    <w:rsid w:val="00012293"/>
    <w:rsid w:val="00013752"/>
    <w:rsid w:val="000145B2"/>
    <w:rsid w:val="0001480F"/>
    <w:rsid w:val="00014B54"/>
    <w:rsid w:val="00014E94"/>
    <w:rsid w:val="00014FE9"/>
    <w:rsid w:val="0001508A"/>
    <w:rsid w:val="00015E52"/>
    <w:rsid w:val="00015FEB"/>
    <w:rsid w:val="000168F8"/>
    <w:rsid w:val="0001747D"/>
    <w:rsid w:val="000174F3"/>
    <w:rsid w:val="00017C25"/>
    <w:rsid w:val="00017D51"/>
    <w:rsid w:val="00017D97"/>
    <w:rsid w:val="00020002"/>
    <w:rsid w:val="000209A5"/>
    <w:rsid w:val="00020A30"/>
    <w:rsid w:val="00020A41"/>
    <w:rsid w:val="00021060"/>
    <w:rsid w:val="0002114B"/>
    <w:rsid w:val="0002150F"/>
    <w:rsid w:val="0002274D"/>
    <w:rsid w:val="0002313A"/>
    <w:rsid w:val="00023A2F"/>
    <w:rsid w:val="00023AFA"/>
    <w:rsid w:val="00023BBC"/>
    <w:rsid w:val="00024DB2"/>
    <w:rsid w:val="000253A0"/>
    <w:rsid w:val="00025663"/>
    <w:rsid w:val="00026238"/>
    <w:rsid w:val="0002665B"/>
    <w:rsid w:val="00026E3D"/>
    <w:rsid w:val="00027254"/>
    <w:rsid w:val="00027A01"/>
    <w:rsid w:val="00027C26"/>
    <w:rsid w:val="000301E3"/>
    <w:rsid w:val="00030365"/>
    <w:rsid w:val="00030D7D"/>
    <w:rsid w:val="000314B0"/>
    <w:rsid w:val="000319CF"/>
    <w:rsid w:val="00031CA1"/>
    <w:rsid w:val="000322F1"/>
    <w:rsid w:val="00032615"/>
    <w:rsid w:val="0003276F"/>
    <w:rsid w:val="00032981"/>
    <w:rsid w:val="0003299A"/>
    <w:rsid w:val="00033325"/>
    <w:rsid w:val="0003367D"/>
    <w:rsid w:val="00033A08"/>
    <w:rsid w:val="00033EC2"/>
    <w:rsid w:val="000343AD"/>
    <w:rsid w:val="0003443C"/>
    <w:rsid w:val="00034A21"/>
    <w:rsid w:val="00034D30"/>
    <w:rsid w:val="00035436"/>
    <w:rsid w:val="000356CA"/>
    <w:rsid w:val="000357E0"/>
    <w:rsid w:val="000358B6"/>
    <w:rsid w:val="00035C46"/>
    <w:rsid w:val="00035C9F"/>
    <w:rsid w:val="000364A8"/>
    <w:rsid w:val="000367A6"/>
    <w:rsid w:val="000378D2"/>
    <w:rsid w:val="00037B80"/>
    <w:rsid w:val="00037DB1"/>
    <w:rsid w:val="000405C4"/>
    <w:rsid w:val="000407E6"/>
    <w:rsid w:val="00040EC8"/>
    <w:rsid w:val="00040EF3"/>
    <w:rsid w:val="00041669"/>
    <w:rsid w:val="00041A03"/>
    <w:rsid w:val="00041DC2"/>
    <w:rsid w:val="00041F68"/>
    <w:rsid w:val="000420C5"/>
    <w:rsid w:val="00042227"/>
    <w:rsid w:val="00042237"/>
    <w:rsid w:val="000425FF"/>
    <w:rsid w:val="0004265F"/>
    <w:rsid w:val="00042672"/>
    <w:rsid w:val="000427E3"/>
    <w:rsid w:val="00042DA9"/>
    <w:rsid w:val="000430BB"/>
    <w:rsid w:val="000432FA"/>
    <w:rsid w:val="000442E2"/>
    <w:rsid w:val="0004456E"/>
    <w:rsid w:val="000447E2"/>
    <w:rsid w:val="00044BB3"/>
    <w:rsid w:val="000463C7"/>
    <w:rsid w:val="000463FA"/>
    <w:rsid w:val="000466D3"/>
    <w:rsid w:val="00047CAD"/>
    <w:rsid w:val="000508B5"/>
    <w:rsid w:val="00050A8D"/>
    <w:rsid w:val="00050BF6"/>
    <w:rsid w:val="00050D49"/>
    <w:rsid w:val="00050DAC"/>
    <w:rsid w:val="0005112B"/>
    <w:rsid w:val="00051221"/>
    <w:rsid w:val="0005146B"/>
    <w:rsid w:val="00051685"/>
    <w:rsid w:val="000517DA"/>
    <w:rsid w:val="0005200D"/>
    <w:rsid w:val="000522D5"/>
    <w:rsid w:val="00052461"/>
    <w:rsid w:val="00052A6A"/>
    <w:rsid w:val="00053474"/>
    <w:rsid w:val="000543E8"/>
    <w:rsid w:val="0005510F"/>
    <w:rsid w:val="00055171"/>
    <w:rsid w:val="0005544E"/>
    <w:rsid w:val="000556D6"/>
    <w:rsid w:val="00055B1D"/>
    <w:rsid w:val="00055BD7"/>
    <w:rsid w:val="00055C55"/>
    <w:rsid w:val="0005609C"/>
    <w:rsid w:val="0005623A"/>
    <w:rsid w:val="0005673D"/>
    <w:rsid w:val="00056B79"/>
    <w:rsid w:val="0005782E"/>
    <w:rsid w:val="00057ABA"/>
    <w:rsid w:val="00057CC3"/>
    <w:rsid w:val="000601CD"/>
    <w:rsid w:val="000605F6"/>
    <w:rsid w:val="0006063A"/>
    <w:rsid w:val="000608DF"/>
    <w:rsid w:val="00060AD2"/>
    <w:rsid w:val="0006170D"/>
    <w:rsid w:val="00061ADF"/>
    <w:rsid w:val="000621F1"/>
    <w:rsid w:val="0006283D"/>
    <w:rsid w:val="00062CEB"/>
    <w:rsid w:val="000634E2"/>
    <w:rsid w:val="000646AD"/>
    <w:rsid w:val="00064A51"/>
    <w:rsid w:val="00064DD6"/>
    <w:rsid w:val="00064DFD"/>
    <w:rsid w:val="00064F06"/>
    <w:rsid w:val="00065406"/>
    <w:rsid w:val="000657E6"/>
    <w:rsid w:val="00066101"/>
    <w:rsid w:val="00066B8F"/>
    <w:rsid w:val="00066C94"/>
    <w:rsid w:val="00066EC1"/>
    <w:rsid w:val="000673C6"/>
    <w:rsid w:val="00067712"/>
    <w:rsid w:val="0006780F"/>
    <w:rsid w:val="0006781A"/>
    <w:rsid w:val="0007065E"/>
    <w:rsid w:val="0007080B"/>
    <w:rsid w:val="00071B39"/>
    <w:rsid w:val="00071C2C"/>
    <w:rsid w:val="00071FCC"/>
    <w:rsid w:val="0007256F"/>
    <w:rsid w:val="00072B23"/>
    <w:rsid w:val="00072E7F"/>
    <w:rsid w:val="0007340E"/>
    <w:rsid w:val="000737C4"/>
    <w:rsid w:val="0007387D"/>
    <w:rsid w:val="00073B2B"/>
    <w:rsid w:val="00074203"/>
    <w:rsid w:val="00074320"/>
    <w:rsid w:val="0007448B"/>
    <w:rsid w:val="0007467A"/>
    <w:rsid w:val="00074B32"/>
    <w:rsid w:val="00074BA8"/>
    <w:rsid w:val="00074E5F"/>
    <w:rsid w:val="000753A3"/>
    <w:rsid w:val="00075717"/>
    <w:rsid w:val="0007572B"/>
    <w:rsid w:val="00075E6A"/>
    <w:rsid w:val="00076041"/>
    <w:rsid w:val="0007713D"/>
    <w:rsid w:val="00077189"/>
    <w:rsid w:val="000774EA"/>
    <w:rsid w:val="00077AB7"/>
    <w:rsid w:val="000804D1"/>
    <w:rsid w:val="00081348"/>
    <w:rsid w:val="000814C2"/>
    <w:rsid w:val="0008185D"/>
    <w:rsid w:val="00081C53"/>
    <w:rsid w:val="000823F4"/>
    <w:rsid w:val="000824B8"/>
    <w:rsid w:val="0008251C"/>
    <w:rsid w:val="0008264E"/>
    <w:rsid w:val="000826BC"/>
    <w:rsid w:val="0008275D"/>
    <w:rsid w:val="00082C03"/>
    <w:rsid w:val="000830E3"/>
    <w:rsid w:val="00083964"/>
    <w:rsid w:val="00083A9F"/>
    <w:rsid w:val="000841D9"/>
    <w:rsid w:val="000842E6"/>
    <w:rsid w:val="0008460B"/>
    <w:rsid w:val="000849D0"/>
    <w:rsid w:val="00084B80"/>
    <w:rsid w:val="00085175"/>
    <w:rsid w:val="00085820"/>
    <w:rsid w:val="00085CD3"/>
    <w:rsid w:val="00085DE5"/>
    <w:rsid w:val="000863EA"/>
    <w:rsid w:val="0008656B"/>
    <w:rsid w:val="000865D7"/>
    <w:rsid w:val="00086700"/>
    <w:rsid w:val="00086C48"/>
    <w:rsid w:val="00086CC5"/>
    <w:rsid w:val="00087479"/>
    <w:rsid w:val="00087628"/>
    <w:rsid w:val="00087856"/>
    <w:rsid w:val="00087A25"/>
    <w:rsid w:val="00087D4A"/>
    <w:rsid w:val="0009095D"/>
    <w:rsid w:val="00091595"/>
    <w:rsid w:val="00091637"/>
    <w:rsid w:val="000927D5"/>
    <w:rsid w:val="00092800"/>
    <w:rsid w:val="00092925"/>
    <w:rsid w:val="00092968"/>
    <w:rsid w:val="00092B52"/>
    <w:rsid w:val="00092EA1"/>
    <w:rsid w:val="00093E8A"/>
    <w:rsid w:val="00093F3D"/>
    <w:rsid w:val="0009437A"/>
    <w:rsid w:val="00094D4B"/>
    <w:rsid w:val="0009547D"/>
    <w:rsid w:val="0009564F"/>
    <w:rsid w:val="0009658D"/>
    <w:rsid w:val="00097209"/>
    <w:rsid w:val="00097F6C"/>
    <w:rsid w:val="00097FFD"/>
    <w:rsid w:val="000A034B"/>
    <w:rsid w:val="000A03A7"/>
    <w:rsid w:val="000A0497"/>
    <w:rsid w:val="000A09D3"/>
    <w:rsid w:val="000A0C44"/>
    <w:rsid w:val="000A1341"/>
    <w:rsid w:val="000A1810"/>
    <w:rsid w:val="000A1B92"/>
    <w:rsid w:val="000A1B96"/>
    <w:rsid w:val="000A1DBE"/>
    <w:rsid w:val="000A2A06"/>
    <w:rsid w:val="000A2A82"/>
    <w:rsid w:val="000A3601"/>
    <w:rsid w:val="000A36FA"/>
    <w:rsid w:val="000A375C"/>
    <w:rsid w:val="000A4297"/>
    <w:rsid w:val="000A4497"/>
    <w:rsid w:val="000A4F08"/>
    <w:rsid w:val="000A5D32"/>
    <w:rsid w:val="000A62F0"/>
    <w:rsid w:val="000A63E3"/>
    <w:rsid w:val="000A6D79"/>
    <w:rsid w:val="000A709C"/>
    <w:rsid w:val="000A7C4C"/>
    <w:rsid w:val="000B023E"/>
    <w:rsid w:val="000B04AA"/>
    <w:rsid w:val="000B04D8"/>
    <w:rsid w:val="000B0CD7"/>
    <w:rsid w:val="000B14B2"/>
    <w:rsid w:val="000B18B8"/>
    <w:rsid w:val="000B1B63"/>
    <w:rsid w:val="000B1C45"/>
    <w:rsid w:val="000B24D7"/>
    <w:rsid w:val="000B2871"/>
    <w:rsid w:val="000B2D1D"/>
    <w:rsid w:val="000B2DF0"/>
    <w:rsid w:val="000B315B"/>
    <w:rsid w:val="000B34A2"/>
    <w:rsid w:val="000B3577"/>
    <w:rsid w:val="000B3AA9"/>
    <w:rsid w:val="000B433D"/>
    <w:rsid w:val="000B46AC"/>
    <w:rsid w:val="000B4715"/>
    <w:rsid w:val="000B4B03"/>
    <w:rsid w:val="000B64A2"/>
    <w:rsid w:val="000B64A4"/>
    <w:rsid w:val="000B67B4"/>
    <w:rsid w:val="000B68E4"/>
    <w:rsid w:val="000B6F6E"/>
    <w:rsid w:val="000B7AFA"/>
    <w:rsid w:val="000C0119"/>
    <w:rsid w:val="000C0215"/>
    <w:rsid w:val="000C1F6C"/>
    <w:rsid w:val="000C2123"/>
    <w:rsid w:val="000C234A"/>
    <w:rsid w:val="000C2676"/>
    <w:rsid w:val="000C2AD2"/>
    <w:rsid w:val="000C2DC1"/>
    <w:rsid w:val="000C33C5"/>
    <w:rsid w:val="000C347A"/>
    <w:rsid w:val="000C3B27"/>
    <w:rsid w:val="000C3D46"/>
    <w:rsid w:val="000C4711"/>
    <w:rsid w:val="000C4E14"/>
    <w:rsid w:val="000C50B7"/>
    <w:rsid w:val="000C577F"/>
    <w:rsid w:val="000C5967"/>
    <w:rsid w:val="000C704F"/>
    <w:rsid w:val="000D0FD4"/>
    <w:rsid w:val="000D1252"/>
    <w:rsid w:val="000D15EA"/>
    <w:rsid w:val="000D160F"/>
    <w:rsid w:val="000D1C7D"/>
    <w:rsid w:val="000D1CE3"/>
    <w:rsid w:val="000D1F6E"/>
    <w:rsid w:val="000D1FC0"/>
    <w:rsid w:val="000D1FEE"/>
    <w:rsid w:val="000D2164"/>
    <w:rsid w:val="000D2CBB"/>
    <w:rsid w:val="000D2E0B"/>
    <w:rsid w:val="000D2FB9"/>
    <w:rsid w:val="000D3046"/>
    <w:rsid w:val="000D4360"/>
    <w:rsid w:val="000D4A36"/>
    <w:rsid w:val="000D4DF6"/>
    <w:rsid w:val="000D508D"/>
    <w:rsid w:val="000D50CB"/>
    <w:rsid w:val="000D5358"/>
    <w:rsid w:val="000D5447"/>
    <w:rsid w:val="000D548B"/>
    <w:rsid w:val="000D58E9"/>
    <w:rsid w:val="000D5B6A"/>
    <w:rsid w:val="000D5E98"/>
    <w:rsid w:val="000D615A"/>
    <w:rsid w:val="000D68F3"/>
    <w:rsid w:val="000D7398"/>
    <w:rsid w:val="000D73D9"/>
    <w:rsid w:val="000D7481"/>
    <w:rsid w:val="000D7723"/>
    <w:rsid w:val="000D77DC"/>
    <w:rsid w:val="000D7C63"/>
    <w:rsid w:val="000D7EBE"/>
    <w:rsid w:val="000E0B3B"/>
    <w:rsid w:val="000E0FE1"/>
    <w:rsid w:val="000E2168"/>
    <w:rsid w:val="000E23B2"/>
    <w:rsid w:val="000E26CA"/>
    <w:rsid w:val="000E29C9"/>
    <w:rsid w:val="000E2CC3"/>
    <w:rsid w:val="000E3124"/>
    <w:rsid w:val="000E3286"/>
    <w:rsid w:val="000E3D23"/>
    <w:rsid w:val="000E477E"/>
    <w:rsid w:val="000E4861"/>
    <w:rsid w:val="000E4A41"/>
    <w:rsid w:val="000E4B53"/>
    <w:rsid w:val="000E4C4B"/>
    <w:rsid w:val="000E5179"/>
    <w:rsid w:val="000E58EF"/>
    <w:rsid w:val="000E602C"/>
    <w:rsid w:val="000E65FE"/>
    <w:rsid w:val="000E711B"/>
    <w:rsid w:val="000E782E"/>
    <w:rsid w:val="000F031C"/>
    <w:rsid w:val="000F04B8"/>
    <w:rsid w:val="000F0765"/>
    <w:rsid w:val="000F0AA2"/>
    <w:rsid w:val="000F0BBD"/>
    <w:rsid w:val="000F0FA5"/>
    <w:rsid w:val="000F1240"/>
    <w:rsid w:val="000F14E5"/>
    <w:rsid w:val="000F1764"/>
    <w:rsid w:val="000F183E"/>
    <w:rsid w:val="000F19BD"/>
    <w:rsid w:val="000F2A4F"/>
    <w:rsid w:val="000F2CA8"/>
    <w:rsid w:val="000F2CE2"/>
    <w:rsid w:val="000F316C"/>
    <w:rsid w:val="000F344C"/>
    <w:rsid w:val="000F3722"/>
    <w:rsid w:val="000F4110"/>
    <w:rsid w:val="000F4641"/>
    <w:rsid w:val="000F47C8"/>
    <w:rsid w:val="000F47EA"/>
    <w:rsid w:val="000F4F11"/>
    <w:rsid w:val="000F5062"/>
    <w:rsid w:val="000F52FB"/>
    <w:rsid w:val="000F5B6D"/>
    <w:rsid w:val="000F7300"/>
    <w:rsid w:val="000F7373"/>
    <w:rsid w:val="000F75CA"/>
    <w:rsid w:val="000F785E"/>
    <w:rsid w:val="001008C7"/>
    <w:rsid w:val="0010108B"/>
    <w:rsid w:val="00101137"/>
    <w:rsid w:val="00101595"/>
    <w:rsid w:val="0010170B"/>
    <w:rsid w:val="001018B1"/>
    <w:rsid w:val="00102343"/>
    <w:rsid w:val="00102CF8"/>
    <w:rsid w:val="00103315"/>
    <w:rsid w:val="001036B2"/>
    <w:rsid w:val="00104069"/>
    <w:rsid w:val="00104726"/>
    <w:rsid w:val="0010493A"/>
    <w:rsid w:val="00104AA2"/>
    <w:rsid w:val="001059A2"/>
    <w:rsid w:val="00105E6F"/>
    <w:rsid w:val="001063EC"/>
    <w:rsid w:val="0010666A"/>
    <w:rsid w:val="00106962"/>
    <w:rsid w:val="00106FEB"/>
    <w:rsid w:val="00107F0C"/>
    <w:rsid w:val="00110152"/>
    <w:rsid w:val="001103DA"/>
    <w:rsid w:val="0011067B"/>
    <w:rsid w:val="00110E86"/>
    <w:rsid w:val="0011181E"/>
    <w:rsid w:val="00111BA6"/>
    <w:rsid w:val="00111BD4"/>
    <w:rsid w:val="00111DD0"/>
    <w:rsid w:val="001120F8"/>
    <w:rsid w:val="00112438"/>
    <w:rsid w:val="00112C55"/>
    <w:rsid w:val="00112CCB"/>
    <w:rsid w:val="001131C7"/>
    <w:rsid w:val="0011320B"/>
    <w:rsid w:val="00113237"/>
    <w:rsid w:val="00113238"/>
    <w:rsid w:val="001134C4"/>
    <w:rsid w:val="00113540"/>
    <w:rsid w:val="00113ACD"/>
    <w:rsid w:val="00113CE9"/>
    <w:rsid w:val="00113DAD"/>
    <w:rsid w:val="00114105"/>
    <w:rsid w:val="0011443D"/>
    <w:rsid w:val="001150AD"/>
    <w:rsid w:val="0011546F"/>
    <w:rsid w:val="00115565"/>
    <w:rsid w:val="001155C1"/>
    <w:rsid w:val="00115945"/>
    <w:rsid w:val="00115EEC"/>
    <w:rsid w:val="0011621B"/>
    <w:rsid w:val="001165FF"/>
    <w:rsid w:val="00116BA4"/>
    <w:rsid w:val="00116D77"/>
    <w:rsid w:val="00116D8C"/>
    <w:rsid w:val="0011783D"/>
    <w:rsid w:val="0012002C"/>
    <w:rsid w:val="0012014B"/>
    <w:rsid w:val="001204AA"/>
    <w:rsid w:val="00120A7F"/>
    <w:rsid w:val="00120B5A"/>
    <w:rsid w:val="001214D3"/>
    <w:rsid w:val="001231A3"/>
    <w:rsid w:val="0012329B"/>
    <w:rsid w:val="001236DD"/>
    <w:rsid w:val="00123CA9"/>
    <w:rsid w:val="001243D8"/>
    <w:rsid w:val="001247E7"/>
    <w:rsid w:val="00125082"/>
    <w:rsid w:val="001252A2"/>
    <w:rsid w:val="001253B5"/>
    <w:rsid w:val="00125A33"/>
    <w:rsid w:val="00125C0B"/>
    <w:rsid w:val="00125C14"/>
    <w:rsid w:val="00126DF8"/>
    <w:rsid w:val="00127A90"/>
    <w:rsid w:val="00127F1A"/>
    <w:rsid w:val="001303BC"/>
    <w:rsid w:val="00130476"/>
    <w:rsid w:val="00130DC0"/>
    <w:rsid w:val="00131391"/>
    <w:rsid w:val="00131392"/>
    <w:rsid w:val="00131D7F"/>
    <w:rsid w:val="00132332"/>
    <w:rsid w:val="00132E4F"/>
    <w:rsid w:val="00132F9A"/>
    <w:rsid w:val="001338DB"/>
    <w:rsid w:val="00133A51"/>
    <w:rsid w:val="001345E6"/>
    <w:rsid w:val="00134CA5"/>
    <w:rsid w:val="00134D98"/>
    <w:rsid w:val="0013503B"/>
    <w:rsid w:val="00135125"/>
    <w:rsid w:val="0013528A"/>
    <w:rsid w:val="0013558D"/>
    <w:rsid w:val="00135D48"/>
    <w:rsid w:val="00135FB0"/>
    <w:rsid w:val="00136241"/>
    <w:rsid w:val="00137306"/>
    <w:rsid w:val="001374BA"/>
    <w:rsid w:val="0013757C"/>
    <w:rsid w:val="0013775B"/>
    <w:rsid w:val="00137AD5"/>
    <w:rsid w:val="00140D39"/>
    <w:rsid w:val="001410A2"/>
    <w:rsid w:val="001416E8"/>
    <w:rsid w:val="00141840"/>
    <w:rsid w:val="00141A1F"/>
    <w:rsid w:val="00141CC2"/>
    <w:rsid w:val="00142069"/>
    <w:rsid w:val="00142BA9"/>
    <w:rsid w:val="001435B2"/>
    <w:rsid w:val="001437CA"/>
    <w:rsid w:val="001445EE"/>
    <w:rsid w:val="0014496F"/>
    <w:rsid w:val="001463B3"/>
    <w:rsid w:val="001465D7"/>
    <w:rsid w:val="00146767"/>
    <w:rsid w:val="001470B0"/>
    <w:rsid w:val="00147281"/>
    <w:rsid w:val="00147D38"/>
    <w:rsid w:val="00147DA0"/>
    <w:rsid w:val="00147F0E"/>
    <w:rsid w:val="001502CE"/>
    <w:rsid w:val="00150C29"/>
    <w:rsid w:val="00150C8B"/>
    <w:rsid w:val="00150FA2"/>
    <w:rsid w:val="00150FB4"/>
    <w:rsid w:val="001511A9"/>
    <w:rsid w:val="00151A18"/>
    <w:rsid w:val="00151E51"/>
    <w:rsid w:val="00151ECF"/>
    <w:rsid w:val="001520DC"/>
    <w:rsid w:val="00152833"/>
    <w:rsid w:val="00152D0E"/>
    <w:rsid w:val="0015367B"/>
    <w:rsid w:val="00153A44"/>
    <w:rsid w:val="00154003"/>
    <w:rsid w:val="0015410D"/>
    <w:rsid w:val="001545E3"/>
    <w:rsid w:val="00154879"/>
    <w:rsid w:val="0015499C"/>
    <w:rsid w:val="00154B2B"/>
    <w:rsid w:val="00154B99"/>
    <w:rsid w:val="00154BDE"/>
    <w:rsid w:val="00154D86"/>
    <w:rsid w:val="00155799"/>
    <w:rsid w:val="00155964"/>
    <w:rsid w:val="00155A29"/>
    <w:rsid w:val="00156A66"/>
    <w:rsid w:val="00156AFF"/>
    <w:rsid w:val="00157A4E"/>
    <w:rsid w:val="00157CB2"/>
    <w:rsid w:val="001606D7"/>
    <w:rsid w:val="0016071E"/>
    <w:rsid w:val="001607DB"/>
    <w:rsid w:val="00161064"/>
    <w:rsid w:val="00161477"/>
    <w:rsid w:val="001618C4"/>
    <w:rsid w:val="00161E28"/>
    <w:rsid w:val="001621F9"/>
    <w:rsid w:val="001623E7"/>
    <w:rsid w:val="00162514"/>
    <w:rsid w:val="00162900"/>
    <w:rsid w:val="00162A56"/>
    <w:rsid w:val="00162A5C"/>
    <w:rsid w:val="00163603"/>
    <w:rsid w:val="00163721"/>
    <w:rsid w:val="00163DF2"/>
    <w:rsid w:val="00164339"/>
    <w:rsid w:val="0016434B"/>
    <w:rsid w:val="001646BF"/>
    <w:rsid w:val="0016494C"/>
    <w:rsid w:val="00164AE0"/>
    <w:rsid w:val="00164BA9"/>
    <w:rsid w:val="00164EFB"/>
    <w:rsid w:val="00165059"/>
    <w:rsid w:val="00165492"/>
    <w:rsid w:val="00165643"/>
    <w:rsid w:val="001662A4"/>
    <w:rsid w:val="00166EC5"/>
    <w:rsid w:val="00166F97"/>
    <w:rsid w:val="00167938"/>
    <w:rsid w:val="001679E8"/>
    <w:rsid w:val="00167B05"/>
    <w:rsid w:val="00170001"/>
    <w:rsid w:val="00170021"/>
    <w:rsid w:val="0017015B"/>
    <w:rsid w:val="001711A1"/>
    <w:rsid w:val="001712AC"/>
    <w:rsid w:val="00171A88"/>
    <w:rsid w:val="00171C46"/>
    <w:rsid w:val="00171C47"/>
    <w:rsid w:val="00171CA6"/>
    <w:rsid w:val="0017255C"/>
    <w:rsid w:val="00172ACB"/>
    <w:rsid w:val="00174983"/>
    <w:rsid w:val="00175182"/>
    <w:rsid w:val="0017585D"/>
    <w:rsid w:val="001765C5"/>
    <w:rsid w:val="00176606"/>
    <w:rsid w:val="00176C49"/>
    <w:rsid w:val="00176E0C"/>
    <w:rsid w:val="00176E37"/>
    <w:rsid w:val="00177A9F"/>
    <w:rsid w:val="00177BDD"/>
    <w:rsid w:val="00177CDB"/>
    <w:rsid w:val="00180381"/>
    <w:rsid w:val="0018041F"/>
    <w:rsid w:val="001814BB"/>
    <w:rsid w:val="00181B6D"/>
    <w:rsid w:val="00182621"/>
    <w:rsid w:val="00182A08"/>
    <w:rsid w:val="00182D2C"/>
    <w:rsid w:val="00183177"/>
    <w:rsid w:val="001838FA"/>
    <w:rsid w:val="00183EAD"/>
    <w:rsid w:val="00183EC9"/>
    <w:rsid w:val="001847C4"/>
    <w:rsid w:val="00184EE5"/>
    <w:rsid w:val="00184F81"/>
    <w:rsid w:val="001854F5"/>
    <w:rsid w:val="001855F6"/>
    <w:rsid w:val="00186FAD"/>
    <w:rsid w:val="0018722C"/>
    <w:rsid w:val="00187543"/>
    <w:rsid w:val="001876FA"/>
    <w:rsid w:val="0018771C"/>
    <w:rsid w:val="001877C2"/>
    <w:rsid w:val="00187DF4"/>
    <w:rsid w:val="00187FC5"/>
    <w:rsid w:val="001908AD"/>
    <w:rsid w:val="001909E0"/>
    <w:rsid w:val="00190A44"/>
    <w:rsid w:val="001912A6"/>
    <w:rsid w:val="00191346"/>
    <w:rsid w:val="00191B9C"/>
    <w:rsid w:val="00191F66"/>
    <w:rsid w:val="00192349"/>
    <w:rsid w:val="001927F7"/>
    <w:rsid w:val="00192BCD"/>
    <w:rsid w:val="00193207"/>
    <w:rsid w:val="00193683"/>
    <w:rsid w:val="00193A68"/>
    <w:rsid w:val="00193F15"/>
    <w:rsid w:val="001940A8"/>
    <w:rsid w:val="001943CB"/>
    <w:rsid w:val="00194C8F"/>
    <w:rsid w:val="00194F4B"/>
    <w:rsid w:val="0019527D"/>
    <w:rsid w:val="00195D1F"/>
    <w:rsid w:val="00195DAF"/>
    <w:rsid w:val="00195FB1"/>
    <w:rsid w:val="00196656"/>
    <w:rsid w:val="00196A08"/>
    <w:rsid w:val="00196FCA"/>
    <w:rsid w:val="001972AE"/>
    <w:rsid w:val="0019747C"/>
    <w:rsid w:val="00197819"/>
    <w:rsid w:val="00197B43"/>
    <w:rsid w:val="001A02A7"/>
    <w:rsid w:val="001A178E"/>
    <w:rsid w:val="001A18A5"/>
    <w:rsid w:val="001A1B9D"/>
    <w:rsid w:val="001A1EA0"/>
    <w:rsid w:val="001A20FC"/>
    <w:rsid w:val="001A232E"/>
    <w:rsid w:val="001A24F0"/>
    <w:rsid w:val="001A29AD"/>
    <w:rsid w:val="001A2B6E"/>
    <w:rsid w:val="001A31E3"/>
    <w:rsid w:val="001A388F"/>
    <w:rsid w:val="001A3A2C"/>
    <w:rsid w:val="001A3A84"/>
    <w:rsid w:val="001A3AB6"/>
    <w:rsid w:val="001A3D74"/>
    <w:rsid w:val="001A45AF"/>
    <w:rsid w:val="001A4C1F"/>
    <w:rsid w:val="001A4D94"/>
    <w:rsid w:val="001A55D6"/>
    <w:rsid w:val="001A5840"/>
    <w:rsid w:val="001A5D19"/>
    <w:rsid w:val="001A614B"/>
    <w:rsid w:val="001A6BE3"/>
    <w:rsid w:val="001A709C"/>
    <w:rsid w:val="001A712A"/>
    <w:rsid w:val="001A733A"/>
    <w:rsid w:val="001A747C"/>
    <w:rsid w:val="001A76B0"/>
    <w:rsid w:val="001A786E"/>
    <w:rsid w:val="001A7B52"/>
    <w:rsid w:val="001A7EE6"/>
    <w:rsid w:val="001A7F61"/>
    <w:rsid w:val="001B014A"/>
    <w:rsid w:val="001B05A8"/>
    <w:rsid w:val="001B081B"/>
    <w:rsid w:val="001B1061"/>
    <w:rsid w:val="001B116A"/>
    <w:rsid w:val="001B1624"/>
    <w:rsid w:val="001B18D4"/>
    <w:rsid w:val="001B2940"/>
    <w:rsid w:val="001B328A"/>
    <w:rsid w:val="001B3410"/>
    <w:rsid w:val="001B3599"/>
    <w:rsid w:val="001B3C7C"/>
    <w:rsid w:val="001B3F9B"/>
    <w:rsid w:val="001B4067"/>
    <w:rsid w:val="001B40A7"/>
    <w:rsid w:val="001B6152"/>
    <w:rsid w:val="001B652C"/>
    <w:rsid w:val="001B666A"/>
    <w:rsid w:val="001B76E4"/>
    <w:rsid w:val="001B7FC4"/>
    <w:rsid w:val="001B7FFC"/>
    <w:rsid w:val="001C0228"/>
    <w:rsid w:val="001C02AF"/>
    <w:rsid w:val="001C0595"/>
    <w:rsid w:val="001C063C"/>
    <w:rsid w:val="001C07E7"/>
    <w:rsid w:val="001C094F"/>
    <w:rsid w:val="001C0CBC"/>
    <w:rsid w:val="001C13C5"/>
    <w:rsid w:val="001C1740"/>
    <w:rsid w:val="001C1A9A"/>
    <w:rsid w:val="001C1EB7"/>
    <w:rsid w:val="001C25CC"/>
    <w:rsid w:val="001C3256"/>
    <w:rsid w:val="001C3756"/>
    <w:rsid w:val="001C3B7B"/>
    <w:rsid w:val="001C4313"/>
    <w:rsid w:val="001C4B34"/>
    <w:rsid w:val="001C6197"/>
    <w:rsid w:val="001C6890"/>
    <w:rsid w:val="001C74C0"/>
    <w:rsid w:val="001C765E"/>
    <w:rsid w:val="001C76D6"/>
    <w:rsid w:val="001C7852"/>
    <w:rsid w:val="001C7EDC"/>
    <w:rsid w:val="001D00B8"/>
    <w:rsid w:val="001D062E"/>
    <w:rsid w:val="001D1050"/>
    <w:rsid w:val="001D139C"/>
    <w:rsid w:val="001D13E4"/>
    <w:rsid w:val="001D1473"/>
    <w:rsid w:val="001D1583"/>
    <w:rsid w:val="001D17B8"/>
    <w:rsid w:val="001D1845"/>
    <w:rsid w:val="001D18DA"/>
    <w:rsid w:val="001D21EB"/>
    <w:rsid w:val="001D23BB"/>
    <w:rsid w:val="001D23FB"/>
    <w:rsid w:val="001D2A15"/>
    <w:rsid w:val="001D344B"/>
    <w:rsid w:val="001D3A77"/>
    <w:rsid w:val="001D403E"/>
    <w:rsid w:val="001D41E4"/>
    <w:rsid w:val="001D453E"/>
    <w:rsid w:val="001D46B6"/>
    <w:rsid w:val="001D4E37"/>
    <w:rsid w:val="001D50AF"/>
    <w:rsid w:val="001D5435"/>
    <w:rsid w:val="001D5B90"/>
    <w:rsid w:val="001D65CE"/>
    <w:rsid w:val="001D6B71"/>
    <w:rsid w:val="001D6C8E"/>
    <w:rsid w:val="001D70CC"/>
    <w:rsid w:val="001D7B9D"/>
    <w:rsid w:val="001D7BE7"/>
    <w:rsid w:val="001E0011"/>
    <w:rsid w:val="001E0042"/>
    <w:rsid w:val="001E00CC"/>
    <w:rsid w:val="001E013B"/>
    <w:rsid w:val="001E04B4"/>
    <w:rsid w:val="001E0525"/>
    <w:rsid w:val="001E053A"/>
    <w:rsid w:val="001E06C4"/>
    <w:rsid w:val="001E0C35"/>
    <w:rsid w:val="001E1352"/>
    <w:rsid w:val="001E15CB"/>
    <w:rsid w:val="001E1616"/>
    <w:rsid w:val="001E1C36"/>
    <w:rsid w:val="001E1FBF"/>
    <w:rsid w:val="001E2336"/>
    <w:rsid w:val="001E27A0"/>
    <w:rsid w:val="001E3139"/>
    <w:rsid w:val="001E38DD"/>
    <w:rsid w:val="001E3CEC"/>
    <w:rsid w:val="001E41A9"/>
    <w:rsid w:val="001E4830"/>
    <w:rsid w:val="001E4A7D"/>
    <w:rsid w:val="001E4FFC"/>
    <w:rsid w:val="001E56EF"/>
    <w:rsid w:val="001E5E1A"/>
    <w:rsid w:val="001E6192"/>
    <w:rsid w:val="001E623C"/>
    <w:rsid w:val="001E69E3"/>
    <w:rsid w:val="001E7C2B"/>
    <w:rsid w:val="001F026B"/>
    <w:rsid w:val="001F0923"/>
    <w:rsid w:val="001F0943"/>
    <w:rsid w:val="001F0B13"/>
    <w:rsid w:val="001F0D47"/>
    <w:rsid w:val="001F0D95"/>
    <w:rsid w:val="001F13E1"/>
    <w:rsid w:val="001F1C42"/>
    <w:rsid w:val="001F1DA7"/>
    <w:rsid w:val="001F1DDD"/>
    <w:rsid w:val="001F1E14"/>
    <w:rsid w:val="001F2014"/>
    <w:rsid w:val="001F2019"/>
    <w:rsid w:val="001F2585"/>
    <w:rsid w:val="001F25C8"/>
    <w:rsid w:val="001F268F"/>
    <w:rsid w:val="001F2814"/>
    <w:rsid w:val="001F2E77"/>
    <w:rsid w:val="001F32D6"/>
    <w:rsid w:val="001F38F6"/>
    <w:rsid w:val="001F3E19"/>
    <w:rsid w:val="001F4209"/>
    <w:rsid w:val="001F4218"/>
    <w:rsid w:val="001F47AE"/>
    <w:rsid w:val="001F4857"/>
    <w:rsid w:val="001F5016"/>
    <w:rsid w:val="001F5070"/>
    <w:rsid w:val="001F536B"/>
    <w:rsid w:val="001F5BFA"/>
    <w:rsid w:val="001F5DFB"/>
    <w:rsid w:val="001F5FAA"/>
    <w:rsid w:val="001F629E"/>
    <w:rsid w:val="001F68CC"/>
    <w:rsid w:val="001F6E81"/>
    <w:rsid w:val="001F6FDD"/>
    <w:rsid w:val="001F7823"/>
    <w:rsid w:val="00200024"/>
    <w:rsid w:val="002004B9"/>
    <w:rsid w:val="00200514"/>
    <w:rsid w:val="00200643"/>
    <w:rsid w:val="00200A12"/>
    <w:rsid w:val="00200C7F"/>
    <w:rsid w:val="00201082"/>
    <w:rsid w:val="002017D5"/>
    <w:rsid w:val="00201D8C"/>
    <w:rsid w:val="00202296"/>
    <w:rsid w:val="002022F9"/>
    <w:rsid w:val="0020267F"/>
    <w:rsid w:val="00203535"/>
    <w:rsid w:val="0020371B"/>
    <w:rsid w:val="00203732"/>
    <w:rsid w:val="002037A9"/>
    <w:rsid w:val="002038D0"/>
    <w:rsid w:val="00203F39"/>
    <w:rsid w:val="00203FCB"/>
    <w:rsid w:val="00204329"/>
    <w:rsid w:val="00204434"/>
    <w:rsid w:val="00204E87"/>
    <w:rsid w:val="00205316"/>
    <w:rsid w:val="00205663"/>
    <w:rsid w:val="00205E39"/>
    <w:rsid w:val="0020622F"/>
    <w:rsid w:val="0020624A"/>
    <w:rsid w:val="002065B6"/>
    <w:rsid w:val="00206B05"/>
    <w:rsid w:val="00206B96"/>
    <w:rsid w:val="00206D26"/>
    <w:rsid w:val="00206E0E"/>
    <w:rsid w:val="00206E8F"/>
    <w:rsid w:val="00206F86"/>
    <w:rsid w:val="00207229"/>
    <w:rsid w:val="00210046"/>
    <w:rsid w:val="00210103"/>
    <w:rsid w:val="002101E9"/>
    <w:rsid w:val="00210682"/>
    <w:rsid w:val="0021079A"/>
    <w:rsid w:val="002108AD"/>
    <w:rsid w:val="00211388"/>
    <w:rsid w:val="002116F2"/>
    <w:rsid w:val="00211898"/>
    <w:rsid w:val="00211D09"/>
    <w:rsid w:val="00211FB6"/>
    <w:rsid w:val="00212431"/>
    <w:rsid w:val="0021268B"/>
    <w:rsid w:val="00213490"/>
    <w:rsid w:val="00213A96"/>
    <w:rsid w:val="00213F24"/>
    <w:rsid w:val="0021414D"/>
    <w:rsid w:val="0021449E"/>
    <w:rsid w:val="0021539C"/>
    <w:rsid w:val="00215532"/>
    <w:rsid w:val="002157E8"/>
    <w:rsid w:val="00215B96"/>
    <w:rsid w:val="00215C18"/>
    <w:rsid w:val="002162E4"/>
    <w:rsid w:val="002165D1"/>
    <w:rsid w:val="002167AF"/>
    <w:rsid w:val="00216EB2"/>
    <w:rsid w:val="00216FD9"/>
    <w:rsid w:val="00217202"/>
    <w:rsid w:val="00217439"/>
    <w:rsid w:val="00220172"/>
    <w:rsid w:val="002202AA"/>
    <w:rsid w:val="00220F3B"/>
    <w:rsid w:val="00221148"/>
    <w:rsid w:val="002214F1"/>
    <w:rsid w:val="0022186D"/>
    <w:rsid w:val="002224C8"/>
    <w:rsid w:val="00222A39"/>
    <w:rsid w:val="00222A91"/>
    <w:rsid w:val="00222B9E"/>
    <w:rsid w:val="00222F5F"/>
    <w:rsid w:val="002235A3"/>
    <w:rsid w:val="002235A9"/>
    <w:rsid w:val="00223752"/>
    <w:rsid w:val="0022383D"/>
    <w:rsid w:val="00223A19"/>
    <w:rsid w:val="00223D33"/>
    <w:rsid w:val="0022407D"/>
    <w:rsid w:val="0022415F"/>
    <w:rsid w:val="00224452"/>
    <w:rsid w:val="00224692"/>
    <w:rsid w:val="002247BA"/>
    <w:rsid w:val="002253F4"/>
    <w:rsid w:val="00225866"/>
    <w:rsid w:val="00226128"/>
    <w:rsid w:val="00226F45"/>
    <w:rsid w:val="00226FB3"/>
    <w:rsid w:val="00227D16"/>
    <w:rsid w:val="00227DDF"/>
    <w:rsid w:val="00227ECA"/>
    <w:rsid w:val="00230585"/>
    <w:rsid w:val="002308DA"/>
    <w:rsid w:val="002308DB"/>
    <w:rsid w:val="002309D2"/>
    <w:rsid w:val="00230A59"/>
    <w:rsid w:val="00231165"/>
    <w:rsid w:val="00231278"/>
    <w:rsid w:val="002318FC"/>
    <w:rsid w:val="00231C83"/>
    <w:rsid w:val="00231DD1"/>
    <w:rsid w:val="0023238A"/>
    <w:rsid w:val="00232968"/>
    <w:rsid w:val="0023308C"/>
    <w:rsid w:val="002330BB"/>
    <w:rsid w:val="00233852"/>
    <w:rsid w:val="002338C6"/>
    <w:rsid w:val="002339C2"/>
    <w:rsid w:val="00233B73"/>
    <w:rsid w:val="002341BA"/>
    <w:rsid w:val="0023432A"/>
    <w:rsid w:val="00234447"/>
    <w:rsid w:val="002345A4"/>
    <w:rsid w:val="00234DE2"/>
    <w:rsid w:val="00234DE7"/>
    <w:rsid w:val="002352EF"/>
    <w:rsid w:val="002353E1"/>
    <w:rsid w:val="0023543B"/>
    <w:rsid w:val="00235518"/>
    <w:rsid w:val="0023593A"/>
    <w:rsid w:val="00235B0E"/>
    <w:rsid w:val="00235E54"/>
    <w:rsid w:val="00236345"/>
    <w:rsid w:val="002363F0"/>
    <w:rsid w:val="00236D03"/>
    <w:rsid w:val="00237233"/>
    <w:rsid w:val="002378CC"/>
    <w:rsid w:val="00237CCC"/>
    <w:rsid w:val="00237F70"/>
    <w:rsid w:val="00240F4B"/>
    <w:rsid w:val="00241936"/>
    <w:rsid w:val="00242216"/>
    <w:rsid w:val="00242518"/>
    <w:rsid w:val="0024322F"/>
    <w:rsid w:val="00243400"/>
    <w:rsid w:val="00244121"/>
    <w:rsid w:val="002441E4"/>
    <w:rsid w:val="00244D10"/>
    <w:rsid w:val="0024511B"/>
    <w:rsid w:val="0024521F"/>
    <w:rsid w:val="00245281"/>
    <w:rsid w:val="002453E9"/>
    <w:rsid w:val="0024544E"/>
    <w:rsid w:val="0024553B"/>
    <w:rsid w:val="00245803"/>
    <w:rsid w:val="0024585F"/>
    <w:rsid w:val="002459B5"/>
    <w:rsid w:val="0024670C"/>
    <w:rsid w:val="00246D03"/>
    <w:rsid w:val="002471F4"/>
    <w:rsid w:val="00247376"/>
    <w:rsid w:val="002473E9"/>
    <w:rsid w:val="00247BB2"/>
    <w:rsid w:val="00247F0E"/>
    <w:rsid w:val="0025204A"/>
    <w:rsid w:val="002522F9"/>
    <w:rsid w:val="00253382"/>
    <w:rsid w:val="00253A59"/>
    <w:rsid w:val="00253E3D"/>
    <w:rsid w:val="00254986"/>
    <w:rsid w:val="00254A84"/>
    <w:rsid w:val="00254C58"/>
    <w:rsid w:val="00255060"/>
    <w:rsid w:val="002556AA"/>
    <w:rsid w:val="00255874"/>
    <w:rsid w:val="00255890"/>
    <w:rsid w:val="00255A4F"/>
    <w:rsid w:val="00255B63"/>
    <w:rsid w:val="00255F83"/>
    <w:rsid w:val="00256036"/>
    <w:rsid w:val="00256C2C"/>
    <w:rsid w:val="00256E49"/>
    <w:rsid w:val="002577E8"/>
    <w:rsid w:val="002578D0"/>
    <w:rsid w:val="00257C19"/>
    <w:rsid w:val="00257F68"/>
    <w:rsid w:val="00260486"/>
    <w:rsid w:val="002606A8"/>
    <w:rsid w:val="00260A49"/>
    <w:rsid w:val="002611E7"/>
    <w:rsid w:val="0026179E"/>
    <w:rsid w:val="002618D9"/>
    <w:rsid w:val="002618EE"/>
    <w:rsid w:val="0026196E"/>
    <w:rsid w:val="00261E13"/>
    <w:rsid w:val="00262660"/>
    <w:rsid w:val="00262855"/>
    <w:rsid w:val="00263AF1"/>
    <w:rsid w:val="00263B93"/>
    <w:rsid w:val="002640F5"/>
    <w:rsid w:val="002643CC"/>
    <w:rsid w:val="002659EA"/>
    <w:rsid w:val="00265AFE"/>
    <w:rsid w:val="00266012"/>
    <w:rsid w:val="0026619E"/>
    <w:rsid w:val="00266D60"/>
    <w:rsid w:val="002670B4"/>
    <w:rsid w:val="00267797"/>
    <w:rsid w:val="00267842"/>
    <w:rsid w:val="00267F03"/>
    <w:rsid w:val="002700C6"/>
    <w:rsid w:val="00271D51"/>
    <w:rsid w:val="00272206"/>
    <w:rsid w:val="00272431"/>
    <w:rsid w:val="002726CE"/>
    <w:rsid w:val="00272759"/>
    <w:rsid w:val="00272944"/>
    <w:rsid w:val="00272B1E"/>
    <w:rsid w:val="002731D5"/>
    <w:rsid w:val="002734A1"/>
    <w:rsid w:val="00273D07"/>
    <w:rsid w:val="00273E65"/>
    <w:rsid w:val="002747C4"/>
    <w:rsid w:val="0027562F"/>
    <w:rsid w:val="00275808"/>
    <w:rsid w:val="00275978"/>
    <w:rsid w:val="00275A28"/>
    <w:rsid w:val="00275A4F"/>
    <w:rsid w:val="00275B81"/>
    <w:rsid w:val="00276946"/>
    <w:rsid w:val="0027698C"/>
    <w:rsid w:val="00277105"/>
    <w:rsid w:val="00277694"/>
    <w:rsid w:val="00277A1E"/>
    <w:rsid w:val="00280143"/>
    <w:rsid w:val="002801C7"/>
    <w:rsid w:val="002803B8"/>
    <w:rsid w:val="00280A14"/>
    <w:rsid w:val="00280EBB"/>
    <w:rsid w:val="00280EBF"/>
    <w:rsid w:val="0028141C"/>
    <w:rsid w:val="00282467"/>
    <w:rsid w:val="00282546"/>
    <w:rsid w:val="00282669"/>
    <w:rsid w:val="0028273E"/>
    <w:rsid w:val="00282863"/>
    <w:rsid w:val="00282C69"/>
    <w:rsid w:val="00282E56"/>
    <w:rsid w:val="00282E58"/>
    <w:rsid w:val="002831DE"/>
    <w:rsid w:val="00283849"/>
    <w:rsid w:val="00284187"/>
    <w:rsid w:val="00285120"/>
    <w:rsid w:val="0028516F"/>
    <w:rsid w:val="00285DF5"/>
    <w:rsid w:val="0028690F"/>
    <w:rsid w:val="00286D34"/>
    <w:rsid w:val="00286EC2"/>
    <w:rsid w:val="00287F30"/>
    <w:rsid w:val="00287F3F"/>
    <w:rsid w:val="002900DE"/>
    <w:rsid w:val="002901C6"/>
    <w:rsid w:val="00290999"/>
    <w:rsid w:val="00290C90"/>
    <w:rsid w:val="00290CA4"/>
    <w:rsid w:val="002913EE"/>
    <w:rsid w:val="002915FA"/>
    <w:rsid w:val="00291F45"/>
    <w:rsid w:val="00292144"/>
    <w:rsid w:val="002921DB"/>
    <w:rsid w:val="002927B8"/>
    <w:rsid w:val="00292C48"/>
    <w:rsid w:val="00292CE7"/>
    <w:rsid w:val="002930E2"/>
    <w:rsid w:val="00293130"/>
    <w:rsid w:val="00293504"/>
    <w:rsid w:val="00293926"/>
    <w:rsid w:val="00295A13"/>
    <w:rsid w:val="00295C44"/>
    <w:rsid w:val="00295C85"/>
    <w:rsid w:val="00295C93"/>
    <w:rsid w:val="00297DF7"/>
    <w:rsid w:val="00297FCB"/>
    <w:rsid w:val="002A0F0E"/>
    <w:rsid w:val="002A131A"/>
    <w:rsid w:val="002A1C92"/>
    <w:rsid w:val="002A1DC2"/>
    <w:rsid w:val="002A2587"/>
    <w:rsid w:val="002A34A5"/>
    <w:rsid w:val="002A3614"/>
    <w:rsid w:val="002A39B8"/>
    <w:rsid w:val="002A46C7"/>
    <w:rsid w:val="002A48FA"/>
    <w:rsid w:val="002A4927"/>
    <w:rsid w:val="002A4D3F"/>
    <w:rsid w:val="002A4D93"/>
    <w:rsid w:val="002A5003"/>
    <w:rsid w:val="002A5FEF"/>
    <w:rsid w:val="002A66F2"/>
    <w:rsid w:val="002A6958"/>
    <w:rsid w:val="002A6B03"/>
    <w:rsid w:val="002A6FF4"/>
    <w:rsid w:val="002A70B7"/>
    <w:rsid w:val="002A71D1"/>
    <w:rsid w:val="002A747A"/>
    <w:rsid w:val="002B0C0A"/>
    <w:rsid w:val="002B1FA6"/>
    <w:rsid w:val="002B2035"/>
    <w:rsid w:val="002B2233"/>
    <w:rsid w:val="002B2F4B"/>
    <w:rsid w:val="002B2F6B"/>
    <w:rsid w:val="002B33FC"/>
    <w:rsid w:val="002B39E0"/>
    <w:rsid w:val="002B51FE"/>
    <w:rsid w:val="002B58DF"/>
    <w:rsid w:val="002B5BA3"/>
    <w:rsid w:val="002B6331"/>
    <w:rsid w:val="002B65F4"/>
    <w:rsid w:val="002B688A"/>
    <w:rsid w:val="002B6F46"/>
    <w:rsid w:val="002B74AA"/>
    <w:rsid w:val="002B74B8"/>
    <w:rsid w:val="002B7699"/>
    <w:rsid w:val="002B76E3"/>
    <w:rsid w:val="002B7F7D"/>
    <w:rsid w:val="002C02E4"/>
    <w:rsid w:val="002C0582"/>
    <w:rsid w:val="002C06F5"/>
    <w:rsid w:val="002C0938"/>
    <w:rsid w:val="002C1328"/>
    <w:rsid w:val="002C19B3"/>
    <w:rsid w:val="002C1A36"/>
    <w:rsid w:val="002C1ABA"/>
    <w:rsid w:val="002C1B19"/>
    <w:rsid w:val="002C1FE7"/>
    <w:rsid w:val="002C2A71"/>
    <w:rsid w:val="002C2B22"/>
    <w:rsid w:val="002C2C14"/>
    <w:rsid w:val="002C2F78"/>
    <w:rsid w:val="002C33F9"/>
    <w:rsid w:val="002C376D"/>
    <w:rsid w:val="002C3A84"/>
    <w:rsid w:val="002C3B28"/>
    <w:rsid w:val="002C3DAD"/>
    <w:rsid w:val="002C433C"/>
    <w:rsid w:val="002C461C"/>
    <w:rsid w:val="002C49AE"/>
    <w:rsid w:val="002C4B7B"/>
    <w:rsid w:val="002C4C0A"/>
    <w:rsid w:val="002C5280"/>
    <w:rsid w:val="002C532A"/>
    <w:rsid w:val="002C58F4"/>
    <w:rsid w:val="002C5F65"/>
    <w:rsid w:val="002C6B81"/>
    <w:rsid w:val="002C7244"/>
    <w:rsid w:val="002C75B2"/>
    <w:rsid w:val="002C7653"/>
    <w:rsid w:val="002C767F"/>
    <w:rsid w:val="002C799F"/>
    <w:rsid w:val="002D04CC"/>
    <w:rsid w:val="002D0579"/>
    <w:rsid w:val="002D083E"/>
    <w:rsid w:val="002D0DDB"/>
    <w:rsid w:val="002D10DA"/>
    <w:rsid w:val="002D14FE"/>
    <w:rsid w:val="002D15A1"/>
    <w:rsid w:val="002D18CD"/>
    <w:rsid w:val="002D1994"/>
    <w:rsid w:val="002D19C7"/>
    <w:rsid w:val="002D1EF2"/>
    <w:rsid w:val="002D2089"/>
    <w:rsid w:val="002D2884"/>
    <w:rsid w:val="002D2AE8"/>
    <w:rsid w:val="002D2F80"/>
    <w:rsid w:val="002D338A"/>
    <w:rsid w:val="002D3A88"/>
    <w:rsid w:val="002D3D86"/>
    <w:rsid w:val="002D42FA"/>
    <w:rsid w:val="002D45A2"/>
    <w:rsid w:val="002D5144"/>
    <w:rsid w:val="002D5337"/>
    <w:rsid w:val="002D58D5"/>
    <w:rsid w:val="002D59DF"/>
    <w:rsid w:val="002D5E65"/>
    <w:rsid w:val="002D6060"/>
    <w:rsid w:val="002D6075"/>
    <w:rsid w:val="002D66B3"/>
    <w:rsid w:val="002D699E"/>
    <w:rsid w:val="002D6E90"/>
    <w:rsid w:val="002D745C"/>
    <w:rsid w:val="002D7FA3"/>
    <w:rsid w:val="002E0344"/>
    <w:rsid w:val="002E0487"/>
    <w:rsid w:val="002E0BC9"/>
    <w:rsid w:val="002E1492"/>
    <w:rsid w:val="002E1502"/>
    <w:rsid w:val="002E2152"/>
    <w:rsid w:val="002E21BC"/>
    <w:rsid w:val="002E23B5"/>
    <w:rsid w:val="002E25A9"/>
    <w:rsid w:val="002E26F3"/>
    <w:rsid w:val="002E2B20"/>
    <w:rsid w:val="002E3852"/>
    <w:rsid w:val="002E3B02"/>
    <w:rsid w:val="002E3B23"/>
    <w:rsid w:val="002E3BBB"/>
    <w:rsid w:val="002E423F"/>
    <w:rsid w:val="002E429F"/>
    <w:rsid w:val="002E42AC"/>
    <w:rsid w:val="002E4495"/>
    <w:rsid w:val="002E4B86"/>
    <w:rsid w:val="002E50B4"/>
    <w:rsid w:val="002E55A4"/>
    <w:rsid w:val="002E5664"/>
    <w:rsid w:val="002E5CD0"/>
    <w:rsid w:val="002E62C1"/>
    <w:rsid w:val="002E638F"/>
    <w:rsid w:val="002E67A2"/>
    <w:rsid w:val="002F0608"/>
    <w:rsid w:val="002F0C02"/>
    <w:rsid w:val="002F2222"/>
    <w:rsid w:val="002F233E"/>
    <w:rsid w:val="002F2401"/>
    <w:rsid w:val="002F2971"/>
    <w:rsid w:val="002F2DE8"/>
    <w:rsid w:val="002F378C"/>
    <w:rsid w:val="002F396F"/>
    <w:rsid w:val="002F3A82"/>
    <w:rsid w:val="002F3C46"/>
    <w:rsid w:val="002F4108"/>
    <w:rsid w:val="002F45EC"/>
    <w:rsid w:val="002F4AA2"/>
    <w:rsid w:val="002F53BD"/>
    <w:rsid w:val="002F53FA"/>
    <w:rsid w:val="002F596F"/>
    <w:rsid w:val="002F5A3D"/>
    <w:rsid w:val="002F5D2E"/>
    <w:rsid w:val="002F6374"/>
    <w:rsid w:val="002F67A3"/>
    <w:rsid w:val="002F73C8"/>
    <w:rsid w:val="002F7745"/>
    <w:rsid w:val="00300333"/>
    <w:rsid w:val="00300870"/>
    <w:rsid w:val="00300E7D"/>
    <w:rsid w:val="003016A8"/>
    <w:rsid w:val="0030170A"/>
    <w:rsid w:val="003017DC"/>
    <w:rsid w:val="0030194D"/>
    <w:rsid w:val="0030195E"/>
    <w:rsid w:val="00301BE3"/>
    <w:rsid w:val="00302148"/>
    <w:rsid w:val="00302285"/>
    <w:rsid w:val="0030270C"/>
    <w:rsid w:val="0030271E"/>
    <w:rsid w:val="00302840"/>
    <w:rsid w:val="0030288F"/>
    <w:rsid w:val="00302C68"/>
    <w:rsid w:val="0030344C"/>
    <w:rsid w:val="00303CA1"/>
    <w:rsid w:val="0030401C"/>
    <w:rsid w:val="003041BA"/>
    <w:rsid w:val="003050F0"/>
    <w:rsid w:val="003050F6"/>
    <w:rsid w:val="0030591F"/>
    <w:rsid w:val="00306399"/>
    <w:rsid w:val="00306806"/>
    <w:rsid w:val="00306E5B"/>
    <w:rsid w:val="0030724B"/>
    <w:rsid w:val="00307426"/>
    <w:rsid w:val="00307ED1"/>
    <w:rsid w:val="003109BF"/>
    <w:rsid w:val="00310AC8"/>
    <w:rsid w:val="003119F9"/>
    <w:rsid w:val="00311F76"/>
    <w:rsid w:val="003120C5"/>
    <w:rsid w:val="00312F16"/>
    <w:rsid w:val="003131D1"/>
    <w:rsid w:val="00313A83"/>
    <w:rsid w:val="00313B7E"/>
    <w:rsid w:val="00313DE2"/>
    <w:rsid w:val="00315154"/>
    <w:rsid w:val="00315E4B"/>
    <w:rsid w:val="0031640D"/>
    <w:rsid w:val="00316824"/>
    <w:rsid w:val="003169CE"/>
    <w:rsid w:val="00317809"/>
    <w:rsid w:val="00317E33"/>
    <w:rsid w:val="003201D5"/>
    <w:rsid w:val="003203CB"/>
    <w:rsid w:val="0032053D"/>
    <w:rsid w:val="00320D92"/>
    <w:rsid w:val="003214B0"/>
    <w:rsid w:val="00321BB2"/>
    <w:rsid w:val="00321FE5"/>
    <w:rsid w:val="00322076"/>
    <w:rsid w:val="00322153"/>
    <w:rsid w:val="00322503"/>
    <w:rsid w:val="00322589"/>
    <w:rsid w:val="00322B05"/>
    <w:rsid w:val="00323082"/>
    <w:rsid w:val="00323644"/>
    <w:rsid w:val="00323F2E"/>
    <w:rsid w:val="00323FD3"/>
    <w:rsid w:val="0032403C"/>
    <w:rsid w:val="0032507E"/>
    <w:rsid w:val="00326766"/>
    <w:rsid w:val="00326F90"/>
    <w:rsid w:val="00327304"/>
    <w:rsid w:val="003274DA"/>
    <w:rsid w:val="00327BFF"/>
    <w:rsid w:val="00327F99"/>
    <w:rsid w:val="003309F6"/>
    <w:rsid w:val="00330DC7"/>
    <w:rsid w:val="00331961"/>
    <w:rsid w:val="003322BE"/>
    <w:rsid w:val="0033272D"/>
    <w:rsid w:val="003327AA"/>
    <w:rsid w:val="00332877"/>
    <w:rsid w:val="00332BF4"/>
    <w:rsid w:val="00332FBE"/>
    <w:rsid w:val="00333509"/>
    <w:rsid w:val="0033430C"/>
    <w:rsid w:val="003353AD"/>
    <w:rsid w:val="003358CA"/>
    <w:rsid w:val="00335A00"/>
    <w:rsid w:val="00336120"/>
    <w:rsid w:val="003362B9"/>
    <w:rsid w:val="003365E9"/>
    <w:rsid w:val="00336636"/>
    <w:rsid w:val="00336978"/>
    <w:rsid w:val="00337272"/>
    <w:rsid w:val="00337313"/>
    <w:rsid w:val="0033761A"/>
    <w:rsid w:val="0033773A"/>
    <w:rsid w:val="00337B5D"/>
    <w:rsid w:val="003401BE"/>
    <w:rsid w:val="003405BC"/>
    <w:rsid w:val="003418D2"/>
    <w:rsid w:val="003419EA"/>
    <w:rsid w:val="00341C91"/>
    <w:rsid w:val="00341D83"/>
    <w:rsid w:val="00342046"/>
    <w:rsid w:val="003423AB"/>
    <w:rsid w:val="00343153"/>
    <w:rsid w:val="0034333A"/>
    <w:rsid w:val="00343826"/>
    <w:rsid w:val="00343995"/>
    <w:rsid w:val="00343D7E"/>
    <w:rsid w:val="003441AB"/>
    <w:rsid w:val="00344605"/>
    <w:rsid w:val="003454B4"/>
    <w:rsid w:val="00345D54"/>
    <w:rsid w:val="00345E80"/>
    <w:rsid w:val="003464DB"/>
    <w:rsid w:val="00346AF5"/>
    <w:rsid w:val="00346BDC"/>
    <w:rsid w:val="00346BE5"/>
    <w:rsid w:val="003472D2"/>
    <w:rsid w:val="003476C0"/>
    <w:rsid w:val="00347864"/>
    <w:rsid w:val="00347966"/>
    <w:rsid w:val="003479DB"/>
    <w:rsid w:val="00347DB9"/>
    <w:rsid w:val="00347FB9"/>
    <w:rsid w:val="00350F14"/>
    <w:rsid w:val="00350F6F"/>
    <w:rsid w:val="00351173"/>
    <w:rsid w:val="0035196F"/>
    <w:rsid w:val="003520D5"/>
    <w:rsid w:val="003521B1"/>
    <w:rsid w:val="003523F9"/>
    <w:rsid w:val="00352525"/>
    <w:rsid w:val="00353624"/>
    <w:rsid w:val="00353896"/>
    <w:rsid w:val="00353AA3"/>
    <w:rsid w:val="00353C6E"/>
    <w:rsid w:val="00354027"/>
    <w:rsid w:val="0035418C"/>
    <w:rsid w:val="003543AE"/>
    <w:rsid w:val="00354446"/>
    <w:rsid w:val="0035447B"/>
    <w:rsid w:val="003544ED"/>
    <w:rsid w:val="00354A09"/>
    <w:rsid w:val="00354A2C"/>
    <w:rsid w:val="00354D9C"/>
    <w:rsid w:val="00355A2A"/>
    <w:rsid w:val="00356091"/>
    <w:rsid w:val="00356452"/>
    <w:rsid w:val="00356538"/>
    <w:rsid w:val="00356900"/>
    <w:rsid w:val="0035720D"/>
    <w:rsid w:val="00357272"/>
    <w:rsid w:val="003605BB"/>
    <w:rsid w:val="003622AA"/>
    <w:rsid w:val="003628C4"/>
    <w:rsid w:val="00362F5F"/>
    <w:rsid w:val="00363445"/>
    <w:rsid w:val="003634D8"/>
    <w:rsid w:val="0036376A"/>
    <w:rsid w:val="00363A30"/>
    <w:rsid w:val="0036413B"/>
    <w:rsid w:val="0036474F"/>
    <w:rsid w:val="003650A2"/>
    <w:rsid w:val="00365207"/>
    <w:rsid w:val="0036716F"/>
    <w:rsid w:val="003678B4"/>
    <w:rsid w:val="00367A37"/>
    <w:rsid w:val="00367CBD"/>
    <w:rsid w:val="00367E43"/>
    <w:rsid w:val="003702AF"/>
    <w:rsid w:val="003708C4"/>
    <w:rsid w:val="003710E4"/>
    <w:rsid w:val="003712E3"/>
    <w:rsid w:val="00371725"/>
    <w:rsid w:val="00372114"/>
    <w:rsid w:val="003729FD"/>
    <w:rsid w:val="00372A82"/>
    <w:rsid w:val="00372B18"/>
    <w:rsid w:val="00372D8C"/>
    <w:rsid w:val="00372E12"/>
    <w:rsid w:val="003731EB"/>
    <w:rsid w:val="00373305"/>
    <w:rsid w:val="0037340B"/>
    <w:rsid w:val="0037370B"/>
    <w:rsid w:val="00373CEB"/>
    <w:rsid w:val="00373D1B"/>
    <w:rsid w:val="00373D72"/>
    <w:rsid w:val="003741BB"/>
    <w:rsid w:val="00374862"/>
    <w:rsid w:val="00374A35"/>
    <w:rsid w:val="00374B0A"/>
    <w:rsid w:val="00375015"/>
    <w:rsid w:val="003754B0"/>
    <w:rsid w:val="00375656"/>
    <w:rsid w:val="003764FD"/>
    <w:rsid w:val="003767E7"/>
    <w:rsid w:val="00377812"/>
    <w:rsid w:val="00377DE4"/>
    <w:rsid w:val="00380142"/>
    <w:rsid w:val="00380659"/>
    <w:rsid w:val="00380863"/>
    <w:rsid w:val="00381163"/>
    <w:rsid w:val="003812D2"/>
    <w:rsid w:val="00381B78"/>
    <w:rsid w:val="003825F9"/>
    <w:rsid w:val="003826E2"/>
    <w:rsid w:val="00382A5B"/>
    <w:rsid w:val="00382E12"/>
    <w:rsid w:val="003832EC"/>
    <w:rsid w:val="003834F5"/>
    <w:rsid w:val="0038373F"/>
    <w:rsid w:val="00383900"/>
    <w:rsid w:val="0038396F"/>
    <w:rsid w:val="00383BB0"/>
    <w:rsid w:val="00383BE8"/>
    <w:rsid w:val="00383CD9"/>
    <w:rsid w:val="00384733"/>
    <w:rsid w:val="00384C42"/>
    <w:rsid w:val="00385068"/>
    <w:rsid w:val="00385D1B"/>
    <w:rsid w:val="00386192"/>
    <w:rsid w:val="00387CD5"/>
    <w:rsid w:val="00387E73"/>
    <w:rsid w:val="00387FC2"/>
    <w:rsid w:val="00390799"/>
    <w:rsid w:val="00390846"/>
    <w:rsid w:val="00391188"/>
    <w:rsid w:val="00391673"/>
    <w:rsid w:val="003919C4"/>
    <w:rsid w:val="00391B94"/>
    <w:rsid w:val="00391F17"/>
    <w:rsid w:val="00391FF1"/>
    <w:rsid w:val="00392591"/>
    <w:rsid w:val="00392630"/>
    <w:rsid w:val="00392D77"/>
    <w:rsid w:val="00393879"/>
    <w:rsid w:val="003940D3"/>
    <w:rsid w:val="003944C5"/>
    <w:rsid w:val="00394E05"/>
    <w:rsid w:val="00395B05"/>
    <w:rsid w:val="00395E74"/>
    <w:rsid w:val="00395F0C"/>
    <w:rsid w:val="003960EB"/>
    <w:rsid w:val="00396126"/>
    <w:rsid w:val="00396737"/>
    <w:rsid w:val="00396A51"/>
    <w:rsid w:val="00396E71"/>
    <w:rsid w:val="00397B7B"/>
    <w:rsid w:val="003A0358"/>
    <w:rsid w:val="003A0CA9"/>
    <w:rsid w:val="003A1074"/>
    <w:rsid w:val="003A18E3"/>
    <w:rsid w:val="003A1BFE"/>
    <w:rsid w:val="003A23F8"/>
    <w:rsid w:val="003A2422"/>
    <w:rsid w:val="003A24A8"/>
    <w:rsid w:val="003A33DA"/>
    <w:rsid w:val="003A3553"/>
    <w:rsid w:val="003A3D27"/>
    <w:rsid w:val="003A4384"/>
    <w:rsid w:val="003A4431"/>
    <w:rsid w:val="003A4C5B"/>
    <w:rsid w:val="003A4E68"/>
    <w:rsid w:val="003A5AF3"/>
    <w:rsid w:val="003A64D3"/>
    <w:rsid w:val="003A66A9"/>
    <w:rsid w:val="003A67B3"/>
    <w:rsid w:val="003A67DE"/>
    <w:rsid w:val="003A6BDB"/>
    <w:rsid w:val="003A6DA5"/>
    <w:rsid w:val="003A75BB"/>
    <w:rsid w:val="003A7A21"/>
    <w:rsid w:val="003A7DE9"/>
    <w:rsid w:val="003B0669"/>
    <w:rsid w:val="003B0884"/>
    <w:rsid w:val="003B08AB"/>
    <w:rsid w:val="003B09F3"/>
    <w:rsid w:val="003B0A6E"/>
    <w:rsid w:val="003B0F85"/>
    <w:rsid w:val="003B1362"/>
    <w:rsid w:val="003B1454"/>
    <w:rsid w:val="003B1682"/>
    <w:rsid w:val="003B17E7"/>
    <w:rsid w:val="003B1A8E"/>
    <w:rsid w:val="003B2089"/>
    <w:rsid w:val="003B2527"/>
    <w:rsid w:val="003B299F"/>
    <w:rsid w:val="003B2A91"/>
    <w:rsid w:val="003B33B2"/>
    <w:rsid w:val="003B3868"/>
    <w:rsid w:val="003B40F3"/>
    <w:rsid w:val="003B513A"/>
    <w:rsid w:val="003B5C41"/>
    <w:rsid w:val="003B6224"/>
    <w:rsid w:val="003B658D"/>
    <w:rsid w:val="003B6844"/>
    <w:rsid w:val="003B6C35"/>
    <w:rsid w:val="003B6FCD"/>
    <w:rsid w:val="003B7019"/>
    <w:rsid w:val="003B7077"/>
    <w:rsid w:val="003B7503"/>
    <w:rsid w:val="003B7F01"/>
    <w:rsid w:val="003C0537"/>
    <w:rsid w:val="003C0672"/>
    <w:rsid w:val="003C123B"/>
    <w:rsid w:val="003C2192"/>
    <w:rsid w:val="003C23F6"/>
    <w:rsid w:val="003C2A51"/>
    <w:rsid w:val="003C2B47"/>
    <w:rsid w:val="003C2CA6"/>
    <w:rsid w:val="003C3064"/>
    <w:rsid w:val="003C3AD1"/>
    <w:rsid w:val="003C41B1"/>
    <w:rsid w:val="003C49BE"/>
    <w:rsid w:val="003C5287"/>
    <w:rsid w:val="003C534D"/>
    <w:rsid w:val="003C548A"/>
    <w:rsid w:val="003C5761"/>
    <w:rsid w:val="003C5856"/>
    <w:rsid w:val="003C5B27"/>
    <w:rsid w:val="003C600F"/>
    <w:rsid w:val="003C6F7C"/>
    <w:rsid w:val="003C70D4"/>
    <w:rsid w:val="003C7D03"/>
    <w:rsid w:val="003C7FB9"/>
    <w:rsid w:val="003D00C3"/>
    <w:rsid w:val="003D0CF9"/>
    <w:rsid w:val="003D109C"/>
    <w:rsid w:val="003D14DD"/>
    <w:rsid w:val="003D1BC0"/>
    <w:rsid w:val="003D2A03"/>
    <w:rsid w:val="003D2B08"/>
    <w:rsid w:val="003D2D22"/>
    <w:rsid w:val="003D2DF2"/>
    <w:rsid w:val="003D30FA"/>
    <w:rsid w:val="003D349A"/>
    <w:rsid w:val="003D36B4"/>
    <w:rsid w:val="003D4107"/>
    <w:rsid w:val="003D49AE"/>
    <w:rsid w:val="003D4CA7"/>
    <w:rsid w:val="003D4EBD"/>
    <w:rsid w:val="003D57A4"/>
    <w:rsid w:val="003D594E"/>
    <w:rsid w:val="003D63D8"/>
    <w:rsid w:val="003D6868"/>
    <w:rsid w:val="003D6875"/>
    <w:rsid w:val="003E0005"/>
    <w:rsid w:val="003E0299"/>
    <w:rsid w:val="003E03BA"/>
    <w:rsid w:val="003E03C5"/>
    <w:rsid w:val="003E0EE8"/>
    <w:rsid w:val="003E1277"/>
    <w:rsid w:val="003E13C1"/>
    <w:rsid w:val="003E1967"/>
    <w:rsid w:val="003E1CF3"/>
    <w:rsid w:val="003E1EF7"/>
    <w:rsid w:val="003E1F5E"/>
    <w:rsid w:val="003E2032"/>
    <w:rsid w:val="003E2BBC"/>
    <w:rsid w:val="003E2C2C"/>
    <w:rsid w:val="003E2CB4"/>
    <w:rsid w:val="003E3AD8"/>
    <w:rsid w:val="003E3CC4"/>
    <w:rsid w:val="003E3CE9"/>
    <w:rsid w:val="003E5842"/>
    <w:rsid w:val="003E5A0C"/>
    <w:rsid w:val="003E5CAC"/>
    <w:rsid w:val="003E60F2"/>
    <w:rsid w:val="003E6145"/>
    <w:rsid w:val="003E636E"/>
    <w:rsid w:val="003E751D"/>
    <w:rsid w:val="003E7792"/>
    <w:rsid w:val="003F03A6"/>
    <w:rsid w:val="003F0452"/>
    <w:rsid w:val="003F080A"/>
    <w:rsid w:val="003F14DE"/>
    <w:rsid w:val="003F1A39"/>
    <w:rsid w:val="003F1C79"/>
    <w:rsid w:val="003F2532"/>
    <w:rsid w:val="003F25C1"/>
    <w:rsid w:val="003F28A7"/>
    <w:rsid w:val="003F2945"/>
    <w:rsid w:val="003F2B82"/>
    <w:rsid w:val="003F3465"/>
    <w:rsid w:val="003F3F07"/>
    <w:rsid w:val="003F4006"/>
    <w:rsid w:val="003F4171"/>
    <w:rsid w:val="003F418C"/>
    <w:rsid w:val="003F51F1"/>
    <w:rsid w:val="003F55B7"/>
    <w:rsid w:val="003F5699"/>
    <w:rsid w:val="003F57C6"/>
    <w:rsid w:val="003F5804"/>
    <w:rsid w:val="003F6680"/>
    <w:rsid w:val="003F677F"/>
    <w:rsid w:val="003F681C"/>
    <w:rsid w:val="003F68DA"/>
    <w:rsid w:val="003F6BF0"/>
    <w:rsid w:val="003F6DC8"/>
    <w:rsid w:val="003F704E"/>
    <w:rsid w:val="003F710A"/>
    <w:rsid w:val="003F730D"/>
    <w:rsid w:val="003F7B88"/>
    <w:rsid w:val="004000BB"/>
    <w:rsid w:val="00400485"/>
    <w:rsid w:val="00400D57"/>
    <w:rsid w:val="00400D6C"/>
    <w:rsid w:val="00401072"/>
    <w:rsid w:val="004013FE"/>
    <w:rsid w:val="00401C51"/>
    <w:rsid w:val="00402173"/>
    <w:rsid w:val="0040272B"/>
    <w:rsid w:val="00402A79"/>
    <w:rsid w:val="00402AC0"/>
    <w:rsid w:val="00403226"/>
    <w:rsid w:val="004033DA"/>
    <w:rsid w:val="00403CE6"/>
    <w:rsid w:val="00403DA3"/>
    <w:rsid w:val="00403F1D"/>
    <w:rsid w:val="00404604"/>
    <w:rsid w:val="00404B70"/>
    <w:rsid w:val="00404D36"/>
    <w:rsid w:val="00404FE0"/>
    <w:rsid w:val="004061A2"/>
    <w:rsid w:val="004068B8"/>
    <w:rsid w:val="004069FC"/>
    <w:rsid w:val="00406B64"/>
    <w:rsid w:val="00406E79"/>
    <w:rsid w:val="004075D9"/>
    <w:rsid w:val="00407E38"/>
    <w:rsid w:val="0041095A"/>
    <w:rsid w:val="00411579"/>
    <w:rsid w:val="004122EC"/>
    <w:rsid w:val="00412766"/>
    <w:rsid w:val="00412F2A"/>
    <w:rsid w:val="004145AB"/>
    <w:rsid w:val="004146D2"/>
    <w:rsid w:val="00414B2F"/>
    <w:rsid w:val="00414CBB"/>
    <w:rsid w:val="00415595"/>
    <w:rsid w:val="004156E5"/>
    <w:rsid w:val="00416CD9"/>
    <w:rsid w:val="00416CDF"/>
    <w:rsid w:val="00416DEA"/>
    <w:rsid w:val="00416F80"/>
    <w:rsid w:val="0041769A"/>
    <w:rsid w:val="00420CDD"/>
    <w:rsid w:val="00420FE9"/>
    <w:rsid w:val="0042133E"/>
    <w:rsid w:val="00421CD7"/>
    <w:rsid w:val="00422006"/>
    <w:rsid w:val="0042247E"/>
    <w:rsid w:val="004224A4"/>
    <w:rsid w:val="00422BCE"/>
    <w:rsid w:val="00422C58"/>
    <w:rsid w:val="004235D0"/>
    <w:rsid w:val="004235DE"/>
    <w:rsid w:val="00423DC1"/>
    <w:rsid w:val="0042437D"/>
    <w:rsid w:val="00424A97"/>
    <w:rsid w:val="00424C43"/>
    <w:rsid w:val="004257A1"/>
    <w:rsid w:val="00425C23"/>
    <w:rsid w:val="00425F10"/>
    <w:rsid w:val="004261AE"/>
    <w:rsid w:val="00426297"/>
    <w:rsid w:val="0042635F"/>
    <w:rsid w:val="00426498"/>
    <w:rsid w:val="004266B6"/>
    <w:rsid w:val="00426B36"/>
    <w:rsid w:val="004278A9"/>
    <w:rsid w:val="00427A63"/>
    <w:rsid w:val="00427E21"/>
    <w:rsid w:val="00430013"/>
    <w:rsid w:val="0043007C"/>
    <w:rsid w:val="00430600"/>
    <w:rsid w:val="00430A57"/>
    <w:rsid w:val="00430F4B"/>
    <w:rsid w:val="00431155"/>
    <w:rsid w:val="004312A8"/>
    <w:rsid w:val="00431CED"/>
    <w:rsid w:val="00431F38"/>
    <w:rsid w:val="00432330"/>
    <w:rsid w:val="0043295E"/>
    <w:rsid w:val="004333ED"/>
    <w:rsid w:val="004337F4"/>
    <w:rsid w:val="00433BFC"/>
    <w:rsid w:val="00433E8A"/>
    <w:rsid w:val="0043401A"/>
    <w:rsid w:val="004342DB"/>
    <w:rsid w:val="00434584"/>
    <w:rsid w:val="00434EAD"/>
    <w:rsid w:val="004350DF"/>
    <w:rsid w:val="004352CF"/>
    <w:rsid w:val="00435445"/>
    <w:rsid w:val="004355DF"/>
    <w:rsid w:val="00435872"/>
    <w:rsid w:val="004358B1"/>
    <w:rsid w:val="00435A3C"/>
    <w:rsid w:val="00435AE9"/>
    <w:rsid w:val="004362F8"/>
    <w:rsid w:val="004368A5"/>
    <w:rsid w:val="00436967"/>
    <w:rsid w:val="00436B0C"/>
    <w:rsid w:val="00437491"/>
    <w:rsid w:val="0043751A"/>
    <w:rsid w:val="004402A2"/>
    <w:rsid w:val="004408CE"/>
    <w:rsid w:val="00440E13"/>
    <w:rsid w:val="00441256"/>
    <w:rsid w:val="00441631"/>
    <w:rsid w:val="00441BBC"/>
    <w:rsid w:val="00442994"/>
    <w:rsid w:val="004430E9"/>
    <w:rsid w:val="004433B3"/>
    <w:rsid w:val="0044485C"/>
    <w:rsid w:val="0044489A"/>
    <w:rsid w:val="00444A85"/>
    <w:rsid w:val="00444C59"/>
    <w:rsid w:val="00444CF6"/>
    <w:rsid w:val="0044547C"/>
    <w:rsid w:val="004456A1"/>
    <w:rsid w:val="00445DFE"/>
    <w:rsid w:val="004464A4"/>
    <w:rsid w:val="004464D2"/>
    <w:rsid w:val="00446584"/>
    <w:rsid w:val="00446AF6"/>
    <w:rsid w:val="00446FD8"/>
    <w:rsid w:val="004470A8"/>
    <w:rsid w:val="0044745D"/>
    <w:rsid w:val="0044772D"/>
    <w:rsid w:val="004477BE"/>
    <w:rsid w:val="00447BAB"/>
    <w:rsid w:val="00447D06"/>
    <w:rsid w:val="004508ED"/>
    <w:rsid w:val="00450AD8"/>
    <w:rsid w:val="00450DE5"/>
    <w:rsid w:val="00450E5F"/>
    <w:rsid w:val="0045155C"/>
    <w:rsid w:val="004519ED"/>
    <w:rsid w:val="00451A1F"/>
    <w:rsid w:val="004520CC"/>
    <w:rsid w:val="00452146"/>
    <w:rsid w:val="00452AE3"/>
    <w:rsid w:val="00452C2C"/>
    <w:rsid w:val="004530AD"/>
    <w:rsid w:val="00453C8F"/>
    <w:rsid w:val="004546EE"/>
    <w:rsid w:val="0045526C"/>
    <w:rsid w:val="0045537D"/>
    <w:rsid w:val="0045604F"/>
    <w:rsid w:val="0045695B"/>
    <w:rsid w:val="00456D6F"/>
    <w:rsid w:val="00456DD3"/>
    <w:rsid w:val="00457334"/>
    <w:rsid w:val="0045794B"/>
    <w:rsid w:val="004607DD"/>
    <w:rsid w:val="0046082E"/>
    <w:rsid w:val="00461943"/>
    <w:rsid w:val="0046194A"/>
    <w:rsid w:val="00462574"/>
    <w:rsid w:val="0046277A"/>
    <w:rsid w:val="00464451"/>
    <w:rsid w:val="0046492C"/>
    <w:rsid w:val="00464CCB"/>
    <w:rsid w:val="0046626E"/>
    <w:rsid w:val="00466B05"/>
    <w:rsid w:val="00467961"/>
    <w:rsid w:val="00467FB0"/>
    <w:rsid w:val="00470212"/>
    <w:rsid w:val="004702EB"/>
    <w:rsid w:val="0047064A"/>
    <w:rsid w:val="00470801"/>
    <w:rsid w:val="00470AB0"/>
    <w:rsid w:val="00470C36"/>
    <w:rsid w:val="00470DD0"/>
    <w:rsid w:val="00470EF5"/>
    <w:rsid w:val="004712E9"/>
    <w:rsid w:val="00471587"/>
    <w:rsid w:val="00471F61"/>
    <w:rsid w:val="00472496"/>
    <w:rsid w:val="004734F6"/>
    <w:rsid w:val="004736EB"/>
    <w:rsid w:val="004739FF"/>
    <w:rsid w:val="00473B87"/>
    <w:rsid w:val="00473FCA"/>
    <w:rsid w:val="004742B4"/>
    <w:rsid w:val="00474B15"/>
    <w:rsid w:val="00474C62"/>
    <w:rsid w:val="00474F7C"/>
    <w:rsid w:val="00475105"/>
    <w:rsid w:val="004752C2"/>
    <w:rsid w:val="0047649D"/>
    <w:rsid w:val="0047729A"/>
    <w:rsid w:val="0047749E"/>
    <w:rsid w:val="00477890"/>
    <w:rsid w:val="00477D31"/>
    <w:rsid w:val="00481B59"/>
    <w:rsid w:val="0048231B"/>
    <w:rsid w:val="0048277B"/>
    <w:rsid w:val="0048284B"/>
    <w:rsid w:val="00482898"/>
    <w:rsid w:val="0048298B"/>
    <w:rsid w:val="0048347C"/>
    <w:rsid w:val="00483690"/>
    <w:rsid w:val="004838A2"/>
    <w:rsid w:val="00483DD5"/>
    <w:rsid w:val="0048434D"/>
    <w:rsid w:val="00485B4E"/>
    <w:rsid w:val="00485BB8"/>
    <w:rsid w:val="00485C90"/>
    <w:rsid w:val="00486261"/>
    <w:rsid w:val="0048652E"/>
    <w:rsid w:val="00486E3C"/>
    <w:rsid w:val="004870ED"/>
    <w:rsid w:val="00487136"/>
    <w:rsid w:val="004873B8"/>
    <w:rsid w:val="0049059B"/>
    <w:rsid w:val="004905E1"/>
    <w:rsid w:val="004909B4"/>
    <w:rsid w:val="00490A1C"/>
    <w:rsid w:val="0049206D"/>
    <w:rsid w:val="00492CB9"/>
    <w:rsid w:val="0049356D"/>
    <w:rsid w:val="00493A8B"/>
    <w:rsid w:val="0049445B"/>
    <w:rsid w:val="004945E6"/>
    <w:rsid w:val="0049486F"/>
    <w:rsid w:val="0049530D"/>
    <w:rsid w:val="004960EB"/>
    <w:rsid w:val="00496A64"/>
    <w:rsid w:val="00496C01"/>
    <w:rsid w:val="00496F13"/>
    <w:rsid w:val="00497197"/>
    <w:rsid w:val="00497B00"/>
    <w:rsid w:val="004A005C"/>
    <w:rsid w:val="004A0B74"/>
    <w:rsid w:val="004A0F22"/>
    <w:rsid w:val="004A162A"/>
    <w:rsid w:val="004A1A8C"/>
    <w:rsid w:val="004A1D21"/>
    <w:rsid w:val="004A1DD0"/>
    <w:rsid w:val="004A1F66"/>
    <w:rsid w:val="004A23C9"/>
    <w:rsid w:val="004A2BED"/>
    <w:rsid w:val="004A3BBC"/>
    <w:rsid w:val="004A3E6B"/>
    <w:rsid w:val="004A41D8"/>
    <w:rsid w:val="004A42C2"/>
    <w:rsid w:val="004A5683"/>
    <w:rsid w:val="004A5CA5"/>
    <w:rsid w:val="004A60D5"/>
    <w:rsid w:val="004A6336"/>
    <w:rsid w:val="004A64E2"/>
    <w:rsid w:val="004A6745"/>
    <w:rsid w:val="004A6AC8"/>
    <w:rsid w:val="004A6B6B"/>
    <w:rsid w:val="004A6D3B"/>
    <w:rsid w:val="004A70A2"/>
    <w:rsid w:val="004A7C39"/>
    <w:rsid w:val="004A7D27"/>
    <w:rsid w:val="004A7E98"/>
    <w:rsid w:val="004B025B"/>
    <w:rsid w:val="004B0B17"/>
    <w:rsid w:val="004B0B92"/>
    <w:rsid w:val="004B0DB1"/>
    <w:rsid w:val="004B0FB7"/>
    <w:rsid w:val="004B1391"/>
    <w:rsid w:val="004B1F88"/>
    <w:rsid w:val="004B29BB"/>
    <w:rsid w:val="004B2C7A"/>
    <w:rsid w:val="004B2F82"/>
    <w:rsid w:val="004B3570"/>
    <w:rsid w:val="004B3EAA"/>
    <w:rsid w:val="004B3F88"/>
    <w:rsid w:val="004B4399"/>
    <w:rsid w:val="004B4CFD"/>
    <w:rsid w:val="004B4D04"/>
    <w:rsid w:val="004B5A0B"/>
    <w:rsid w:val="004B5C6D"/>
    <w:rsid w:val="004B6562"/>
    <w:rsid w:val="004B6D66"/>
    <w:rsid w:val="004B6E35"/>
    <w:rsid w:val="004B71F9"/>
    <w:rsid w:val="004B7692"/>
    <w:rsid w:val="004B76BD"/>
    <w:rsid w:val="004B76F7"/>
    <w:rsid w:val="004B78C8"/>
    <w:rsid w:val="004B7BF7"/>
    <w:rsid w:val="004B7D13"/>
    <w:rsid w:val="004B7D30"/>
    <w:rsid w:val="004C05FF"/>
    <w:rsid w:val="004C08CF"/>
    <w:rsid w:val="004C0ACD"/>
    <w:rsid w:val="004C0F43"/>
    <w:rsid w:val="004C1046"/>
    <w:rsid w:val="004C123E"/>
    <w:rsid w:val="004C1290"/>
    <w:rsid w:val="004C1622"/>
    <w:rsid w:val="004C16A2"/>
    <w:rsid w:val="004C1E96"/>
    <w:rsid w:val="004C2456"/>
    <w:rsid w:val="004C2854"/>
    <w:rsid w:val="004C2BE5"/>
    <w:rsid w:val="004C2EF7"/>
    <w:rsid w:val="004C3844"/>
    <w:rsid w:val="004C3C2F"/>
    <w:rsid w:val="004C3CF1"/>
    <w:rsid w:val="004C48D2"/>
    <w:rsid w:val="004C4F47"/>
    <w:rsid w:val="004C5B67"/>
    <w:rsid w:val="004C5EC5"/>
    <w:rsid w:val="004C5FB0"/>
    <w:rsid w:val="004C6278"/>
    <w:rsid w:val="004C668C"/>
    <w:rsid w:val="004C7137"/>
    <w:rsid w:val="004C74F1"/>
    <w:rsid w:val="004C7736"/>
    <w:rsid w:val="004C7D3A"/>
    <w:rsid w:val="004D02C1"/>
    <w:rsid w:val="004D09D3"/>
    <w:rsid w:val="004D2323"/>
    <w:rsid w:val="004D2B25"/>
    <w:rsid w:val="004D2F50"/>
    <w:rsid w:val="004D345A"/>
    <w:rsid w:val="004D34F7"/>
    <w:rsid w:val="004D37C4"/>
    <w:rsid w:val="004D3A6D"/>
    <w:rsid w:val="004D3CC0"/>
    <w:rsid w:val="004D3DD5"/>
    <w:rsid w:val="004D4907"/>
    <w:rsid w:val="004D4999"/>
    <w:rsid w:val="004D4A26"/>
    <w:rsid w:val="004D4E8E"/>
    <w:rsid w:val="004D52FC"/>
    <w:rsid w:val="004D541A"/>
    <w:rsid w:val="004D636B"/>
    <w:rsid w:val="004D63A1"/>
    <w:rsid w:val="004D6C3A"/>
    <w:rsid w:val="004D6FDE"/>
    <w:rsid w:val="004D7411"/>
    <w:rsid w:val="004D74C4"/>
    <w:rsid w:val="004D7881"/>
    <w:rsid w:val="004E0774"/>
    <w:rsid w:val="004E09CE"/>
    <w:rsid w:val="004E0B58"/>
    <w:rsid w:val="004E1271"/>
    <w:rsid w:val="004E12A4"/>
    <w:rsid w:val="004E15A2"/>
    <w:rsid w:val="004E16B5"/>
    <w:rsid w:val="004E1C4E"/>
    <w:rsid w:val="004E256B"/>
    <w:rsid w:val="004E2892"/>
    <w:rsid w:val="004E3A28"/>
    <w:rsid w:val="004E438D"/>
    <w:rsid w:val="004E4440"/>
    <w:rsid w:val="004E5BDF"/>
    <w:rsid w:val="004E628F"/>
    <w:rsid w:val="004E647A"/>
    <w:rsid w:val="004E66AB"/>
    <w:rsid w:val="004E7398"/>
    <w:rsid w:val="004E7482"/>
    <w:rsid w:val="004E79D2"/>
    <w:rsid w:val="004E7BD3"/>
    <w:rsid w:val="004E7FF4"/>
    <w:rsid w:val="004F03DF"/>
    <w:rsid w:val="004F051B"/>
    <w:rsid w:val="004F0910"/>
    <w:rsid w:val="004F0AEB"/>
    <w:rsid w:val="004F0C3B"/>
    <w:rsid w:val="004F1B7E"/>
    <w:rsid w:val="004F2064"/>
    <w:rsid w:val="004F284D"/>
    <w:rsid w:val="004F2F7B"/>
    <w:rsid w:val="004F340C"/>
    <w:rsid w:val="004F388C"/>
    <w:rsid w:val="004F3B48"/>
    <w:rsid w:val="004F3F84"/>
    <w:rsid w:val="004F409E"/>
    <w:rsid w:val="004F42C7"/>
    <w:rsid w:val="004F4DF6"/>
    <w:rsid w:val="004F6215"/>
    <w:rsid w:val="004F67DA"/>
    <w:rsid w:val="004F6C13"/>
    <w:rsid w:val="004F76DC"/>
    <w:rsid w:val="004F7E04"/>
    <w:rsid w:val="0050023D"/>
    <w:rsid w:val="00500CB8"/>
    <w:rsid w:val="00500ED9"/>
    <w:rsid w:val="00501A09"/>
    <w:rsid w:val="00501A8C"/>
    <w:rsid w:val="00501F9D"/>
    <w:rsid w:val="00501FF8"/>
    <w:rsid w:val="00502451"/>
    <w:rsid w:val="0050297B"/>
    <w:rsid w:val="00502AB1"/>
    <w:rsid w:val="00502DC1"/>
    <w:rsid w:val="00503742"/>
    <w:rsid w:val="00503FFC"/>
    <w:rsid w:val="00504537"/>
    <w:rsid w:val="00504B4B"/>
    <w:rsid w:val="00505D68"/>
    <w:rsid w:val="00507020"/>
    <w:rsid w:val="0050716D"/>
    <w:rsid w:val="005074DE"/>
    <w:rsid w:val="005078A7"/>
    <w:rsid w:val="00507C69"/>
    <w:rsid w:val="00510016"/>
    <w:rsid w:val="00510CD2"/>
    <w:rsid w:val="00510DE1"/>
    <w:rsid w:val="005114DF"/>
    <w:rsid w:val="00511D85"/>
    <w:rsid w:val="00512262"/>
    <w:rsid w:val="0051272E"/>
    <w:rsid w:val="005130C4"/>
    <w:rsid w:val="005130E4"/>
    <w:rsid w:val="00513348"/>
    <w:rsid w:val="0051377C"/>
    <w:rsid w:val="00513A74"/>
    <w:rsid w:val="005145FA"/>
    <w:rsid w:val="0051464F"/>
    <w:rsid w:val="00514AD2"/>
    <w:rsid w:val="00514C21"/>
    <w:rsid w:val="0051511C"/>
    <w:rsid w:val="005155DF"/>
    <w:rsid w:val="00515B2F"/>
    <w:rsid w:val="00515E03"/>
    <w:rsid w:val="00516730"/>
    <w:rsid w:val="0051749C"/>
    <w:rsid w:val="00517DE5"/>
    <w:rsid w:val="00520181"/>
    <w:rsid w:val="0052035C"/>
    <w:rsid w:val="0052044E"/>
    <w:rsid w:val="00520465"/>
    <w:rsid w:val="005204E8"/>
    <w:rsid w:val="0052071B"/>
    <w:rsid w:val="00520BB6"/>
    <w:rsid w:val="00520CB5"/>
    <w:rsid w:val="00520FBB"/>
    <w:rsid w:val="005216CC"/>
    <w:rsid w:val="00521DF8"/>
    <w:rsid w:val="005236DA"/>
    <w:rsid w:val="00523F24"/>
    <w:rsid w:val="00523F90"/>
    <w:rsid w:val="00524548"/>
    <w:rsid w:val="0052465D"/>
    <w:rsid w:val="005249C0"/>
    <w:rsid w:val="0052560F"/>
    <w:rsid w:val="0052565F"/>
    <w:rsid w:val="00525A77"/>
    <w:rsid w:val="00525CE3"/>
    <w:rsid w:val="0052626F"/>
    <w:rsid w:val="005266C1"/>
    <w:rsid w:val="00526D25"/>
    <w:rsid w:val="00527438"/>
    <w:rsid w:val="00527544"/>
    <w:rsid w:val="0052775D"/>
    <w:rsid w:val="00527A7A"/>
    <w:rsid w:val="00527AE6"/>
    <w:rsid w:val="00527B8C"/>
    <w:rsid w:val="005303DD"/>
    <w:rsid w:val="0053096F"/>
    <w:rsid w:val="00530A59"/>
    <w:rsid w:val="00530DC0"/>
    <w:rsid w:val="00530FE7"/>
    <w:rsid w:val="0053100A"/>
    <w:rsid w:val="005310D5"/>
    <w:rsid w:val="005310EA"/>
    <w:rsid w:val="00531607"/>
    <w:rsid w:val="005318F9"/>
    <w:rsid w:val="005324C9"/>
    <w:rsid w:val="0053256A"/>
    <w:rsid w:val="005325C2"/>
    <w:rsid w:val="00532B8F"/>
    <w:rsid w:val="00532FE6"/>
    <w:rsid w:val="00532FF2"/>
    <w:rsid w:val="0053313D"/>
    <w:rsid w:val="00533416"/>
    <w:rsid w:val="0053524D"/>
    <w:rsid w:val="00535644"/>
    <w:rsid w:val="00535862"/>
    <w:rsid w:val="00535934"/>
    <w:rsid w:val="00535AAD"/>
    <w:rsid w:val="00535BE0"/>
    <w:rsid w:val="00536260"/>
    <w:rsid w:val="005366DD"/>
    <w:rsid w:val="00536D9B"/>
    <w:rsid w:val="00536EBC"/>
    <w:rsid w:val="00537190"/>
    <w:rsid w:val="005371FA"/>
    <w:rsid w:val="005374A0"/>
    <w:rsid w:val="00537684"/>
    <w:rsid w:val="00537714"/>
    <w:rsid w:val="0053776B"/>
    <w:rsid w:val="005378F8"/>
    <w:rsid w:val="00537931"/>
    <w:rsid w:val="0054001B"/>
    <w:rsid w:val="00540141"/>
    <w:rsid w:val="005403E3"/>
    <w:rsid w:val="00541752"/>
    <w:rsid w:val="00541CB5"/>
    <w:rsid w:val="00541CDE"/>
    <w:rsid w:val="00542360"/>
    <w:rsid w:val="0054268D"/>
    <w:rsid w:val="005426F4"/>
    <w:rsid w:val="005428E0"/>
    <w:rsid w:val="00542975"/>
    <w:rsid w:val="00542B36"/>
    <w:rsid w:val="005432F8"/>
    <w:rsid w:val="005435C4"/>
    <w:rsid w:val="00543635"/>
    <w:rsid w:val="00543F67"/>
    <w:rsid w:val="005442DC"/>
    <w:rsid w:val="0054483C"/>
    <w:rsid w:val="00544851"/>
    <w:rsid w:val="00544EED"/>
    <w:rsid w:val="00545723"/>
    <w:rsid w:val="00545A12"/>
    <w:rsid w:val="00545D4C"/>
    <w:rsid w:val="00545F66"/>
    <w:rsid w:val="005462BF"/>
    <w:rsid w:val="0054733A"/>
    <w:rsid w:val="00547AC0"/>
    <w:rsid w:val="0055063E"/>
    <w:rsid w:val="00550652"/>
    <w:rsid w:val="00550D69"/>
    <w:rsid w:val="00551193"/>
    <w:rsid w:val="005516F9"/>
    <w:rsid w:val="005518AC"/>
    <w:rsid w:val="00551CDE"/>
    <w:rsid w:val="00551D5F"/>
    <w:rsid w:val="005522B4"/>
    <w:rsid w:val="00552374"/>
    <w:rsid w:val="005527CC"/>
    <w:rsid w:val="00552A57"/>
    <w:rsid w:val="00553170"/>
    <w:rsid w:val="0055322D"/>
    <w:rsid w:val="00553404"/>
    <w:rsid w:val="0055349F"/>
    <w:rsid w:val="005536FF"/>
    <w:rsid w:val="00553A92"/>
    <w:rsid w:val="00553E4E"/>
    <w:rsid w:val="0055444E"/>
    <w:rsid w:val="00554470"/>
    <w:rsid w:val="005546C9"/>
    <w:rsid w:val="00554820"/>
    <w:rsid w:val="00554E80"/>
    <w:rsid w:val="005552DA"/>
    <w:rsid w:val="005559BD"/>
    <w:rsid w:val="00556400"/>
    <w:rsid w:val="00556E97"/>
    <w:rsid w:val="005578AB"/>
    <w:rsid w:val="00557E99"/>
    <w:rsid w:val="00560932"/>
    <w:rsid w:val="0056105C"/>
    <w:rsid w:val="005615C9"/>
    <w:rsid w:val="00561AE0"/>
    <w:rsid w:val="00561B6C"/>
    <w:rsid w:val="00561DE7"/>
    <w:rsid w:val="00562A2C"/>
    <w:rsid w:val="00562AC2"/>
    <w:rsid w:val="0056354E"/>
    <w:rsid w:val="005638CE"/>
    <w:rsid w:val="005639C3"/>
    <w:rsid w:val="00563BA3"/>
    <w:rsid w:val="00564AA8"/>
    <w:rsid w:val="00565067"/>
    <w:rsid w:val="0056578C"/>
    <w:rsid w:val="00565B5B"/>
    <w:rsid w:val="005661BB"/>
    <w:rsid w:val="00566431"/>
    <w:rsid w:val="00566837"/>
    <w:rsid w:val="00566FD4"/>
    <w:rsid w:val="0056756C"/>
    <w:rsid w:val="0057004B"/>
    <w:rsid w:val="00570311"/>
    <w:rsid w:val="00570501"/>
    <w:rsid w:val="00570518"/>
    <w:rsid w:val="005707A7"/>
    <w:rsid w:val="00570ACA"/>
    <w:rsid w:val="00570C3A"/>
    <w:rsid w:val="00571988"/>
    <w:rsid w:val="00571D4D"/>
    <w:rsid w:val="0057250D"/>
    <w:rsid w:val="00572A46"/>
    <w:rsid w:val="00573641"/>
    <w:rsid w:val="00573676"/>
    <w:rsid w:val="005737FA"/>
    <w:rsid w:val="005747E5"/>
    <w:rsid w:val="00574968"/>
    <w:rsid w:val="005749F9"/>
    <w:rsid w:val="0057607B"/>
    <w:rsid w:val="00576DD4"/>
    <w:rsid w:val="00577A94"/>
    <w:rsid w:val="00577E19"/>
    <w:rsid w:val="00577E5C"/>
    <w:rsid w:val="0058004C"/>
    <w:rsid w:val="00580075"/>
    <w:rsid w:val="0058068D"/>
    <w:rsid w:val="00580D15"/>
    <w:rsid w:val="0058208B"/>
    <w:rsid w:val="005821B0"/>
    <w:rsid w:val="0058262A"/>
    <w:rsid w:val="005829C3"/>
    <w:rsid w:val="00582BA1"/>
    <w:rsid w:val="005834E6"/>
    <w:rsid w:val="00583789"/>
    <w:rsid w:val="00583D72"/>
    <w:rsid w:val="0058459E"/>
    <w:rsid w:val="0058586E"/>
    <w:rsid w:val="00585B72"/>
    <w:rsid w:val="005871E3"/>
    <w:rsid w:val="005876BE"/>
    <w:rsid w:val="00587E1C"/>
    <w:rsid w:val="005903B2"/>
    <w:rsid w:val="0059125E"/>
    <w:rsid w:val="00591593"/>
    <w:rsid w:val="0059183C"/>
    <w:rsid w:val="0059198E"/>
    <w:rsid w:val="00592622"/>
    <w:rsid w:val="00592B08"/>
    <w:rsid w:val="00592EF4"/>
    <w:rsid w:val="00593159"/>
    <w:rsid w:val="00593211"/>
    <w:rsid w:val="00593AE6"/>
    <w:rsid w:val="00593B1A"/>
    <w:rsid w:val="00593B51"/>
    <w:rsid w:val="00593CF7"/>
    <w:rsid w:val="00593D4C"/>
    <w:rsid w:val="00593E60"/>
    <w:rsid w:val="00593EFA"/>
    <w:rsid w:val="0059533B"/>
    <w:rsid w:val="00595EFF"/>
    <w:rsid w:val="00596B03"/>
    <w:rsid w:val="00597709"/>
    <w:rsid w:val="00597C4C"/>
    <w:rsid w:val="00597E5D"/>
    <w:rsid w:val="005A06DC"/>
    <w:rsid w:val="005A0851"/>
    <w:rsid w:val="005A0E09"/>
    <w:rsid w:val="005A0EE7"/>
    <w:rsid w:val="005A0FA4"/>
    <w:rsid w:val="005A1118"/>
    <w:rsid w:val="005A18A6"/>
    <w:rsid w:val="005A19FE"/>
    <w:rsid w:val="005A1A10"/>
    <w:rsid w:val="005A29EE"/>
    <w:rsid w:val="005A29EF"/>
    <w:rsid w:val="005A2EFE"/>
    <w:rsid w:val="005A3437"/>
    <w:rsid w:val="005A3AE6"/>
    <w:rsid w:val="005A3E74"/>
    <w:rsid w:val="005A3ED6"/>
    <w:rsid w:val="005A3F43"/>
    <w:rsid w:val="005A50DF"/>
    <w:rsid w:val="005A5149"/>
    <w:rsid w:val="005A5853"/>
    <w:rsid w:val="005A64AD"/>
    <w:rsid w:val="005A6BAF"/>
    <w:rsid w:val="005A70FF"/>
    <w:rsid w:val="005A7109"/>
    <w:rsid w:val="005A787E"/>
    <w:rsid w:val="005A7F63"/>
    <w:rsid w:val="005B027C"/>
    <w:rsid w:val="005B08C2"/>
    <w:rsid w:val="005B0F37"/>
    <w:rsid w:val="005B13D2"/>
    <w:rsid w:val="005B15F0"/>
    <w:rsid w:val="005B165D"/>
    <w:rsid w:val="005B1925"/>
    <w:rsid w:val="005B1B79"/>
    <w:rsid w:val="005B21B2"/>
    <w:rsid w:val="005B261D"/>
    <w:rsid w:val="005B290D"/>
    <w:rsid w:val="005B2DAD"/>
    <w:rsid w:val="005B3129"/>
    <w:rsid w:val="005B326B"/>
    <w:rsid w:val="005B3506"/>
    <w:rsid w:val="005B3705"/>
    <w:rsid w:val="005B3832"/>
    <w:rsid w:val="005B3A4F"/>
    <w:rsid w:val="005B3CA4"/>
    <w:rsid w:val="005B3EB0"/>
    <w:rsid w:val="005B4181"/>
    <w:rsid w:val="005B470B"/>
    <w:rsid w:val="005B4834"/>
    <w:rsid w:val="005B4D88"/>
    <w:rsid w:val="005B51DD"/>
    <w:rsid w:val="005B5233"/>
    <w:rsid w:val="005B576C"/>
    <w:rsid w:val="005B58EC"/>
    <w:rsid w:val="005B6228"/>
    <w:rsid w:val="005B66B7"/>
    <w:rsid w:val="005B67F9"/>
    <w:rsid w:val="005B6C63"/>
    <w:rsid w:val="005B6D48"/>
    <w:rsid w:val="005B6FC3"/>
    <w:rsid w:val="005B70F8"/>
    <w:rsid w:val="005B711B"/>
    <w:rsid w:val="005B74A9"/>
    <w:rsid w:val="005B776D"/>
    <w:rsid w:val="005B7AF8"/>
    <w:rsid w:val="005B7D22"/>
    <w:rsid w:val="005B7DE5"/>
    <w:rsid w:val="005B7FFE"/>
    <w:rsid w:val="005C1EC3"/>
    <w:rsid w:val="005C2542"/>
    <w:rsid w:val="005C29C8"/>
    <w:rsid w:val="005C2AD8"/>
    <w:rsid w:val="005C2BC3"/>
    <w:rsid w:val="005C378D"/>
    <w:rsid w:val="005C38BC"/>
    <w:rsid w:val="005C3F9A"/>
    <w:rsid w:val="005C418E"/>
    <w:rsid w:val="005C425C"/>
    <w:rsid w:val="005C4AAB"/>
    <w:rsid w:val="005C507D"/>
    <w:rsid w:val="005C5272"/>
    <w:rsid w:val="005C576A"/>
    <w:rsid w:val="005C581A"/>
    <w:rsid w:val="005C5BE0"/>
    <w:rsid w:val="005C64E4"/>
    <w:rsid w:val="005C6A43"/>
    <w:rsid w:val="005C6F3C"/>
    <w:rsid w:val="005C7844"/>
    <w:rsid w:val="005C7EC0"/>
    <w:rsid w:val="005D08DB"/>
    <w:rsid w:val="005D130F"/>
    <w:rsid w:val="005D1F2D"/>
    <w:rsid w:val="005D2355"/>
    <w:rsid w:val="005D2A27"/>
    <w:rsid w:val="005D302B"/>
    <w:rsid w:val="005D330D"/>
    <w:rsid w:val="005D35C6"/>
    <w:rsid w:val="005D386C"/>
    <w:rsid w:val="005D38EC"/>
    <w:rsid w:val="005D3F36"/>
    <w:rsid w:val="005D436F"/>
    <w:rsid w:val="005D4967"/>
    <w:rsid w:val="005D49FC"/>
    <w:rsid w:val="005D55A4"/>
    <w:rsid w:val="005D576F"/>
    <w:rsid w:val="005D5B3D"/>
    <w:rsid w:val="005D7736"/>
    <w:rsid w:val="005D78BF"/>
    <w:rsid w:val="005D79D6"/>
    <w:rsid w:val="005D7EC9"/>
    <w:rsid w:val="005D7EEF"/>
    <w:rsid w:val="005E00A7"/>
    <w:rsid w:val="005E0511"/>
    <w:rsid w:val="005E06F1"/>
    <w:rsid w:val="005E0855"/>
    <w:rsid w:val="005E0B8C"/>
    <w:rsid w:val="005E0BA4"/>
    <w:rsid w:val="005E1576"/>
    <w:rsid w:val="005E170F"/>
    <w:rsid w:val="005E1AC6"/>
    <w:rsid w:val="005E1EAD"/>
    <w:rsid w:val="005E1FF6"/>
    <w:rsid w:val="005E2ED7"/>
    <w:rsid w:val="005E308D"/>
    <w:rsid w:val="005E32D3"/>
    <w:rsid w:val="005E3535"/>
    <w:rsid w:val="005E404B"/>
    <w:rsid w:val="005E43D9"/>
    <w:rsid w:val="005E4A2C"/>
    <w:rsid w:val="005E4E1A"/>
    <w:rsid w:val="005E4F56"/>
    <w:rsid w:val="005E56E4"/>
    <w:rsid w:val="005E571C"/>
    <w:rsid w:val="005E60CE"/>
    <w:rsid w:val="005E6101"/>
    <w:rsid w:val="005E65D7"/>
    <w:rsid w:val="005E663C"/>
    <w:rsid w:val="005E690B"/>
    <w:rsid w:val="005E6E7A"/>
    <w:rsid w:val="005E74CC"/>
    <w:rsid w:val="005E7C5A"/>
    <w:rsid w:val="005F008B"/>
    <w:rsid w:val="005F026D"/>
    <w:rsid w:val="005F0929"/>
    <w:rsid w:val="005F0CC2"/>
    <w:rsid w:val="005F0DB1"/>
    <w:rsid w:val="005F0FEB"/>
    <w:rsid w:val="005F17DB"/>
    <w:rsid w:val="005F1AC5"/>
    <w:rsid w:val="005F1F4A"/>
    <w:rsid w:val="005F2AEE"/>
    <w:rsid w:val="005F2ECE"/>
    <w:rsid w:val="005F2F31"/>
    <w:rsid w:val="005F3358"/>
    <w:rsid w:val="005F3C8E"/>
    <w:rsid w:val="005F3DE8"/>
    <w:rsid w:val="005F3F03"/>
    <w:rsid w:val="005F4525"/>
    <w:rsid w:val="005F480B"/>
    <w:rsid w:val="005F48D5"/>
    <w:rsid w:val="005F4B22"/>
    <w:rsid w:val="005F4CEE"/>
    <w:rsid w:val="005F501E"/>
    <w:rsid w:val="005F50F7"/>
    <w:rsid w:val="005F781F"/>
    <w:rsid w:val="005F7AA5"/>
    <w:rsid w:val="005F7D6A"/>
    <w:rsid w:val="005F7F74"/>
    <w:rsid w:val="00600C0F"/>
    <w:rsid w:val="006011DE"/>
    <w:rsid w:val="006019AC"/>
    <w:rsid w:val="00601CE4"/>
    <w:rsid w:val="006027A1"/>
    <w:rsid w:val="00602916"/>
    <w:rsid w:val="0060358D"/>
    <w:rsid w:val="0060462A"/>
    <w:rsid w:val="00604F11"/>
    <w:rsid w:val="006058D2"/>
    <w:rsid w:val="006058D5"/>
    <w:rsid w:val="0060607B"/>
    <w:rsid w:val="006070C0"/>
    <w:rsid w:val="0060718A"/>
    <w:rsid w:val="006071F0"/>
    <w:rsid w:val="00607468"/>
    <w:rsid w:val="00607831"/>
    <w:rsid w:val="00607E9E"/>
    <w:rsid w:val="0061006B"/>
    <w:rsid w:val="0061077B"/>
    <w:rsid w:val="00610791"/>
    <w:rsid w:val="006107BA"/>
    <w:rsid w:val="006108FB"/>
    <w:rsid w:val="00611DA2"/>
    <w:rsid w:val="006121DB"/>
    <w:rsid w:val="00613547"/>
    <w:rsid w:val="006135E6"/>
    <w:rsid w:val="006138DC"/>
    <w:rsid w:val="00613E2F"/>
    <w:rsid w:val="006147B5"/>
    <w:rsid w:val="00614805"/>
    <w:rsid w:val="0061491E"/>
    <w:rsid w:val="00615B39"/>
    <w:rsid w:val="00615C1F"/>
    <w:rsid w:val="00615FEF"/>
    <w:rsid w:val="0061605F"/>
    <w:rsid w:val="00616E7C"/>
    <w:rsid w:val="00616F22"/>
    <w:rsid w:val="00617249"/>
    <w:rsid w:val="006173F9"/>
    <w:rsid w:val="006175E7"/>
    <w:rsid w:val="00617765"/>
    <w:rsid w:val="00617BCD"/>
    <w:rsid w:val="00617D0A"/>
    <w:rsid w:val="00617F2E"/>
    <w:rsid w:val="00620470"/>
    <w:rsid w:val="00620626"/>
    <w:rsid w:val="00620D5A"/>
    <w:rsid w:val="006214FE"/>
    <w:rsid w:val="006215F7"/>
    <w:rsid w:val="00621781"/>
    <w:rsid w:val="00621A98"/>
    <w:rsid w:val="00621E76"/>
    <w:rsid w:val="006220BF"/>
    <w:rsid w:val="00622951"/>
    <w:rsid w:val="00622FBF"/>
    <w:rsid w:val="00623340"/>
    <w:rsid w:val="006251DA"/>
    <w:rsid w:val="006254B8"/>
    <w:rsid w:val="0062559B"/>
    <w:rsid w:val="00625A95"/>
    <w:rsid w:val="00625B6B"/>
    <w:rsid w:val="00625C8B"/>
    <w:rsid w:val="00625DF6"/>
    <w:rsid w:val="006268E2"/>
    <w:rsid w:val="00627061"/>
    <w:rsid w:val="0062712E"/>
    <w:rsid w:val="00627C21"/>
    <w:rsid w:val="00630D50"/>
    <w:rsid w:val="00630EC4"/>
    <w:rsid w:val="00630F53"/>
    <w:rsid w:val="006310B1"/>
    <w:rsid w:val="00631168"/>
    <w:rsid w:val="00631D2F"/>
    <w:rsid w:val="006325C7"/>
    <w:rsid w:val="00632F58"/>
    <w:rsid w:val="00633631"/>
    <w:rsid w:val="0063369D"/>
    <w:rsid w:val="00633735"/>
    <w:rsid w:val="006339C0"/>
    <w:rsid w:val="00633C0F"/>
    <w:rsid w:val="00633D8C"/>
    <w:rsid w:val="006343DB"/>
    <w:rsid w:val="00634F8D"/>
    <w:rsid w:val="00634FAD"/>
    <w:rsid w:val="00635180"/>
    <w:rsid w:val="00635BCD"/>
    <w:rsid w:val="00635CED"/>
    <w:rsid w:val="006368F9"/>
    <w:rsid w:val="00636CF0"/>
    <w:rsid w:val="006370B4"/>
    <w:rsid w:val="00637960"/>
    <w:rsid w:val="00637A4A"/>
    <w:rsid w:val="00637FC2"/>
    <w:rsid w:val="006401D7"/>
    <w:rsid w:val="0064036E"/>
    <w:rsid w:val="00640CC2"/>
    <w:rsid w:val="00640F39"/>
    <w:rsid w:val="006411BF"/>
    <w:rsid w:val="00641573"/>
    <w:rsid w:val="00641664"/>
    <w:rsid w:val="00641988"/>
    <w:rsid w:val="00641E0C"/>
    <w:rsid w:val="006420F1"/>
    <w:rsid w:val="00642457"/>
    <w:rsid w:val="006427EB"/>
    <w:rsid w:val="0064283A"/>
    <w:rsid w:val="00642C71"/>
    <w:rsid w:val="00642D6D"/>
    <w:rsid w:val="00642D71"/>
    <w:rsid w:val="00643E1E"/>
    <w:rsid w:val="0064405F"/>
    <w:rsid w:val="00644762"/>
    <w:rsid w:val="00644C10"/>
    <w:rsid w:val="006453FF"/>
    <w:rsid w:val="006459E8"/>
    <w:rsid w:val="00645E91"/>
    <w:rsid w:val="00646C93"/>
    <w:rsid w:val="00646D49"/>
    <w:rsid w:val="006471A6"/>
    <w:rsid w:val="006474D5"/>
    <w:rsid w:val="006479F0"/>
    <w:rsid w:val="00647F21"/>
    <w:rsid w:val="0065063F"/>
    <w:rsid w:val="00650B4E"/>
    <w:rsid w:val="00650CE7"/>
    <w:rsid w:val="0065167A"/>
    <w:rsid w:val="00651D4D"/>
    <w:rsid w:val="00651F67"/>
    <w:rsid w:val="00652378"/>
    <w:rsid w:val="00652962"/>
    <w:rsid w:val="00652D09"/>
    <w:rsid w:val="00652DA3"/>
    <w:rsid w:val="006537F0"/>
    <w:rsid w:val="00654C37"/>
    <w:rsid w:val="00654FCE"/>
    <w:rsid w:val="00655A46"/>
    <w:rsid w:val="0065645E"/>
    <w:rsid w:val="00656861"/>
    <w:rsid w:val="00656C67"/>
    <w:rsid w:val="00657532"/>
    <w:rsid w:val="006578A5"/>
    <w:rsid w:val="00657C68"/>
    <w:rsid w:val="00660474"/>
    <w:rsid w:val="00660C4D"/>
    <w:rsid w:val="00660D9C"/>
    <w:rsid w:val="00661438"/>
    <w:rsid w:val="00661997"/>
    <w:rsid w:val="00661A8C"/>
    <w:rsid w:val="00661DBF"/>
    <w:rsid w:val="0066228A"/>
    <w:rsid w:val="0066273E"/>
    <w:rsid w:val="0066274B"/>
    <w:rsid w:val="00662B6C"/>
    <w:rsid w:val="00662C66"/>
    <w:rsid w:val="00662D5B"/>
    <w:rsid w:val="00663AD7"/>
    <w:rsid w:val="00663C88"/>
    <w:rsid w:val="0066537B"/>
    <w:rsid w:val="006653CE"/>
    <w:rsid w:val="006653D4"/>
    <w:rsid w:val="00665436"/>
    <w:rsid w:val="006659CE"/>
    <w:rsid w:val="00665C7E"/>
    <w:rsid w:val="00665CB7"/>
    <w:rsid w:val="00665D02"/>
    <w:rsid w:val="006663B1"/>
    <w:rsid w:val="00667182"/>
    <w:rsid w:val="00667338"/>
    <w:rsid w:val="006676A0"/>
    <w:rsid w:val="00667ED7"/>
    <w:rsid w:val="006700F0"/>
    <w:rsid w:val="00670665"/>
    <w:rsid w:val="006710DB"/>
    <w:rsid w:val="006712C2"/>
    <w:rsid w:val="006712E8"/>
    <w:rsid w:val="00671495"/>
    <w:rsid w:val="00671FA8"/>
    <w:rsid w:val="0067227C"/>
    <w:rsid w:val="006722A1"/>
    <w:rsid w:val="0067241A"/>
    <w:rsid w:val="00672ED0"/>
    <w:rsid w:val="00674CD9"/>
    <w:rsid w:val="00675270"/>
    <w:rsid w:val="0067562A"/>
    <w:rsid w:val="00675DCC"/>
    <w:rsid w:val="00675FA4"/>
    <w:rsid w:val="00676042"/>
    <w:rsid w:val="0067637E"/>
    <w:rsid w:val="00676857"/>
    <w:rsid w:val="00676C16"/>
    <w:rsid w:val="006770BB"/>
    <w:rsid w:val="00677481"/>
    <w:rsid w:val="00677674"/>
    <w:rsid w:val="00680204"/>
    <w:rsid w:val="0068023B"/>
    <w:rsid w:val="006804B2"/>
    <w:rsid w:val="00681070"/>
    <w:rsid w:val="0068112F"/>
    <w:rsid w:val="00681798"/>
    <w:rsid w:val="00681B25"/>
    <w:rsid w:val="006822C5"/>
    <w:rsid w:val="006823DA"/>
    <w:rsid w:val="006823FA"/>
    <w:rsid w:val="00682521"/>
    <w:rsid w:val="0068270C"/>
    <w:rsid w:val="00682C4B"/>
    <w:rsid w:val="00682D60"/>
    <w:rsid w:val="006830AA"/>
    <w:rsid w:val="00683404"/>
    <w:rsid w:val="006842F8"/>
    <w:rsid w:val="00684593"/>
    <w:rsid w:val="0068461F"/>
    <w:rsid w:val="00684B4D"/>
    <w:rsid w:val="0068505E"/>
    <w:rsid w:val="006852AC"/>
    <w:rsid w:val="006853A2"/>
    <w:rsid w:val="006857FC"/>
    <w:rsid w:val="0068669C"/>
    <w:rsid w:val="006866D4"/>
    <w:rsid w:val="00686D15"/>
    <w:rsid w:val="00686EF4"/>
    <w:rsid w:val="00687293"/>
    <w:rsid w:val="00687866"/>
    <w:rsid w:val="006879B6"/>
    <w:rsid w:val="006900BA"/>
    <w:rsid w:val="006912E2"/>
    <w:rsid w:val="00691FC4"/>
    <w:rsid w:val="00692FFE"/>
    <w:rsid w:val="00693240"/>
    <w:rsid w:val="00693C0D"/>
    <w:rsid w:val="00693C25"/>
    <w:rsid w:val="00693EDA"/>
    <w:rsid w:val="0069457E"/>
    <w:rsid w:val="00694607"/>
    <w:rsid w:val="00694D6F"/>
    <w:rsid w:val="00694E9A"/>
    <w:rsid w:val="00695531"/>
    <w:rsid w:val="0069577E"/>
    <w:rsid w:val="00696219"/>
    <w:rsid w:val="00696465"/>
    <w:rsid w:val="006964C3"/>
    <w:rsid w:val="00696741"/>
    <w:rsid w:val="00696AAE"/>
    <w:rsid w:val="00696C50"/>
    <w:rsid w:val="00697078"/>
    <w:rsid w:val="006974B0"/>
    <w:rsid w:val="006974B6"/>
    <w:rsid w:val="006975B1"/>
    <w:rsid w:val="006979FE"/>
    <w:rsid w:val="00697BD6"/>
    <w:rsid w:val="00697C8B"/>
    <w:rsid w:val="00697EB1"/>
    <w:rsid w:val="00697FD3"/>
    <w:rsid w:val="006A15AA"/>
    <w:rsid w:val="006A170D"/>
    <w:rsid w:val="006A17F9"/>
    <w:rsid w:val="006A1DB9"/>
    <w:rsid w:val="006A22CC"/>
    <w:rsid w:val="006A3249"/>
    <w:rsid w:val="006A3968"/>
    <w:rsid w:val="006A3985"/>
    <w:rsid w:val="006A3C61"/>
    <w:rsid w:val="006A3D89"/>
    <w:rsid w:val="006A41D7"/>
    <w:rsid w:val="006A423C"/>
    <w:rsid w:val="006A4D70"/>
    <w:rsid w:val="006A55EC"/>
    <w:rsid w:val="006A5807"/>
    <w:rsid w:val="006A59B8"/>
    <w:rsid w:val="006A5A0A"/>
    <w:rsid w:val="006A5B2B"/>
    <w:rsid w:val="006A6067"/>
    <w:rsid w:val="006A60F8"/>
    <w:rsid w:val="006A635E"/>
    <w:rsid w:val="006A63DB"/>
    <w:rsid w:val="006A6589"/>
    <w:rsid w:val="006A6862"/>
    <w:rsid w:val="006A6EAC"/>
    <w:rsid w:val="006A72FE"/>
    <w:rsid w:val="006A7580"/>
    <w:rsid w:val="006A777F"/>
    <w:rsid w:val="006B0C04"/>
    <w:rsid w:val="006B0D3D"/>
    <w:rsid w:val="006B2A68"/>
    <w:rsid w:val="006B2AEF"/>
    <w:rsid w:val="006B2DF8"/>
    <w:rsid w:val="006B30D5"/>
    <w:rsid w:val="006B30E6"/>
    <w:rsid w:val="006B3A3F"/>
    <w:rsid w:val="006B3F6B"/>
    <w:rsid w:val="006B4344"/>
    <w:rsid w:val="006B4D6C"/>
    <w:rsid w:val="006B4EC5"/>
    <w:rsid w:val="006B4F30"/>
    <w:rsid w:val="006B521F"/>
    <w:rsid w:val="006B5450"/>
    <w:rsid w:val="006B6056"/>
    <w:rsid w:val="006B6417"/>
    <w:rsid w:val="006B6C09"/>
    <w:rsid w:val="006B7DA7"/>
    <w:rsid w:val="006C09D7"/>
    <w:rsid w:val="006C114E"/>
    <w:rsid w:val="006C13D3"/>
    <w:rsid w:val="006C1CC2"/>
    <w:rsid w:val="006C1CE6"/>
    <w:rsid w:val="006C1FAB"/>
    <w:rsid w:val="006C2322"/>
    <w:rsid w:val="006C2C2A"/>
    <w:rsid w:val="006C2F23"/>
    <w:rsid w:val="006C322C"/>
    <w:rsid w:val="006C33F6"/>
    <w:rsid w:val="006C36D7"/>
    <w:rsid w:val="006C3703"/>
    <w:rsid w:val="006C4390"/>
    <w:rsid w:val="006C48EF"/>
    <w:rsid w:val="006C4A1F"/>
    <w:rsid w:val="006C4B2C"/>
    <w:rsid w:val="006C5172"/>
    <w:rsid w:val="006C617A"/>
    <w:rsid w:val="006C7074"/>
    <w:rsid w:val="006C7A15"/>
    <w:rsid w:val="006D0C0B"/>
    <w:rsid w:val="006D0F7D"/>
    <w:rsid w:val="006D10C4"/>
    <w:rsid w:val="006D125B"/>
    <w:rsid w:val="006D1283"/>
    <w:rsid w:val="006D2B53"/>
    <w:rsid w:val="006D2CFD"/>
    <w:rsid w:val="006D35FB"/>
    <w:rsid w:val="006D4724"/>
    <w:rsid w:val="006D63CF"/>
    <w:rsid w:val="006D6724"/>
    <w:rsid w:val="006D7DE5"/>
    <w:rsid w:val="006D7FC7"/>
    <w:rsid w:val="006E0690"/>
    <w:rsid w:val="006E15B7"/>
    <w:rsid w:val="006E1BCA"/>
    <w:rsid w:val="006E1CAF"/>
    <w:rsid w:val="006E208C"/>
    <w:rsid w:val="006E2185"/>
    <w:rsid w:val="006E2544"/>
    <w:rsid w:val="006E277F"/>
    <w:rsid w:val="006E2C51"/>
    <w:rsid w:val="006E2F89"/>
    <w:rsid w:val="006E3BDF"/>
    <w:rsid w:val="006E3EB1"/>
    <w:rsid w:val="006E420B"/>
    <w:rsid w:val="006E4913"/>
    <w:rsid w:val="006E494C"/>
    <w:rsid w:val="006E5B0F"/>
    <w:rsid w:val="006E5C85"/>
    <w:rsid w:val="006E63F0"/>
    <w:rsid w:val="006E660D"/>
    <w:rsid w:val="006E685A"/>
    <w:rsid w:val="006E6BFE"/>
    <w:rsid w:val="006E7335"/>
    <w:rsid w:val="006E75B3"/>
    <w:rsid w:val="006E770D"/>
    <w:rsid w:val="006E7CB5"/>
    <w:rsid w:val="006E7D4F"/>
    <w:rsid w:val="006E7D72"/>
    <w:rsid w:val="006F0417"/>
    <w:rsid w:val="006F075B"/>
    <w:rsid w:val="006F08E3"/>
    <w:rsid w:val="006F112F"/>
    <w:rsid w:val="006F11AD"/>
    <w:rsid w:val="006F1796"/>
    <w:rsid w:val="006F1D8A"/>
    <w:rsid w:val="006F2307"/>
    <w:rsid w:val="006F23F4"/>
    <w:rsid w:val="006F2ECE"/>
    <w:rsid w:val="006F2ED4"/>
    <w:rsid w:val="006F39EE"/>
    <w:rsid w:val="006F3EDA"/>
    <w:rsid w:val="006F40BD"/>
    <w:rsid w:val="006F411F"/>
    <w:rsid w:val="006F44C0"/>
    <w:rsid w:val="006F4570"/>
    <w:rsid w:val="006F47A3"/>
    <w:rsid w:val="006F4862"/>
    <w:rsid w:val="006F5238"/>
    <w:rsid w:val="006F529D"/>
    <w:rsid w:val="006F5EF1"/>
    <w:rsid w:val="006F5F1B"/>
    <w:rsid w:val="006F625C"/>
    <w:rsid w:val="006F6331"/>
    <w:rsid w:val="006F689A"/>
    <w:rsid w:val="006F7055"/>
    <w:rsid w:val="006F7A5E"/>
    <w:rsid w:val="006F7DAA"/>
    <w:rsid w:val="0070008E"/>
    <w:rsid w:val="00700118"/>
    <w:rsid w:val="00700867"/>
    <w:rsid w:val="007008E0"/>
    <w:rsid w:val="00700AD4"/>
    <w:rsid w:val="007023BE"/>
    <w:rsid w:val="007023D8"/>
    <w:rsid w:val="00702DA5"/>
    <w:rsid w:val="00702E4F"/>
    <w:rsid w:val="007031F1"/>
    <w:rsid w:val="007032E6"/>
    <w:rsid w:val="007033F9"/>
    <w:rsid w:val="00703983"/>
    <w:rsid w:val="00703C78"/>
    <w:rsid w:val="00703CCA"/>
    <w:rsid w:val="0070401A"/>
    <w:rsid w:val="0070428A"/>
    <w:rsid w:val="00704B66"/>
    <w:rsid w:val="00704E0A"/>
    <w:rsid w:val="007054FD"/>
    <w:rsid w:val="007055BA"/>
    <w:rsid w:val="0070560A"/>
    <w:rsid w:val="00705844"/>
    <w:rsid w:val="0070663F"/>
    <w:rsid w:val="00706F6A"/>
    <w:rsid w:val="007073EB"/>
    <w:rsid w:val="00707973"/>
    <w:rsid w:val="0071019C"/>
    <w:rsid w:val="00710229"/>
    <w:rsid w:val="007104BC"/>
    <w:rsid w:val="007104E9"/>
    <w:rsid w:val="00710E2F"/>
    <w:rsid w:val="00711001"/>
    <w:rsid w:val="00711264"/>
    <w:rsid w:val="00711615"/>
    <w:rsid w:val="0071190B"/>
    <w:rsid w:val="007121DE"/>
    <w:rsid w:val="00712B97"/>
    <w:rsid w:val="00713558"/>
    <w:rsid w:val="007136C7"/>
    <w:rsid w:val="00713834"/>
    <w:rsid w:val="007138F3"/>
    <w:rsid w:val="00713FFE"/>
    <w:rsid w:val="0071424D"/>
    <w:rsid w:val="00714A9B"/>
    <w:rsid w:val="00715C58"/>
    <w:rsid w:val="00715D7D"/>
    <w:rsid w:val="0071637C"/>
    <w:rsid w:val="007166EF"/>
    <w:rsid w:val="007168AF"/>
    <w:rsid w:val="00716DB6"/>
    <w:rsid w:val="00717DD7"/>
    <w:rsid w:val="007203F6"/>
    <w:rsid w:val="00720B0E"/>
    <w:rsid w:val="007211CE"/>
    <w:rsid w:val="00721316"/>
    <w:rsid w:val="00721384"/>
    <w:rsid w:val="00721CD2"/>
    <w:rsid w:val="00722113"/>
    <w:rsid w:val="0072260D"/>
    <w:rsid w:val="00722CEA"/>
    <w:rsid w:val="00722D48"/>
    <w:rsid w:val="00723075"/>
    <w:rsid w:val="0072353C"/>
    <w:rsid w:val="00723584"/>
    <w:rsid w:val="007239B5"/>
    <w:rsid w:val="00723C63"/>
    <w:rsid w:val="00723EBB"/>
    <w:rsid w:val="007243A5"/>
    <w:rsid w:val="00724B3C"/>
    <w:rsid w:val="00724D40"/>
    <w:rsid w:val="00724E14"/>
    <w:rsid w:val="0072539D"/>
    <w:rsid w:val="0072579C"/>
    <w:rsid w:val="007257D7"/>
    <w:rsid w:val="0072599D"/>
    <w:rsid w:val="00725AF1"/>
    <w:rsid w:val="00726034"/>
    <w:rsid w:val="00727589"/>
    <w:rsid w:val="0072792E"/>
    <w:rsid w:val="00727949"/>
    <w:rsid w:val="00727F77"/>
    <w:rsid w:val="00730194"/>
    <w:rsid w:val="007302A3"/>
    <w:rsid w:val="00730FC1"/>
    <w:rsid w:val="00731732"/>
    <w:rsid w:val="007319A6"/>
    <w:rsid w:val="007319B1"/>
    <w:rsid w:val="00731A10"/>
    <w:rsid w:val="007321CB"/>
    <w:rsid w:val="0073355A"/>
    <w:rsid w:val="00733924"/>
    <w:rsid w:val="0073433E"/>
    <w:rsid w:val="00734400"/>
    <w:rsid w:val="007349B0"/>
    <w:rsid w:val="00734BC7"/>
    <w:rsid w:val="00734CFC"/>
    <w:rsid w:val="007353FB"/>
    <w:rsid w:val="00735B3F"/>
    <w:rsid w:val="00735CAA"/>
    <w:rsid w:val="00735D08"/>
    <w:rsid w:val="00736AC5"/>
    <w:rsid w:val="00736D16"/>
    <w:rsid w:val="0073719F"/>
    <w:rsid w:val="00737C91"/>
    <w:rsid w:val="00740662"/>
    <w:rsid w:val="0074077F"/>
    <w:rsid w:val="00740C52"/>
    <w:rsid w:val="0074115E"/>
    <w:rsid w:val="00741172"/>
    <w:rsid w:val="007411E6"/>
    <w:rsid w:val="0074130D"/>
    <w:rsid w:val="00741356"/>
    <w:rsid w:val="00741958"/>
    <w:rsid w:val="00742309"/>
    <w:rsid w:val="00742394"/>
    <w:rsid w:val="00742513"/>
    <w:rsid w:val="007428A8"/>
    <w:rsid w:val="00742F20"/>
    <w:rsid w:val="00743028"/>
    <w:rsid w:val="00743B39"/>
    <w:rsid w:val="00743CDF"/>
    <w:rsid w:val="00743DE7"/>
    <w:rsid w:val="00743E23"/>
    <w:rsid w:val="00743F69"/>
    <w:rsid w:val="007446F2"/>
    <w:rsid w:val="00744D82"/>
    <w:rsid w:val="00745A13"/>
    <w:rsid w:val="00745CB0"/>
    <w:rsid w:val="00745CC0"/>
    <w:rsid w:val="00745D0E"/>
    <w:rsid w:val="00745D8F"/>
    <w:rsid w:val="00746023"/>
    <w:rsid w:val="00746621"/>
    <w:rsid w:val="00746811"/>
    <w:rsid w:val="0074705A"/>
    <w:rsid w:val="007475C8"/>
    <w:rsid w:val="007476DA"/>
    <w:rsid w:val="00747970"/>
    <w:rsid w:val="007502BD"/>
    <w:rsid w:val="007508BC"/>
    <w:rsid w:val="00750925"/>
    <w:rsid w:val="00750C19"/>
    <w:rsid w:val="00750DD4"/>
    <w:rsid w:val="00750F66"/>
    <w:rsid w:val="007515E5"/>
    <w:rsid w:val="00751B8E"/>
    <w:rsid w:val="00751C2F"/>
    <w:rsid w:val="00751FCE"/>
    <w:rsid w:val="007521CB"/>
    <w:rsid w:val="0075234C"/>
    <w:rsid w:val="00752602"/>
    <w:rsid w:val="00752D79"/>
    <w:rsid w:val="007530ED"/>
    <w:rsid w:val="00753918"/>
    <w:rsid w:val="00753E58"/>
    <w:rsid w:val="00754032"/>
    <w:rsid w:val="0075441F"/>
    <w:rsid w:val="00754579"/>
    <w:rsid w:val="007546A3"/>
    <w:rsid w:val="007546C5"/>
    <w:rsid w:val="0075478E"/>
    <w:rsid w:val="007547CA"/>
    <w:rsid w:val="007553AF"/>
    <w:rsid w:val="00756125"/>
    <w:rsid w:val="00756322"/>
    <w:rsid w:val="00756D68"/>
    <w:rsid w:val="00756F8A"/>
    <w:rsid w:val="00757521"/>
    <w:rsid w:val="0075756A"/>
    <w:rsid w:val="007575E2"/>
    <w:rsid w:val="00757FA6"/>
    <w:rsid w:val="00757FEF"/>
    <w:rsid w:val="00760B08"/>
    <w:rsid w:val="00760DB9"/>
    <w:rsid w:val="0076179F"/>
    <w:rsid w:val="00761B0C"/>
    <w:rsid w:val="00761CA2"/>
    <w:rsid w:val="0076214A"/>
    <w:rsid w:val="007622B5"/>
    <w:rsid w:val="00762A47"/>
    <w:rsid w:val="007631E3"/>
    <w:rsid w:val="00763396"/>
    <w:rsid w:val="0076358E"/>
    <w:rsid w:val="00763806"/>
    <w:rsid w:val="007638C7"/>
    <w:rsid w:val="00763CCD"/>
    <w:rsid w:val="00764923"/>
    <w:rsid w:val="00764E81"/>
    <w:rsid w:val="00764F36"/>
    <w:rsid w:val="00765230"/>
    <w:rsid w:val="0076599F"/>
    <w:rsid w:val="00765BF1"/>
    <w:rsid w:val="007660C4"/>
    <w:rsid w:val="0076670B"/>
    <w:rsid w:val="00766A40"/>
    <w:rsid w:val="00766B57"/>
    <w:rsid w:val="00766E66"/>
    <w:rsid w:val="00767314"/>
    <w:rsid w:val="0076748E"/>
    <w:rsid w:val="00767DA5"/>
    <w:rsid w:val="00770071"/>
    <w:rsid w:val="007703CE"/>
    <w:rsid w:val="00770558"/>
    <w:rsid w:val="00770A64"/>
    <w:rsid w:val="00770EF8"/>
    <w:rsid w:val="00770F04"/>
    <w:rsid w:val="00770F79"/>
    <w:rsid w:val="00771B79"/>
    <w:rsid w:val="00771C62"/>
    <w:rsid w:val="00771F48"/>
    <w:rsid w:val="007726CB"/>
    <w:rsid w:val="00772F7C"/>
    <w:rsid w:val="00773078"/>
    <w:rsid w:val="007733CE"/>
    <w:rsid w:val="007734DA"/>
    <w:rsid w:val="00774329"/>
    <w:rsid w:val="0077483D"/>
    <w:rsid w:val="0077497C"/>
    <w:rsid w:val="007750AA"/>
    <w:rsid w:val="007752D6"/>
    <w:rsid w:val="0077567F"/>
    <w:rsid w:val="0077577D"/>
    <w:rsid w:val="00775C4E"/>
    <w:rsid w:val="00775CEF"/>
    <w:rsid w:val="00776901"/>
    <w:rsid w:val="00776C33"/>
    <w:rsid w:val="0077701E"/>
    <w:rsid w:val="0077711B"/>
    <w:rsid w:val="007772CB"/>
    <w:rsid w:val="00777300"/>
    <w:rsid w:val="007775D2"/>
    <w:rsid w:val="00777B4E"/>
    <w:rsid w:val="00780369"/>
    <w:rsid w:val="00780BC1"/>
    <w:rsid w:val="00780BF8"/>
    <w:rsid w:val="00780FDF"/>
    <w:rsid w:val="007813BA"/>
    <w:rsid w:val="007817F9"/>
    <w:rsid w:val="007818CF"/>
    <w:rsid w:val="00781DA0"/>
    <w:rsid w:val="007827E8"/>
    <w:rsid w:val="00782E0B"/>
    <w:rsid w:val="007831FE"/>
    <w:rsid w:val="0078331B"/>
    <w:rsid w:val="00783944"/>
    <w:rsid w:val="00783E03"/>
    <w:rsid w:val="00783E9B"/>
    <w:rsid w:val="00784107"/>
    <w:rsid w:val="007845F9"/>
    <w:rsid w:val="007848E0"/>
    <w:rsid w:val="00785081"/>
    <w:rsid w:val="00785163"/>
    <w:rsid w:val="00785536"/>
    <w:rsid w:val="00785D59"/>
    <w:rsid w:val="00785F74"/>
    <w:rsid w:val="00785F8F"/>
    <w:rsid w:val="007865C7"/>
    <w:rsid w:val="00787520"/>
    <w:rsid w:val="00787EC2"/>
    <w:rsid w:val="00790066"/>
    <w:rsid w:val="0079013B"/>
    <w:rsid w:val="00790400"/>
    <w:rsid w:val="007904D0"/>
    <w:rsid w:val="0079154F"/>
    <w:rsid w:val="00791A25"/>
    <w:rsid w:val="00792BC2"/>
    <w:rsid w:val="007938AF"/>
    <w:rsid w:val="00793989"/>
    <w:rsid w:val="0079430F"/>
    <w:rsid w:val="007956B7"/>
    <w:rsid w:val="007966D7"/>
    <w:rsid w:val="00796C62"/>
    <w:rsid w:val="007970A1"/>
    <w:rsid w:val="0079734C"/>
    <w:rsid w:val="007A0155"/>
    <w:rsid w:val="007A0818"/>
    <w:rsid w:val="007A1750"/>
    <w:rsid w:val="007A1996"/>
    <w:rsid w:val="007A20AB"/>
    <w:rsid w:val="007A2C2F"/>
    <w:rsid w:val="007A2C51"/>
    <w:rsid w:val="007A2D56"/>
    <w:rsid w:val="007A3477"/>
    <w:rsid w:val="007A34AA"/>
    <w:rsid w:val="007A3782"/>
    <w:rsid w:val="007A3BFD"/>
    <w:rsid w:val="007A4050"/>
    <w:rsid w:val="007A456F"/>
    <w:rsid w:val="007A459D"/>
    <w:rsid w:val="007A4C0B"/>
    <w:rsid w:val="007A5087"/>
    <w:rsid w:val="007A543A"/>
    <w:rsid w:val="007A5C0F"/>
    <w:rsid w:val="007A5E7C"/>
    <w:rsid w:val="007A5F96"/>
    <w:rsid w:val="007A6007"/>
    <w:rsid w:val="007A6AA4"/>
    <w:rsid w:val="007A7052"/>
    <w:rsid w:val="007A7BAC"/>
    <w:rsid w:val="007A7D6D"/>
    <w:rsid w:val="007A7F08"/>
    <w:rsid w:val="007B07A4"/>
    <w:rsid w:val="007B0CB4"/>
    <w:rsid w:val="007B0CCF"/>
    <w:rsid w:val="007B0CD9"/>
    <w:rsid w:val="007B0E55"/>
    <w:rsid w:val="007B17D0"/>
    <w:rsid w:val="007B194D"/>
    <w:rsid w:val="007B1BB9"/>
    <w:rsid w:val="007B2261"/>
    <w:rsid w:val="007B228E"/>
    <w:rsid w:val="007B2704"/>
    <w:rsid w:val="007B2853"/>
    <w:rsid w:val="007B2872"/>
    <w:rsid w:val="007B2893"/>
    <w:rsid w:val="007B30BD"/>
    <w:rsid w:val="007B38C2"/>
    <w:rsid w:val="007B3970"/>
    <w:rsid w:val="007B3B14"/>
    <w:rsid w:val="007B3BDE"/>
    <w:rsid w:val="007B3F4C"/>
    <w:rsid w:val="007B4082"/>
    <w:rsid w:val="007B422D"/>
    <w:rsid w:val="007B4504"/>
    <w:rsid w:val="007B4574"/>
    <w:rsid w:val="007B46F2"/>
    <w:rsid w:val="007B4713"/>
    <w:rsid w:val="007B4F3B"/>
    <w:rsid w:val="007B5373"/>
    <w:rsid w:val="007B546E"/>
    <w:rsid w:val="007B5709"/>
    <w:rsid w:val="007B577A"/>
    <w:rsid w:val="007B58FB"/>
    <w:rsid w:val="007B5943"/>
    <w:rsid w:val="007B5FFA"/>
    <w:rsid w:val="007B610B"/>
    <w:rsid w:val="007B7548"/>
    <w:rsid w:val="007B7A93"/>
    <w:rsid w:val="007B7BA1"/>
    <w:rsid w:val="007C006E"/>
    <w:rsid w:val="007C07D6"/>
    <w:rsid w:val="007C0DA5"/>
    <w:rsid w:val="007C0F1A"/>
    <w:rsid w:val="007C1FD2"/>
    <w:rsid w:val="007C237A"/>
    <w:rsid w:val="007C2581"/>
    <w:rsid w:val="007C28FD"/>
    <w:rsid w:val="007C2C08"/>
    <w:rsid w:val="007C3050"/>
    <w:rsid w:val="007C3120"/>
    <w:rsid w:val="007C3305"/>
    <w:rsid w:val="007C384D"/>
    <w:rsid w:val="007C410E"/>
    <w:rsid w:val="007C4203"/>
    <w:rsid w:val="007C48CD"/>
    <w:rsid w:val="007C4DF7"/>
    <w:rsid w:val="007C504F"/>
    <w:rsid w:val="007C506B"/>
    <w:rsid w:val="007C50E2"/>
    <w:rsid w:val="007C56F9"/>
    <w:rsid w:val="007C5772"/>
    <w:rsid w:val="007C61B4"/>
    <w:rsid w:val="007C6846"/>
    <w:rsid w:val="007C6A63"/>
    <w:rsid w:val="007C6ADE"/>
    <w:rsid w:val="007C7049"/>
    <w:rsid w:val="007C777C"/>
    <w:rsid w:val="007C7BB8"/>
    <w:rsid w:val="007C7E98"/>
    <w:rsid w:val="007D01DF"/>
    <w:rsid w:val="007D09C0"/>
    <w:rsid w:val="007D182A"/>
    <w:rsid w:val="007D1A70"/>
    <w:rsid w:val="007D1F3A"/>
    <w:rsid w:val="007D2032"/>
    <w:rsid w:val="007D22C3"/>
    <w:rsid w:val="007D2D06"/>
    <w:rsid w:val="007D2F3B"/>
    <w:rsid w:val="007D45D2"/>
    <w:rsid w:val="007D478C"/>
    <w:rsid w:val="007D4B76"/>
    <w:rsid w:val="007D4C5A"/>
    <w:rsid w:val="007D54C9"/>
    <w:rsid w:val="007D5B1E"/>
    <w:rsid w:val="007D6072"/>
    <w:rsid w:val="007D6371"/>
    <w:rsid w:val="007D6735"/>
    <w:rsid w:val="007D678A"/>
    <w:rsid w:val="007D68C5"/>
    <w:rsid w:val="007D78FA"/>
    <w:rsid w:val="007E0217"/>
    <w:rsid w:val="007E0247"/>
    <w:rsid w:val="007E07C7"/>
    <w:rsid w:val="007E1307"/>
    <w:rsid w:val="007E1531"/>
    <w:rsid w:val="007E1606"/>
    <w:rsid w:val="007E193D"/>
    <w:rsid w:val="007E2EA0"/>
    <w:rsid w:val="007E32FE"/>
    <w:rsid w:val="007E351D"/>
    <w:rsid w:val="007E421A"/>
    <w:rsid w:val="007E4908"/>
    <w:rsid w:val="007E4BD8"/>
    <w:rsid w:val="007E4DDF"/>
    <w:rsid w:val="007E517B"/>
    <w:rsid w:val="007E527B"/>
    <w:rsid w:val="007E5658"/>
    <w:rsid w:val="007E5ADE"/>
    <w:rsid w:val="007E5F0F"/>
    <w:rsid w:val="007E6A66"/>
    <w:rsid w:val="007E712A"/>
    <w:rsid w:val="007E74B9"/>
    <w:rsid w:val="007E77EF"/>
    <w:rsid w:val="007E7C94"/>
    <w:rsid w:val="007E7F5F"/>
    <w:rsid w:val="007F03F0"/>
    <w:rsid w:val="007F059B"/>
    <w:rsid w:val="007F0B80"/>
    <w:rsid w:val="007F0F25"/>
    <w:rsid w:val="007F16FD"/>
    <w:rsid w:val="007F29F0"/>
    <w:rsid w:val="007F2CB5"/>
    <w:rsid w:val="007F2F3B"/>
    <w:rsid w:val="007F3A15"/>
    <w:rsid w:val="007F41AB"/>
    <w:rsid w:val="007F4279"/>
    <w:rsid w:val="007F5082"/>
    <w:rsid w:val="007F5606"/>
    <w:rsid w:val="007F5A86"/>
    <w:rsid w:val="007F5AB5"/>
    <w:rsid w:val="007F5E18"/>
    <w:rsid w:val="007F604A"/>
    <w:rsid w:val="007F63A9"/>
    <w:rsid w:val="007F7132"/>
    <w:rsid w:val="007F7187"/>
    <w:rsid w:val="007F743B"/>
    <w:rsid w:val="007F76E7"/>
    <w:rsid w:val="007F79F7"/>
    <w:rsid w:val="007F7BA4"/>
    <w:rsid w:val="008005DF"/>
    <w:rsid w:val="00800BEB"/>
    <w:rsid w:val="00801133"/>
    <w:rsid w:val="008011B8"/>
    <w:rsid w:val="00801B88"/>
    <w:rsid w:val="0080285A"/>
    <w:rsid w:val="008028D7"/>
    <w:rsid w:val="008029F5"/>
    <w:rsid w:val="00802CE6"/>
    <w:rsid w:val="00803717"/>
    <w:rsid w:val="008044D1"/>
    <w:rsid w:val="0080459F"/>
    <w:rsid w:val="00804A9C"/>
    <w:rsid w:val="00804BC7"/>
    <w:rsid w:val="00804E4A"/>
    <w:rsid w:val="00805079"/>
    <w:rsid w:val="008050B0"/>
    <w:rsid w:val="00805429"/>
    <w:rsid w:val="0080562E"/>
    <w:rsid w:val="008057C1"/>
    <w:rsid w:val="00805B4D"/>
    <w:rsid w:val="00806149"/>
    <w:rsid w:val="00806641"/>
    <w:rsid w:val="0080671F"/>
    <w:rsid w:val="0080716F"/>
    <w:rsid w:val="008075B5"/>
    <w:rsid w:val="00807719"/>
    <w:rsid w:val="008109F3"/>
    <w:rsid w:val="00810A27"/>
    <w:rsid w:val="0081115C"/>
    <w:rsid w:val="00811725"/>
    <w:rsid w:val="00811758"/>
    <w:rsid w:val="00811BAA"/>
    <w:rsid w:val="008120DB"/>
    <w:rsid w:val="0081282F"/>
    <w:rsid w:val="00812BBA"/>
    <w:rsid w:val="00812C69"/>
    <w:rsid w:val="00812D4A"/>
    <w:rsid w:val="0081358D"/>
    <w:rsid w:val="008135F1"/>
    <w:rsid w:val="00813966"/>
    <w:rsid w:val="00813CA5"/>
    <w:rsid w:val="00813E16"/>
    <w:rsid w:val="00814788"/>
    <w:rsid w:val="0081488C"/>
    <w:rsid w:val="008148BD"/>
    <w:rsid w:val="008149AB"/>
    <w:rsid w:val="00814D17"/>
    <w:rsid w:val="0081521C"/>
    <w:rsid w:val="00815C13"/>
    <w:rsid w:val="0081746C"/>
    <w:rsid w:val="0082003E"/>
    <w:rsid w:val="008200B5"/>
    <w:rsid w:val="0082024E"/>
    <w:rsid w:val="00820A10"/>
    <w:rsid w:val="00820AAF"/>
    <w:rsid w:val="00820D70"/>
    <w:rsid w:val="00821102"/>
    <w:rsid w:val="00821EC8"/>
    <w:rsid w:val="00821F36"/>
    <w:rsid w:val="0082254E"/>
    <w:rsid w:val="00822D8C"/>
    <w:rsid w:val="00822EBE"/>
    <w:rsid w:val="008235D2"/>
    <w:rsid w:val="008246E9"/>
    <w:rsid w:val="008251EE"/>
    <w:rsid w:val="008253B3"/>
    <w:rsid w:val="0082543E"/>
    <w:rsid w:val="00826D9C"/>
    <w:rsid w:val="00826DEB"/>
    <w:rsid w:val="00826F26"/>
    <w:rsid w:val="0082702C"/>
    <w:rsid w:val="00827441"/>
    <w:rsid w:val="00827640"/>
    <w:rsid w:val="00827661"/>
    <w:rsid w:val="00827D3E"/>
    <w:rsid w:val="0083092F"/>
    <w:rsid w:val="00831268"/>
    <w:rsid w:val="00831418"/>
    <w:rsid w:val="008315D2"/>
    <w:rsid w:val="00831C5F"/>
    <w:rsid w:val="00831CC2"/>
    <w:rsid w:val="00831FB7"/>
    <w:rsid w:val="00832305"/>
    <w:rsid w:val="008325E4"/>
    <w:rsid w:val="00832B6F"/>
    <w:rsid w:val="008334C8"/>
    <w:rsid w:val="008339AD"/>
    <w:rsid w:val="0083404C"/>
    <w:rsid w:val="00834174"/>
    <w:rsid w:val="0083431E"/>
    <w:rsid w:val="00834AAC"/>
    <w:rsid w:val="00834C20"/>
    <w:rsid w:val="00835063"/>
    <w:rsid w:val="008351DE"/>
    <w:rsid w:val="00835488"/>
    <w:rsid w:val="0083554C"/>
    <w:rsid w:val="00835B12"/>
    <w:rsid w:val="00835C48"/>
    <w:rsid w:val="00836385"/>
    <w:rsid w:val="00836416"/>
    <w:rsid w:val="00836B26"/>
    <w:rsid w:val="00836BE7"/>
    <w:rsid w:val="00836F53"/>
    <w:rsid w:val="00837460"/>
    <w:rsid w:val="00837A4B"/>
    <w:rsid w:val="00840898"/>
    <w:rsid w:val="00841603"/>
    <w:rsid w:val="00841897"/>
    <w:rsid w:val="008425D3"/>
    <w:rsid w:val="008427C4"/>
    <w:rsid w:val="008428B8"/>
    <w:rsid w:val="00842DB0"/>
    <w:rsid w:val="0084374C"/>
    <w:rsid w:val="00843C4C"/>
    <w:rsid w:val="00843CD3"/>
    <w:rsid w:val="00843F75"/>
    <w:rsid w:val="00844B13"/>
    <w:rsid w:val="00844B36"/>
    <w:rsid w:val="00844C73"/>
    <w:rsid w:val="00844E1C"/>
    <w:rsid w:val="00844F96"/>
    <w:rsid w:val="00845530"/>
    <w:rsid w:val="00845938"/>
    <w:rsid w:val="00845977"/>
    <w:rsid w:val="00846018"/>
    <w:rsid w:val="0084627B"/>
    <w:rsid w:val="0084666E"/>
    <w:rsid w:val="00847130"/>
    <w:rsid w:val="00847583"/>
    <w:rsid w:val="0084760D"/>
    <w:rsid w:val="0084782B"/>
    <w:rsid w:val="00847D02"/>
    <w:rsid w:val="008505CB"/>
    <w:rsid w:val="00850932"/>
    <w:rsid w:val="00850A4F"/>
    <w:rsid w:val="00850BC5"/>
    <w:rsid w:val="00850DC9"/>
    <w:rsid w:val="00850FDD"/>
    <w:rsid w:val="00851AA2"/>
    <w:rsid w:val="008521E1"/>
    <w:rsid w:val="00852C62"/>
    <w:rsid w:val="0085361C"/>
    <w:rsid w:val="00853C3A"/>
    <w:rsid w:val="00853C7D"/>
    <w:rsid w:val="00853CEF"/>
    <w:rsid w:val="00853EC8"/>
    <w:rsid w:val="00854561"/>
    <w:rsid w:val="00854986"/>
    <w:rsid w:val="00854EA8"/>
    <w:rsid w:val="008551F0"/>
    <w:rsid w:val="008558F3"/>
    <w:rsid w:val="00855A87"/>
    <w:rsid w:val="008562C7"/>
    <w:rsid w:val="0085651F"/>
    <w:rsid w:val="00856F11"/>
    <w:rsid w:val="008575E8"/>
    <w:rsid w:val="00857963"/>
    <w:rsid w:val="00857E92"/>
    <w:rsid w:val="008600A9"/>
    <w:rsid w:val="00860302"/>
    <w:rsid w:val="008607C5"/>
    <w:rsid w:val="00860C75"/>
    <w:rsid w:val="00860D24"/>
    <w:rsid w:val="00860FA2"/>
    <w:rsid w:val="0086128C"/>
    <w:rsid w:val="008614B9"/>
    <w:rsid w:val="008616FF"/>
    <w:rsid w:val="00861792"/>
    <w:rsid w:val="00861BEF"/>
    <w:rsid w:val="00862177"/>
    <w:rsid w:val="00862E2B"/>
    <w:rsid w:val="00862FE5"/>
    <w:rsid w:val="00863736"/>
    <w:rsid w:val="00863A37"/>
    <w:rsid w:val="00863CAB"/>
    <w:rsid w:val="00864318"/>
    <w:rsid w:val="0086457E"/>
    <w:rsid w:val="008646B1"/>
    <w:rsid w:val="00865576"/>
    <w:rsid w:val="0086596C"/>
    <w:rsid w:val="00865B9C"/>
    <w:rsid w:val="00866048"/>
    <w:rsid w:val="00866E66"/>
    <w:rsid w:val="008670A1"/>
    <w:rsid w:val="008678A3"/>
    <w:rsid w:val="00867BEA"/>
    <w:rsid w:val="008700EC"/>
    <w:rsid w:val="008709E0"/>
    <w:rsid w:val="008709EF"/>
    <w:rsid w:val="00871289"/>
    <w:rsid w:val="00871CB0"/>
    <w:rsid w:val="00871CBA"/>
    <w:rsid w:val="00872C46"/>
    <w:rsid w:val="00872DFA"/>
    <w:rsid w:val="00873086"/>
    <w:rsid w:val="00873B2C"/>
    <w:rsid w:val="0087402B"/>
    <w:rsid w:val="008746C2"/>
    <w:rsid w:val="00874B2C"/>
    <w:rsid w:val="00874C39"/>
    <w:rsid w:val="00874F27"/>
    <w:rsid w:val="00875B89"/>
    <w:rsid w:val="00875B90"/>
    <w:rsid w:val="008763E1"/>
    <w:rsid w:val="00876C63"/>
    <w:rsid w:val="00876F6D"/>
    <w:rsid w:val="008770D9"/>
    <w:rsid w:val="00877244"/>
    <w:rsid w:val="0087760F"/>
    <w:rsid w:val="00877AFC"/>
    <w:rsid w:val="00877BD7"/>
    <w:rsid w:val="00877C3C"/>
    <w:rsid w:val="008812AC"/>
    <w:rsid w:val="00881346"/>
    <w:rsid w:val="0088147D"/>
    <w:rsid w:val="008817D0"/>
    <w:rsid w:val="008818C5"/>
    <w:rsid w:val="00881AE4"/>
    <w:rsid w:val="0088247B"/>
    <w:rsid w:val="00882700"/>
    <w:rsid w:val="00882A40"/>
    <w:rsid w:val="00882E14"/>
    <w:rsid w:val="00882EF5"/>
    <w:rsid w:val="00883382"/>
    <w:rsid w:val="00883453"/>
    <w:rsid w:val="0088380D"/>
    <w:rsid w:val="00884688"/>
    <w:rsid w:val="008847AD"/>
    <w:rsid w:val="00884F0F"/>
    <w:rsid w:val="008852B6"/>
    <w:rsid w:val="0088552A"/>
    <w:rsid w:val="00886118"/>
    <w:rsid w:val="008861D3"/>
    <w:rsid w:val="00886209"/>
    <w:rsid w:val="00886349"/>
    <w:rsid w:val="00886BE3"/>
    <w:rsid w:val="00886D69"/>
    <w:rsid w:val="00886F14"/>
    <w:rsid w:val="00887E50"/>
    <w:rsid w:val="00890879"/>
    <w:rsid w:val="00890888"/>
    <w:rsid w:val="00890A73"/>
    <w:rsid w:val="00890C59"/>
    <w:rsid w:val="00891128"/>
    <w:rsid w:val="00891709"/>
    <w:rsid w:val="008919D0"/>
    <w:rsid w:val="00892659"/>
    <w:rsid w:val="0089286B"/>
    <w:rsid w:val="00892EFC"/>
    <w:rsid w:val="00893153"/>
    <w:rsid w:val="00893510"/>
    <w:rsid w:val="00893B32"/>
    <w:rsid w:val="00894133"/>
    <w:rsid w:val="008946D7"/>
    <w:rsid w:val="00895937"/>
    <w:rsid w:val="008961EE"/>
    <w:rsid w:val="00896511"/>
    <w:rsid w:val="00896523"/>
    <w:rsid w:val="008966B6"/>
    <w:rsid w:val="00896BB6"/>
    <w:rsid w:val="00896C13"/>
    <w:rsid w:val="00896D64"/>
    <w:rsid w:val="008971EA"/>
    <w:rsid w:val="0089744A"/>
    <w:rsid w:val="00897D62"/>
    <w:rsid w:val="008A01C0"/>
    <w:rsid w:val="008A040E"/>
    <w:rsid w:val="008A0DF3"/>
    <w:rsid w:val="008A0F6D"/>
    <w:rsid w:val="008A13FA"/>
    <w:rsid w:val="008A160C"/>
    <w:rsid w:val="008A18AD"/>
    <w:rsid w:val="008A1ED3"/>
    <w:rsid w:val="008A2121"/>
    <w:rsid w:val="008A2156"/>
    <w:rsid w:val="008A2187"/>
    <w:rsid w:val="008A22C1"/>
    <w:rsid w:val="008A2347"/>
    <w:rsid w:val="008A2501"/>
    <w:rsid w:val="008A2E72"/>
    <w:rsid w:val="008A336F"/>
    <w:rsid w:val="008A3794"/>
    <w:rsid w:val="008A40ED"/>
    <w:rsid w:val="008A4464"/>
    <w:rsid w:val="008A46FB"/>
    <w:rsid w:val="008A4871"/>
    <w:rsid w:val="008A495D"/>
    <w:rsid w:val="008A4B16"/>
    <w:rsid w:val="008A4B91"/>
    <w:rsid w:val="008A5208"/>
    <w:rsid w:val="008A5631"/>
    <w:rsid w:val="008A580F"/>
    <w:rsid w:val="008A61BC"/>
    <w:rsid w:val="008A65A7"/>
    <w:rsid w:val="008A661C"/>
    <w:rsid w:val="008A6F7D"/>
    <w:rsid w:val="008A6FE1"/>
    <w:rsid w:val="008A7901"/>
    <w:rsid w:val="008A79BC"/>
    <w:rsid w:val="008A79CB"/>
    <w:rsid w:val="008B0100"/>
    <w:rsid w:val="008B09AC"/>
    <w:rsid w:val="008B1419"/>
    <w:rsid w:val="008B14B0"/>
    <w:rsid w:val="008B1CD1"/>
    <w:rsid w:val="008B22B1"/>
    <w:rsid w:val="008B2B98"/>
    <w:rsid w:val="008B2C47"/>
    <w:rsid w:val="008B30E7"/>
    <w:rsid w:val="008B382F"/>
    <w:rsid w:val="008B3950"/>
    <w:rsid w:val="008B3A5E"/>
    <w:rsid w:val="008B4128"/>
    <w:rsid w:val="008B4533"/>
    <w:rsid w:val="008B4C6E"/>
    <w:rsid w:val="008B5276"/>
    <w:rsid w:val="008B59B9"/>
    <w:rsid w:val="008B59F4"/>
    <w:rsid w:val="008B5FE0"/>
    <w:rsid w:val="008B6073"/>
    <w:rsid w:val="008B62B3"/>
    <w:rsid w:val="008B6D97"/>
    <w:rsid w:val="008B78AA"/>
    <w:rsid w:val="008B7ABE"/>
    <w:rsid w:val="008B7B08"/>
    <w:rsid w:val="008B7BD3"/>
    <w:rsid w:val="008B7CA0"/>
    <w:rsid w:val="008C09CB"/>
    <w:rsid w:val="008C0D66"/>
    <w:rsid w:val="008C0FA9"/>
    <w:rsid w:val="008C1154"/>
    <w:rsid w:val="008C128D"/>
    <w:rsid w:val="008C12F4"/>
    <w:rsid w:val="008C1886"/>
    <w:rsid w:val="008C1C91"/>
    <w:rsid w:val="008C1FAF"/>
    <w:rsid w:val="008C2534"/>
    <w:rsid w:val="008C32DB"/>
    <w:rsid w:val="008C3342"/>
    <w:rsid w:val="008C38CB"/>
    <w:rsid w:val="008C46F3"/>
    <w:rsid w:val="008C4DF5"/>
    <w:rsid w:val="008C5067"/>
    <w:rsid w:val="008C5605"/>
    <w:rsid w:val="008C5AD5"/>
    <w:rsid w:val="008C5DFA"/>
    <w:rsid w:val="008C6450"/>
    <w:rsid w:val="008C6CBC"/>
    <w:rsid w:val="008C6F09"/>
    <w:rsid w:val="008C707B"/>
    <w:rsid w:val="008C738E"/>
    <w:rsid w:val="008C7951"/>
    <w:rsid w:val="008C7C8C"/>
    <w:rsid w:val="008C7E39"/>
    <w:rsid w:val="008C7F92"/>
    <w:rsid w:val="008D0092"/>
    <w:rsid w:val="008D0458"/>
    <w:rsid w:val="008D071B"/>
    <w:rsid w:val="008D140E"/>
    <w:rsid w:val="008D15C5"/>
    <w:rsid w:val="008D1CC5"/>
    <w:rsid w:val="008D1E88"/>
    <w:rsid w:val="008D231D"/>
    <w:rsid w:val="008D2764"/>
    <w:rsid w:val="008D28B8"/>
    <w:rsid w:val="008D2C89"/>
    <w:rsid w:val="008D2DF8"/>
    <w:rsid w:val="008D3C22"/>
    <w:rsid w:val="008D41AD"/>
    <w:rsid w:val="008D42E1"/>
    <w:rsid w:val="008D442F"/>
    <w:rsid w:val="008D4A6D"/>
    <w:rsid w:val="008D4EFE"/>
    <w:rsid w:val="008D4FA2"/>
    <w:rsid w:val="008D5215"/>
    <w:rsid w:val="008D522D"/>
    <w:rsid w:val="008D5297"/>
    <w:rsid w:val="008D53D9"/>
    <w:rsid w:val="008D5F1A"/>
    <w:rsid w:val="008D6354"/>
    <w:rsid w:val="008D6627"/>
    <w:rsid w:val="008D7531"/>
    <w:rsid w:val="008D756E"/>
    <w:rsid w:val="008D7792"/>
    <w:rsid w:val="008D7DB3"/>
    <w:rsid w:val="008E0419"/>
    <w:rsid w:val="008E0A33"/>
    <w:rsid w:val="008E0C04"/>
    <w:rsid w:val="008E1002"/>
    <w:rsid w:val="008E1FE5"/>
    <w:rsid w:val="008E2CA9"/>
    <w:rsid w:val="008E2D49"/>
    <w:rsid w:val="008E2FF8"/>
    <w:rsid w:val="008E31DA"/>
    <w:rsid w:val="008E3C0A"/>
    <w:rsid w:val="008E4736"/>
    <w:rsid w:val="008E4A7E"/>
    <w:rsid w:val="008E50B2"/>
    <w:rsid w:val="008E55CD"/>
    <w:rsid w:val="008E565E"/>
    <w:rsid w:val="008E6387"/>
    <w:rsid w:val="008E69F1"/>
    <w:rsid w:val="008E7048"/>
    <w:rsid w:val="008E74C0"/>
    <w:rsid w:val="008E7BC1"/>
    <w:rsid w:val="008E7BDA"/>
    <w:rsid w:val="008E7C4F"/>
    <w:rsid w:val="008E7F8A"/>
    <w:rsid w:val="008F067D"/>
    <w:rsid w:val="008F072F"/>
    <w:rsid w:val="008F07A8"/>
    <w:rsid w:val="008F0CCE"/>
    <w:rsid w:val="008F10C0"/>
    <w:rsid w:val="008F176B"/>
    <w:rsid w:val="008F2224"/>
    <w:rsid w:val="008F2253"/>
    <w:rsid w:val="008F27D3"/>
    <w:rsid w:val="008F2811"/>
    <w:rsid w:val="008F285D"/>
    <w:rsid w:val="008F355A"/>
    <w:rsid w:val="008F3641"/>
    <w:rsid w:val="008F4751"/>
    <w:rsid w:val="008F4875"/>
    <w:rsid w:val="008F4E21"/>
    <w:rsid w:val="008F566B"/>
    <w:rsid w:val="008F5767"/>
    <w:rsid w:val="008F5F63"/>
    <w:rsid w:val="008F6CCC"/>
    <w:rsid w:val="008F6DAB"/>
    <w:rsid w:val="008F7249"/>
    <w:rsid w:val="008F7D58"/>
    <w:rsid w:val="008F7E6B"/>
    <w:rsid w:val="008F7F84"/>
    <w:rsid w:val="00900543"/>
    <w:rsid w:val="00900C2F"/>
    <w:rsid w:val="00901841"/>
    <w:rsid w:val="00901C15"/>
    <w:rsid w:val="00902AFE"/>
    <w:rsid w:val="0090302B"/>
    <w:rsid w:val="00903982"/>
    <w:rsid w:val="0090449B"/>
    <w:rsid w:val="0090464A"/>
    <w:rsid w:val="00904653"/>
    <w:rsid w:val="00904972"/>
    <w:rsid w:val="00904A64"/>
    <w:rsid w:val="00904C7F"/>
    <w:rsid w:val="0090552E"/>
    <w:rsid w:val="00907929"/>
    <w:rsid w:val="009079B8"/>
    <w:rsid w:val="00907A8F"/>
    <w:rsid w:val="00911BB8"/>
    <w:rsid w:val="009120E1"/>
    <w:rsid w:val="0091210D"/>
    <w:rsid w:val="00912717"/>
    <w:rsid w:val="00912D93"/>
    <w:rsid w:val="009135C3"/>
    <w:rsid w:val="00914110"/>
    <w:rsid w:val="00914733"/>
    <w:rsid w:val="00914BCC"/>
    <w:rsid w:val="0091573B"/>
    <w:rsid w:val="0091582A"/>
    <w:rsid w:val="00915D77"/>
    <w:rsid w:val="009161D6"/>
    <w:rsid w:val="0091632B"/>
    <w:rsid w:val="009165C9"/>
    <w:rsid w:val="009169BE"/>
    <w:rsid w:val="00916D48"/>
    <w:rsid w:val="0091727B"/>
    <w:rsid w:val="00917599"/>
    <w:rsid w:val="0091776C"/>
    <w:rsid w:val="00917C11"/>
    <w:rsid w:val="0092024C"/>
    <w:rsid w:val="00920B65"/>
    <w:rsid w:val="00921370"/>
    <w:rsid w:val="00921847"/>
    <w:rsid w:val="009218A4"/>
    <w:rsid w:val="00921AA4"/>
    <w:rsid w:val="00921D19"/>
    <w:rsid w:val="00922158"/>
    <w:rsid w:val="00922B0A"/>
    <w:rsid w:val="00923182"/>
    <w:rsid w:val="00924004"/>
    <w:rsid w:val="00924295"/>
    <w:rsid w:val="009242DF"/>
    <w:rsid w:val="00924377"/>
    <w:rsid w:val="009244F5"/>
    <w:rsid w:val="009254C0"/>
    <w:rsid w:val="009255EC"/>
    <w:rsid w:val="0092566C"/>
    <w:rsid w:val="00925851"/>
    <w:rsid w:val="00925E62"/>
    <w:rsid w:val="009269BB"/>
    <w:rsid w:val="00926DC5"/>
    <w:rsid w:val="00926FDA"/>
    <w:rsid w:val="0092755B"/>
    <w:rsid w:val="0092763D"/>
    <w:rsid w:val="00927BBB"/>
    <w:rsid w:val="00927D2E"/>
    <w:rsid w:val="00927E80"/>
    <w:rsid w:val="00927ED1"/>
    <w:rsid w:val="00927EFC"/>
    <w:rsid w:val="0093040F"/>
    <w:rsid w:val="009308B8"/>
    <w:rsid w:val="009308BF"/>
    <w:rsid w:val="00930D52"/>
    <w:rsid w:val="00931481"/>
    <w:rsid w:val="00932F41"/>
    <w:rsid w:val="0093372F"/>
    <w:rsid w:val="00933883"/>
    <w:rsid w:val="0093418D"/>
    <w:rsid w:val="00934558"/>
    <w:rsid w:val="009346AC"/>
    <w:rsid w:val="00934CC9"/>
    <w:rsid w:val="0093536E"/>
    <w:rsid w:val="00935727"/>
    <w:rsid w:val="00936325"/>
    <w:rsid w:val="00936C26"/>
    <w:rsid w:val="00936D86"/>
    <w:rsid w:val="00936DD9"/>
    <w:rsid w:val="009375EF"/>
    <w:rsid w:val="0093763A"/>
    <w:rsid w:val="009379D7"/>
    <w:rsid w:val="00937F0B"/>
    <w:rsid w:val="00937F9C"/>
    <w:rsid w:val="00940239"/>
    <w:rsid w:val="00940466"/>
    <w:rsid w:val="00940AD2"/>
    <w:rsid w:val="00940FA8"/>
    <w:rsid w:val="0094136B"/>
    <w:rsid w:val="009416D1"/>
    <w:rsid w:val="00941FF1"/>
    <w:rsid w:val="00942287"/>
    <w:rsid w:val="009423D5"/>
    <w:rsid w:val="009424D8"/>
    <w:rsid w:val="00943799"/>
    <w:rsid w:val="0094421A"/>
    <w:rsid w:val="00944453"/>
    <w:rsid w:val="00944620"/>
    <w:rsid w:val="009446D5"/>
    <w:rsid w:val="00944A49"/>
    <w:rsid w:val="0094582D"/>
    <w:rsid w:val="00945E72"/>
    <w:rsid w:val="0094646F"/>
    <w:rsid w:val="00950C00"/>
    <w:rsid w:val="00950CAD"/>
    <w:rsid w:val="00951DB6"/>
    <w:rsid w:val="00952FD6"/>
    <w:rsid w:val="009539DF"/>
    <w:rsid w:val="00953AA2"/>
    <w:rsid w:val="00953F36"/>
    <w:rsid w:val="0095448B"/>
    <w:rsid w:val="00954617"/>
    <w:rsid w:val="00954679"/>
    <w:rsid w:val="0095478A"/>
    <w:rsid w:val="00954BE5"/>
    <w:rsid w:val="00955A9B"/>
    <w:rsid w:val="00955D58"/>
    <w:rsid w:val="00955FB9"/>
    <w:rsid w:val="0095671F"/>
    <w:rsid w:val="00956C8E"/>
    <w:rsid w:val="009579BC"/>
    <w:rsid w:val="00957AF2"/>
    <w:rsid w:val="00957E2B"/>
    <w:rsid w:val="00960136"/>
    <w:rsid w:val="00960662"/>
    <w:rsid w:val="00960BA8"/>
    <w:rsid w:val="00960CF2"/>
    <w:rsid w:val="00960D72"/>
    <w:rsid w:val="009611E4"/>
    <w:rsid w:val="00961322"/>
    <w:rsid w:val="009613B2"/>
    <w:rsid w:val="00961976"/>
    <w:rsid w:val="00961AE1"/>
    <w:rsid w:val="00961C11"/>
    <w:rsid w:val="00961CEA"/>
    <w:rsid w:val="00961CFA"/>
    <w:rsid w:val="00962B4B"/>
    <w:rsid w:val="009630C4"/>
    <w:rsid w:val="00963120"/>
    <w:rsid w:val="009631B2"/>
    <w:rsid w:val="009637C6"/>
    <w:rsid w:val="009639AE"/>
    <w:rsid w:val="00963C7C"/>
    <w:rsid w:val="00964228"/>
    <w:rsid w:val="0096427F"/>
    <w:rsid w:val="0096431F"/>
    <w:rsid w:val="00964454"/>
    <w:rsid w:val="00964464"/>
    <w:rsid w:val="009648BB"/>
    <w:rsid w:val="00966348"/>
    <w:rsid w:val="00966692"/>
    <w:rsid w:val="00966F52"/>
    <w:rsid w:val="009670BE"/>
    <w:rsid w:val="00967445"/>
    <w:rsid w:val="009710CA"/>
    <w:rsid w:val="00971B05"/>
    <w:rsid w:val="00971D1A"/>
    <w:rsid w:val="009739A2"/>
    <w:rsid w:val="00973A34"/>
    <w:rsid w:val="00973BE1"/>
    <w:rsid w:val="00973D73"/>
    <w:rsid w:val="00973F72"/>
    <w:rsid w:val="009740C3"/>
    <w:rsid w:val="00974459"/>
    <w:rsid w:val="00974638"/>
    <w:rsid w:val="009746B0"/>
    <w:rsid w:val="00974882"/>
    <w:rsid w:val="009748EA"/>
    <w:rsid w:val="00974ABC"/>
    <w:rsid w:val="00974B36"/>
    <w:rsid w:val="00974D2B"/>
    <w:rsid w:val="00974F40"/>
    <w:rsid w:val="00975582"/>
    <w:rsid w:val="009769C8"/>
    <w:rsid w:val="00976B92"/>
    <w:rsid w:val="00977035"/>
    <w:rsid w:val="009774DE"/>
    <w:rsid w:val="00977705"/>
    <w:rsid w:val="00980688"/>
    <w:rsid w:val="00980C5F"/>
    <w:rsid w:val="00980ECC"/>
    <w:rsid w:val="0098143E"/>
    <w:rsid w:val="0098171A"/>
    <w:rsid w:val="00981B02"/>
    <w:rsid w:val="00981B46"/>
    <w:rsid w:val="00982310"/>
    <w:rsid w:val="00982854"/>
    <w:rsid w:val="009828DD"/>
    <w:rsid w:val="009832F7"/>
    <w:rsid w:val="00983480"/>
    <w:rsid w:val="009836EA"/>
    <w:rsid w:val="009839BD"/>
    <w:rsid w:val="00983D28"/>
    <w:rsid w:val="00983E5B"/>
    <w:rsid w:val="0098404E"/>
    <w:rsid w:val="0098408B"/>
    <w:rsid w:val="00984130"/>
    <w:rsid w:val="00984490"/>
    <w:rsid w:val="009845F0"/>
    <w:rsid w:val="009846C9"/>
    <w:rsid w:val="00984838"/>
    <w:rsid w:val="00984EE9"/>
    <w:rsid w:val="00984F09"/>
    <w:rsid w:val="009850AB"/>
    <w:rsid w:val="00985418"/>
    <w:rsid w:val="0098556A"/>
    <w:rsid w:val="00985592"/>
    <w:rsid w:val="00985CAC"/>
    <w:rsid w:val="009864FE"/>
    <w:rsid w:val="009867DA"/>
    <w:rsid w:val="0098686F"/>
    <w:rsid w:val="00986C12"/>
    <w:rsid w:val="00986DAB"/>
    <w:rsid w:val="00986F5E"/>
    <w:rsid w:val="0098708D"/>
    <w:rsid w:val="00987586"/>
    <w:rsid w:val="00987682"/>
    <w:rsid w:val="009879E7"/>
    <w:rsid w:val="009902F6"/>
    <w:rsid w:val="00990366"/>
    <w:rsid w:val="0099084B"/>
    <w:rsid w:val="009908E1"/>
    <w:rsid w:val="00990E20"/>
    <w:rsid w:val="009913B6"/>
    <w:rsid w:val="00991406"/>
    <w:rsid w:val="00991A44"/>
    <w:rsid w:val="00991F66"/>
    <w:rsid w:val="00991FFF"/>
    <w:rsid w:val="009923FD"/>
    <w:rsid w:val="009925D4"/>
    <w:rsid w:val="009929D5"/>
    <w:rsid w:val="00992B42"/>
    <w:rsid w:val="00992F56"/>
    <w:rsid w:val="009930AE"/>
    <w:rsid w:val="00993308"/>
    <w:rsid w:val="00993AF5"/>
    <w:rsid w:val="00993B53"/>
    <w:rsid w:val="00994A0F"/>
    <w:rsid w:val="00995570"/>
    <w:rsid w:val="009955B1"/>
    <w:rsid w:val="009955F8"/>
    <w:rsid w:val="00995E72"/>
    <w:rsid w:val="00996182"/>
    <w:rsid w:val="00996CCE"/>
    <w:rsid w:val="00996E2F"/>
    <w:rsid w:val="00997139"/>
    <w:rsid w:val="00997679"/>
    <w:rsid w:val="009976FC"/>
    <w:rsid w:val="0099787D"/>
    <w:rsid w:val="00997884"/>
    <w:rsid w:val="00997C40"/>
    <w:rsid w:val="009A0331"/>
    <w:rsid w:val="009A09FF"/>
    <w:rsid w:val="009A0D4E"/>
    <w:rsid w:val="009A11CF"/>
    <w:rsid w:val="009A19EB"/>
    <w:rsid w:val="009A1C82"/>
    <w:rsid w:val="009A2202"/>
    <w:rsid w:val="009A2252"/>
    <w:rsid w:val="009A2989"/>
    <w:rsid w:val="009A2A1D"/>
    <w:rsid w:val="009A2CB5"/>
    <w:rsid w:val="009A305A"/>
    <w:rsid w:val="009A3719"/>
    <w:rsid w:val="009A42DB"/>
    <w:rsid w:val="009A466F"/>
    <w:rsid w:val="009A4811"/>
    <w:rsid w:val="009A4F4B"/>
    <w:rsid w:val="009A5069"/>
    <w:rsid w:val="009A55DA"/>
    <w:rsid w:val="009A5800"/>
    <w:rsid w:val="009A59A2"/>
    <w:rsid w:val="009A6159"/>
    <w:rsid w:val="009A6E5F"/>
    <w:rsid w:val="009A6FD9"/>
    <w:rsid w:val="009A7261"/>
    <w:rsid w:val="009A7425"/>
    <w:rsid w:val="009A7629"/>
    <w:rsid w:val="009A79A2"/>
    <w:rsid w:val="009B0263"/>
    <w:rsid w:val="009B06E1"/>
    <w:rsid w:val="009B078A"/>
    <w:rsid w:val="009B085A"/>
    <w:rsid w:val="009B0F8A"/>
    <w:rsid w:val="009B14E9"/>
    <w:rsid w:val="009B1CD9"/>
    <w:rsid w:val="009B1F46"/>
    <w:rsid w:val="009B2045"/>
    <w:rsid w:val="009B260E"/>
    <w:rsid w:val="009B2828"/>
    <w:rsid w:val="009B2ED8"/>
    <w:rsid w:val="009B3F54"/>
    <w:rsid w:val="009B412E"/>
    <w:rsid w:val="009B4312"/>
    <w:rsid w:val="009B47B7"/>
    <w:rsid w:val="009B4B3A"/>
    <w:rsid w:val="009B5643"/>
    <w:rsid w:val="009B5962"/>
    <w:rsid w:val="009B5B6C"/>
    <w:rsid w:val="009B61D5"/>
    <w:rsid w:val="009B624A"/>
    <w:rsid w:val="009B77E2"/>
    <w:rsid w:val="009C019B"/>
    <w:rsid w:val="009C04D4"/>
    <w:rsid w:val="009C077D"/>
    <w:rsid w:val="009C0809"/>
    <w:rsid w:val="009C0F09"/>
    <w:rsid w:val="009C1307"/>
    <w:rsid w:val="009C1356"/>
    <w:rsid w:val="009C1849"/>
    <w:rsid w:val="009C1EF3"/>
    <w:rsid w:val="009C2A91"/>
    <w:rsid w:val="009C39FA"/>
    <w:rsid w:val="009C3AC5"/>
    <w:rsid w:val="009C45AD"/>
    <w:rsid w:val="009C4A71"/>
    <w:rsid w:val="009C4D37"/>
    <w:rsid w:val="009C54AF"/>
    <w:rsid w:val="009C5730"/>
    <w:rsid w:val="009C59EE"/>
    <w:rsid w:val="009C5B25"/>
    <w:rsid w:val="009C6084"/>
    <w:rsid w:val="009C6EEB"/>
    <w:rsid w:val="009C6FA7"/>
    <w:rsid w:val="009C7992"/>
    <w:rsid w:val="009C7BA7"/>
    <w:rsid w:val="009D0308"/>
    <w:rsid w:val="009D0E23"/>
    <w:rsid w:val="009D14D7"/>
    <w:rsid w:val="009D15F0"/>
    <w:rsid w:val="009D1633"/>
    <w:rsid w:val="009D1638"/>
    <w:rsid w:val="009D17F0"/>
    <w:rsid w:val="009D1A46"/>
    <w:rsid w:val="009D28ED"/>
    <w:rsid w:val="009D2B96"/>
    <w:rsid w:val="009D2DEA"/>
    <w:rsid w:val="009D3264"/>
    <w:rsid w:val="009D3769"/>
    <w:rsid w:val="009D3C68"/>
    <w:rsid w:val="009D3D80"/>
    <w:rsid w:val="009D50F4"/>
    <w:rsid w:val="009D5AA3"/>
    <w:rsid w:val="009D6449"/>
    <w:rsid w:val="009D672A"/>
    <w:rsid w:val="009D67D7"/>
    <w:rsid w:val="009D68CD"/>
    <w:rsid w:val="009D6E20"/>
    <w:rsid w:val="009D763C"/>
    <w:rsid w:val="009D7D2C"/>
    <w:rsid w:val="009E0026"/>
    <w:rsid w:val="009E0126"/>
    <w:rsid w:val="009E0652"/>
    <w:rsid w:val="009E073E"/>
    <w:rsid w:val="009E074A"/>
    <w:rsid w:val="009E0FD0"/>
    <w:rsid w:val="009E1715"/>
    <w:rsid w:val="009E1875"/>
    <w:rsid w:val="009E204E"/>
    <w:rsid w:val="009E2395"/>
    <w:rsid w:val="009E29C6"/>
    <w:rsid w:val="009E2B0B"/>
    <w:rsid w:val="009E2E03"/>
    <w:rsid w:val="009E2FE4"/>
    <w:rsid w:val="009E4347"/>
    <w:rsid w:val="009E446E"/>
    <w:rsid w:val="009E447B"/>
    <w:rsid w:val="009E4EE8"/>
    <w:rsid w:val="009E5910"/>
    <w:rsid w:val="009E5BB6"/>
    <w:rsid w:val="009E5BD3"/>
    <w:rsid w:val="009E5ECF"/>
    <w:rsid w:val="009E6144"/>
    <w:rsid w:val="009E6458"/>
    <w:rsid w:val="009E64C8"/>
    <w:rsid w:val="009E662B"/>
    <w:rsid w:val="009E68F1"/>
    <w:rsid w:val="009E6C2D"/>
    <w:rsid w:val="009E6C77"/>
    <w:rsid w:val="009E725D"/>
    <w:rsid w:val="009E7B61"/>
    <w:rsid w:val="009E7C79"/>
    <w:rsid w:val="009F025E"/>
    <w:rsid w:val="009F0274"/>
    <w:rsid w:val="009F0531"/>
    <w:rsid w:val="009F094A"/>
    <w:rsid w:val="009F0BCD"/>
    <w:rsid w:val="009F0DB8"/>
    <w:rsid w:val="009F1046"/>
    <w:rsid w:val="009F1AF9"/>
    <w:rsid w:val="009F1C8B"/>
    <w:rsid w:val="009F2807"/>
    <w:rsid w:val="009F3483"/>
    <w:rsid w:val="009F34BD"/>
    <w:rsid w:val="009F3698"/>
    <w:rsid w:val="009F38EA"/>
    <w:rsid w:val="009F4115"/>
    <w:rsid w:val="009F4267"/>
    <w:rsid w:val="009F4610"/>
    <w:rsid w:val="009F473D"/>
    <w:rsid w:val="009F4900"/>
    <w:rsid w:val="009F552B"/>
    <w:rsid w:val="009F56EE"/>
    <w:rsid w:val="009F5A2B"/>
    <w:rsid w:val="009F621B"/>
    <w:rsid w:val="009F6455"/>
    <w:rsid w:val="009F69BC"/>
    <w:rsid w:val="009F7716"/>
    <w:rsid w:val="00A00058"/>
    <w:rsid w:val="00A00263"/>
    <w:rsid w:val="00A0070F"/>
    <w:rsid w:val="00A00967"/>
    <w:rsid w:val="00A00BF5"/>
    <w:rsid w:val="00A00DFA"/>
    <w:rsid w:val="00A016F6"/>
    <w:rsid w:val="00A01812"/>
    <w:rsid w:val="00A01D94"/>
    <w:rsid w:val="00A029BD"/>
    <w:rsid w:val="00A02AC8"/>
    <w:rsid w:val="00A031FB"/>
    <w:rsid w:val="00A0334D"/>
    <w:rsid w:val="00A03A75"/>
    <w:rsid w:val="00A040C5"/>
    <w:rsid w:val="00A04173"/>
    <w:rsid w:val="00A043C0"/>
    <w:rsid w:val="00A04482"/>
    <w:rsid w:val="00A04BF9"/>
    <w:rsid w:val="00A04D9E"/>
    <w:rsid w:val="00A0541C"/>
    <w:rsid w:val="00A05A59"/>
    <w:rsid w:val="00A05D9F"/>
    <w:rsid w:val="00A06168"/>
    <w:rsid w:val="00A064D0"/>
    <w:rsid w:val="00A06C2A"/>
    <w:rsid w:val="00A06DB9"/>
    <w:rsid w:val="00A07134"/>
    <w:rsid w:val="00A07358"/>
    <w:rsid w:val="00A07632"/>
    <w:rsid w:val="00A0776E"/>
    <w:rsid w:val="00A10EEC"/>
    <w:rsid w:val="00A10FB0"/>
    <w:rsid w:val="00A10FFF"/>
    <w:rsid w:val="00A110D9"/>
    <w:rsid w:val="00A11233"/>
    <w:rsid w:val="00A11695"/>
    <w:rsid w:val="00A11885"/>
    <w:rsid w:val="00A11A92"/>
    <w:rsid w:val="00A11CA8"/>
    <w:rsid w:val="00A11E91"/>
    <w:rsid w:val="00A12761"/>
    <w:rsid w:val="00A1277B"/>
    <w:rsid w:val="00A13479"/>
    <w:rsid w:val="00A143A2"/>
    <w:rsid w:val="00A14511"/>
    <w:rsid w:val="00A150FB"/>
    <w:rsid w:val="00A15151"/>
    <w:rsid w:val="00A154F0"/>
    <w:rsid w:val="00A156CA"/>
    <w:rsid w:val="00A15A45"/>
    <w:rsid w:val="00A15C09"/>
    <w:rsid w:val="00A1614E"/>
    <w:rsid w:val="00A16666"/>
    <w:rsid w:val="00A16E1B"/>
    <w:rsid w:val="00A16F74"/>
    <w:rsid w:val="00A17054"/>
    <w:rsid w:val="00A1719C"/>
    <w:rsid w:val="00A173AD"/>
    <w:rsid w:val="00A177CD"/>
    <w:rsid w:val="00A17AFF"/>
    <w:rsid w:val="00A17B41"/>
    <w:rsid w:val="00A17C91"/>
    <w:rsid w:val="00A20913"/>
    <w:rsid w:val="00A20ED3"/>
    <w:rsid w:val="00A21205"/>
    <w:rsid w:val="00A21FE3"/>
    <w:rsid w:val="00A226AE"/>
    <w:rsid w:val="00A22829"/>
    <w:rsid w:val="00A22914"/>
    <w:rsid w:val="00A22A20"/>
    <w:rsid w:val="00A23158"/>
    <w:rsid w:val="00A231E1"/>
    <w:rsid w:val="00A237C5"/>
    <w:rsid w:val="00A23809"/>
    <w:rsid w:val="00A23933"/>
    <w:rsid w:val="00A23D6F"/>
    <w:rsid w:val="00A2453A"/>
    <w:rsid w:val="00A24C56"/>
    <w:rsid w:val="00A25014"/>
    <w:rsid w:val="00A250F6"/>
    <w:rsid w:val="00A25767"/>
    <w:rsid w:val="00A267CA"/>
    <w:rsid w:val="00A26F8F"/>
    <w:rsid w:val="00A2731C"/>
    <w:rsid w:val="00A27842"/>
    <w:rsid w:val="00A27886"/>
    <w:rsid w:val="00A27CA0"/>
    <w:rsid w:val="00A300E0"/>
    <w:rsid w:val="00A30844"/>
    <w:rsid w:val="00A3094A"/>
    <w:rsid w:val="00A30D96"/>
    <w:rsid w:val="00A3129A"/>
    <w:rsid w:val="00A3155F"/>
    <w:rsid w:val="00A316FE"/>
    <w:rsid w:val="00A31BCF"/>
    <w:rsid w:val="00A31FEB"/>
    <w:rsid w:val="00A32290"/>
    <w:rsid w:val="00A322B0"/>
    <w:rsid w:val="00A32326"/>
    <w:rsid w:val="00A32A2B"/>
    <w:rsid w:val="00A334D3"/>
    <w:rsid w:val="00A33745"/>
    <w:rsid w:val="00A33973"/>
    <w:rsid w:val="00A33A67"/>
    <w:rsid w:val="00A33F44"/>
    <w:rsid w:val="00A33FFF"/>
    <w:rsid w:val="00A345CA"/>
    <w:rsid w:val="00A34B59"/>
    <w:rsid w:val="00A34D18"/>
    <w:rsid w:val="00A351EC"/>
    <w:rsid w:val="00A35CEA"/>
    <w:rsid w:val="00A35D7A"/>
    <w:rsid w:val="00A35FC4"/>
    <w:rsid w:val="00A36427"/>
    <w:rsid w:val="00A36535"/>
    <w:rsid w:val="00A37EE9"/>
    <w:rsid w:val="00A37F59"/>
    <w:rsid w:val="00A37FBA"/>
    <w:rsid w:val="00A4017A"/>
    <w:rsid w:val="00A40208"/>
    <w:rsid w:val="00A40C22"/>
    <w:rsid w:val="00A40D0B"/>
    <w:rsid w:val="00A40E2B"/>
    <w:rsid w:val="00A41880"/>
    <w:rsid w:val="00A41A1A"/>
    <w:rsid w:val="00A41C32"/>
    <w:rsid w:val="00A42227"/>
    <w:rsid w:val="00A42BBA"/>
    <w:rsid w:val="00A42F4F"/>
    <w:rsid w:val="00A43C29"/>
    <w:rsid w:val="00A43D91"/>
    <w:rsid w:val="00A44B99"/>
    <w:rsid w:val="00A453F3"/>
    <w:rsid w:val="00A45F3C"/>
    <w:rsid w:val="00A46BD1"/>
    <w:rsid w:val="00A46CDF"/>
    <w:rsid w:val="00A46D4E"/>
    <w:rsid w:val="00A47402"/>
    <w:rsid w:val="00A4741C"/>
    <w:rsid w:val="00A475E6"/>
    <w:rsid w:val="00A47761"/>
    <w:rsid w:val="00A47E25"/>
    <w:rsid w:val="00A50480"/>
    <w:rsid w:val="00A50618"/>
    <w:rsid w:val="00A50A2F"/>
    <w:rsid w:val="00A50B40"/>
    <w:rsid w:val="00A5176D"/>
    <w:rsid w:val="00A51F66"/>
    <w:rsid w:val="00A527B3"/>
    <w:rsid w:val="00A52DF7"/>
    <w:rsid w:val="00A52E71"/>
    <w:rsid w:val="00A52F2B"/>
    <w:rsid w:val="00A530BC"/>
    <w:rsid w:val="00A5474F"/>
    <w:rsid w:val="00A5506F"/>
    <w:rsid w:val="00A55316"/>
    <w:rsid w:val="00A55356"/>
    <w:rsid w:val="00A556BA"/>
    <w:rsid w:val="00A557F4"/>
    <w:rsid w:val="00A55A9F"/>
    <w:rsid w:val="00A55DDB"/>
    <w:rsid w:val="00A565A0"/>
    <w:rsid w:val="00A56D2E"/>
    <w:rsid w:val="00A57482"/>
    <w:rsid w:val="00A57631"/>
    <w:rsid w:val="00A57E7C"/>
    <w:rsid w:val="00A6004F"/>
    <w:rsid w:val="00A60054"/>
    <w:rsid w:val="00A60994"/>
    <w:rsid w:val="00A60BA4"/>
    <w:rsid w:val="00A60D77"/>
    <w:rsid w:val="00A61423"/>
    <w:rsid w:val="00A617F8"/>
    <w:rsid w:val="00A61EC0"/>
    <w:rsid w:val="00A620B8"/>
    <w:rsid w:val="00A620BD"/>
    <w:rsid w:val="00A62C30"/>
    <w:rsid w:val="00A6305A"/>
    <w:rsid w:val="00A6337C"/>
    <w:rsid w:val="00A6357E"/>
    <w:rsid w:val="00A63765"/>
    <w:rsid w:val="00A6409E"/>
    <w:rsid w:val="00A6440A"/>
    <w:rsid w:val="00A645B0"/>
    <w:rsid w:val="00A646B6"/>
    <w:rsid w:val="00A64B39"/>
    <w:rsid w:val="00A64E3B"/>
    <w:rsid w:val="00A650D2"/>
    <w:rsid w:val="00A65191"/>
    <w:rsid w:val="00A65664"/>
    <w:rsid w:val="00A65C1A"/>
    <w:rsid w:val="00A665BB"/>
    <w:rsid w:val="00A66B8D"/>
    <w:rsid w:val="00A66C7A"/>
    <w:rsid w:val="00A676A5"/>
    <w:rsid w:val="00A679AE"/>
    <w:rsid w:val="00A67ADD"/>
    <w:rsid w:val="00A67BB8"/>
    <w:rsid w:val="00A7011C"/>
    <w:rsid w:val="00A70744"/>
    <w:rsid w:val="00A712D9"/>
    <w:rsid w:val="00A71628"/>
    <w:rsid w:val="00A72A4F"/>
    <w:rsid w:val="00A7378C"/>
    <w:rsid w:val="00A73D52"/>
    <w:rsid w:val="00A74339"/>
    <w:rsid w:val="00A74354"/>
    <w:rsid w:val="00A7453B"/>
    <w:rsid w:val="00A754D4"/>
    <w:rsid w:val="00A75636"/>
    <w:rsid w:val="00A75816"/>
    <w:rsid w:val="00A7595D"/>
    <w:rsid w:val="00A75A47"/>
    <w:rsid w:val="00A75ABD"/>
    <w:rsid w:val="00A75AC5"/>
    <w:rsid w:val="00A75CB4"/>
    <w:rsid w:val="00A75E13"/>
    <w:rsid w:val="00A761C4"/>
    <w:rsid w:val="00A76868"/>
    <w:rsid w:val="00A77A9A"/>
    <w:rsid w:val="00A800A4"/>
    <w:rsid w:val="00A80101"/>
    <w:rsid w:val="00A80A18"/>
    <w:rsid w:val="00A80AEF"/>
    <w:rsid w:val="00A81B55"/>
    <w:rsid w:val="00A821F0"/>
    <w:rsid w:val="00A825AC"/>
    <w:rsid w:val="00A82657"/>
    <w:rsid w:val="00A82D67"/>
    <w:rsid w:val="00A82E7A"/>
    <w:rsid w:val="00A835EC"/>
    <w:rsid w:val="00A83E76"/>
    <w:rsid w:val="00A8414D"/>
    <w:rsid w:val="00A844ED"/>
    <w:rsid w:val="00A851AA"/>
    <w:rsid w:val="00A851B8"/>
    <w:rsid w:val="00A85E80"/>
    <w:rsid w:val="00A85EED"/>
    <w:rsid w:val="00A86513"/>
    <w:rsid w:val="00A869DF"/>
    <w:rsid w:val="00A86E2B"/>
    <w:rsid w:val="00A86FFD"/>
    <w:rsid w:val="00A871C1"/>
    <w:rsid w:val="00A87A23"/>
    <w:rsid w:val="00A87B5F"/>
    <w:rsid w:val="00A9007A"/>
    <w:rsid w:val="00A9075C"/>
    <w:rsid w:val="00A9097B"/>
    <w:rsid w:val="00A91C2F"/>
    <w:rsid w:val="00A92A50"/>
    <w:rsid w:val="00A934EE"/>
    <w:rsid w:val="00A93C05"/>
    <w:rsid w:val="00A94294"/>
    <w:rsid w:val="00A94430"/>
    <w:rsid w:val="00A94433"/>
    <w:rsid w:val="00A944B3"/>
    <w:rsid w:val="00A945E8"/>
    <w:rsid w:val="00A9486C"/>
    <w:rsid w:val="00A951B2"/>
    <w:rsid w:val="00A9569C"/>
    <w:rsid w:val="00A965E6"/>
    <w:rsid w:val="00A96616"/>
    <w:rsid w:val="00A97199"/>
    <w:rsid w:val="00A971A7"/>
    <w:rsid w:val="00A972DF"/>
    <w:rsid w:val="00A97596"/>
    <w:rsid w:val="00A97707"/>
    <w:rsid w:val="00AA1DFC"/>
    <w:rsid w:val="00AA210D"/>
    <w:rsid w:val="00AA25DD"/>
    <w:rsid w:val="00AA25F1"/>
    <w:rsid w:val="00AA2DA5"/>
    <w:rsid w:val="00AA2F92"/>
    <w:rsid w:val="00AA3193"/>
    <w:rsid w:val="00AA3927"/>
    <w:rsid w:val="00AA3E0B"/>
    <w:rsid w:val="00AA438D"/>
    <w:rsid w:val="00AA45BE"/>
    <w:rsid w:val="00AA489F"/>
    <w:rsid w:val="00AA4E74"/>
    <w:rsid w:val="00AA5150"/>
    <w:rsid w:val="00AA534B"/>
    <w:rsid w:val="00AA68E9"/>
    <w:rsid w:val="00AA6B1D"/>
    <w:rsid w:val="00AA709B"/>
    <w:rsid w:val="00AA71BC"/>
    <w:rsid w:val="00AA768B"/>
    <w:rsid w:val="00AA781E"/>
    <w:rsid w:val="00AA78B7"/>
    <w:rsid w:val="00AA7BFB"/>
    <w:rsid w:val="00AA7CF5"/>
    <w:rsid w:val="00AB000C"/>
    <w:rsid w:val="00AB00E2"/>
    <w:rsid w:val="00AB00F6"/>
    <w:rsid w:val="00AB05E2"/>
    <w:rsid w:val="00AB1128"/>
    <w:rsid w:val="00AB11AD"/>
    <w:rsid w:val="00AB1557"/>
    <w:rsid w:val="00AB17E5"/>
    <w:rsid w:val="00AB2D2B"/>
    <w:rsid w:val="00AB3066"/>
    <w:rsid w:val="00AB3440"/>
    <w:rsid w:val="00AB3631"/>
    <w:rsid w:val="00AB3B84"/>
    <w:rsid w:val="00AB3D26"/>
    <w:rsid w:val="00AB4501"/>
    <w:rsid w:val="00AB548F"/>
    <w:rsid w:val="00AB6214"/>
    <w:rsid w:val="00AB65F4"/>
    <w:rsid w:val="00AB6A38"/>
    <w:rsid w:val="00AB72BB"/>
    <w:rsid w:val="00AB7A23"/>
    <w:rsid w:val="00AB7E90"/>
    <w:rsid w:val="00AC0203"/>
    <w:rsid w:val="00AC02A7"/>
    <w:rsid w:val="00AC06CF"/>
    <w:rsid w:val="00AC0716"/>
    <w:rsid w:val="00AC0B12"/>
    <w:rsid w:val="00AC0C6C"/>
    <w:rsid w:val="00AC1117"/>
    <w:rsid w:val="00AC18B4"/>
    <w:rsid w:val="00AC1937"/>
    <w:rsid w:val="00AC2303"/>
    <w:rsid w:val="00AC2434"/>
    <w:rsid w:val="00AC2587"/>
    <w:rsid w:val="00AC2699"/>
    <w:rsid w:val="00AC27CC"/>
    <w:rsid w:val="00AC2901"/>
    <w:rsid w:val="00AC2CE1"/>
    <w:rsid w:val="00AC2EFA"/>
    <w:rsid w:val="00AC3298"/>
    <w:rsid w:val="00AC3706"/>
    <w:rsid w:val="00AC38F4"/>
    <w:rsid w:val="00AC3D2C"/>
    <w:rsid w:val="00AC407B"/>
    <w:rsid w:val="00AC4446"/>
    <w:rsid w:val="00AC458A"/>
    <w:rsid w:val="00AC4819"/>
    <w:rsid w:val="00AC49B2"/>
    <w:rsid w:val="00AC4AB8"/>
    <w:rsid w:val="00AC502C"/>
    <w:rsid w:val="00AC53C5"/>
    <w:rsid w:val="00AC5774"/>
    <w:rsid w:val="00AC5CE3"/>
    <w:rsid w:val="00AC612F"/>
    <w:rsid w:val="00AC61C9"/>
    <w:rsid w:val="00AC6362"/>
    <w:rsid w:val="00AC671A"/>
    <w:rsid w:val="00AC6720"/>
    <w:rsid w:val="00AC6AA1"/>
    <w:rsid w:val="00AC6B56"/>
    <w:rsid w:val="00AC78FA"/>
    <w:rsid w:val="00AC7CF7"/>
    <w:rsid w:val="00AC7D17"/>
    <w:rsid w:val="00AD02CB"/>
    <w:rsid w:val="00AD042E"/>
    <w:rsid w:val="00AD0717"/>
    <w:rsid w:val="00AD07DE"/>
    <w:rsid w:val="00AD142F"/>
    <w:rsid w:val="00AD16F2"/>
    <w:rsid w:val="00AD1CEC"/>
    <w:rsid w:val="00AD1E8B"/>
    <w:rsid w:val="00AD2323"/>
    <w:rsid w:val="00AD2AD0"/>
    <w:rsid w:val="00AD2C64"/>
    <w:rsid w:val="00AD3AF1"/>
    <w:rsid w:val="00AD3DAD"/>
    <w:rsid w:val="00AD3F02"/>
    <w:rsid w:val="00AD443F"/>
    <w:rsid w:val="00AD4931"/>
    <w:rsid w:val="00AD6389"/>
    <w:rsid w:val="00AD67B1"/>
    <w:rsid w:val="00AD7054"/>
    <w:rsid w:val="00AD7198"/>
    <w:rsid w:val="00AD724D"/>
    <w:rsid w:val="00AD7259"/>
    <w:rsid w:val="00AD7BBB"/>
    <w:rsid w:val="00AE118F"/>
    <w:rsid w:val="00AE1192"/>
    <w:rsid w:val="00AE137F"/>
    <w:rsid w:val="00AE13CB"/>
    <w:rsid w:val="00AE1941"/>
    <w:rsid w:val="00AE1A20"/>
    <w:rsid w:val="00AE2020"/>
    <w:rsid w:val="00AE2063"/>
    <w:rsid w:val="00AE2B79"/>
    <w:rsid w:val="00AE2FB2"/>
    <w:rsid w:val="00AE36E7"/>
    <w:rsid w:val="00AE3D37"/>
    <w:rsid w:val="00AE3E22"/>
    <w:rsid w:val="00AE3E89"/>
    <w:rsid w:val="00AE4B75"/>
    <w:rsid w:val="00AE500E"/>
    <w:rsid w:val="00AE5196"/>
    <w:rsid w:val="00AE53C7"/>
    <w:rsid w:val="00AE5596"/>
    <w:rsid w:val="00AE5650"/>
    <w:rsid w:val="00AE577E"/>
    <w:rsid w:val="00AE649A"/>
    <w:rsid w:val="00AE66D6"/>
    <w:rsid w:val="00AE67E0"/>
    <w:rsid w:val="00AE6CAD"/>
    <w:rsid w:val="00AE6E78"/>
    <w:rsid w:val="00AE6FB4"/>
    <w:rsid w:val="00AE6FF4"/>
    <w:rsid w:val="00AE74CA"/>
    <w:rsid w:val="00AE7DAB"/>
    <w:rsid w:val="00AF025B"/>
    <w:rsid w:val="00AF0567"/>
    <w:rsid w:val="00AF1953"/>
    <w:rsid w:val="00AF1963"/>
    <w:rsid w:val="00AF20A6"/>
    <w:rsid w:val="00AF2E89"/>
    <w:rsid w:val="00AF3774"/>
    <w:rsid w:val="00AF3872"/>
    <w:rsid w:val="00AF476F"/>
    <w:rsid w:val="00AF490A"/>
    <w:rsid w:val="00AF4A5B"/>
    <w:rsid w:val="00AF4DAC"/>
    <w:rsid w:val="00AF4EF7"/>
    <w:rsid w:val="00AF573D"/>
    <w:rsid w:val="00AF5A24"/>
    <w:rsid w:val="00AF5D84"/>
    <w:rsid w:val="00AF5E5D"/>
    <w:rsid w:val="00AF6563"/>
    <w:rsid w:val="00AF6A82"/>
    <w:rsid w:val="00AF6CB7"/>
    <w:rsid w:val="00AF6D84"/>
    <w:rsid w:val="00AF70BA"/>
    <w:rsid w:val="00AF741D"/>
    <w:rsid w:val="00AF77AB"/>
    <w:rsid w:val="00AF7A69"/>
    <w:rsid w:val="00AF7CCA"/>
    <w:rsid w:val="00AF7D65"/>
    <w:rsid w:val="00B0139C"/>
    <w:rsid w:val="00B013E0"/>
    <w:rsid w:val="00B01CE8"/>
    <w:rsid w:val="00B01E71"/>
    <w:rsid w:val="00B0310E"/>
    <w:rsid w:val="00B03530"/>
    <w:rsid w:val="00B03575"/>
    <w:rsid w:val="00B03D76"/>
    <w:rsid w:val="00B0459D"/>
    <w:rsid w:val="00B04AA6"/>
    <w:rsid w:val="00B04C78"/>
    <w:rsid w:val="00B057B3"/>
    <w:rsid w:val="00B05F10"/>
    <w:rsid w:val="00B05F51"/>
    <w:rsid w:val="00B06F8B"/>
    <w:rsid w:val="00B07BF0"/>
    <w:rsid w:val="00B1025A"/>
    <w:rsid w:val="00B103B1"/>
    <w:rsid w:val="00B103BA"/>
    <w:rsid w:val="00B103F9"/>
    <w:rsid w:val="00B107A6"/>
    <w:rsid w:val="00B10D65"/>
    <w:rsid w:val="00B10DE6"/>
    <w:rsid w:val="00B10EBA"/>
    <w:rsid w:val="00B10F7C"/>
    <w:rsid w:val="00B114D5"/>
    <w:rsid w:val="00B11D79"/>
    <w:rsid w:val="00B11E79"/>
    <w:rsid w:val="00B129DE"/>
    <w:rsid w:val="00B131F0"/>
    <w:rsid w:val="00B13661"/>
    <w:rsid w:val="00B1375C"/>
    <w:rsid w:val="00B13A38"/>
    <w:rsid w:val="00B13A85"/>
    <w:rsid w:val="00B145B6"/>
    <w:rsid w:val="00B148C5"/>
    <w:rsid w:val="00B15116"/>
    <w:rsid w:val="00B15605"/>
    <w:rsid w:val="00B15729"/>
    <w:rsid w:val="00B1654D"/>
    <w:rsid w:val="00B16AB6"/>
    <w:rsid w:val="00B175F2"/>
    <w:rsid w:val="00B17A35"/>
    <w:rsid w:val="00B17E34"/>
    <w:rsid w:val="00B20F49"/>
    <w:rsid w:val="00B216D6"/>
    <w:rsid w:val="00B22057"/>
    <w:rsid w:val="00B22D2F"/>
    <w:rsid w:val="00B23096"/>
    <w:rsid w:val="00B2350E"/>
    <w:rsid w:val="00B235BA"/>
    <w:rsid w:val="00B23C18"/>
    <w:rsid w:val="00B23C8C"/>
    <w:rsid w:val="00B23CE0"/>
    <w:rsid w:val="00B241A6"/>
    <w:rsid w:val="00B24504"/>
    <w:rsid w:val="00B24A92"/>
    <w:rsid w:val="00B24BDE"/>
    <w:rsid w:val="00B24E74"/>
    <w:rsid w:val="00B25019"/>
    <w:rsid w:val="00B25173"/>
    <w:rsid w:val="00B25968"/>
    <w:rsid w:val="00B25B6E"/>
    <w:rsid w:val="00B25D02"/>
    <w:rsid w:val="00B26139"/>
    <w:rsid w:val="00B26695"/>
    <w:rsid w:val="00B26845"/>
    <w:rsid w:val="00B272A7"/>
    <w:rsid w:val="00B27345"/>
    <w:rsid w:val="00B277F2"/>
    <w:rsid w:val="00B27BBE"/>
    <w:rsid w:val="00B27C37"/>
    <w:rsid w:val="00B27F62"/>
    <w:rsid w:val="00B303D2"/>
    <w:rsid w:val="00B30C09"/>
    <w:rsid w:val="00B30C3A"/>
    <w:rsid w:val="00B30C4A"/>
    <w:rsid w:val="00B31A8D"/>
    <w:rsid w:val="00B31BF3"/>
    <w:rsid w:val="00B32147"/>
    <w:rsid w:val="00B32402"/>
    <w:rsid w:val="00B327B2"/>
    <w:rsid w:val="00B33004"/>
    <w:rsid w:val="00B333F6"/>
    <w:rsid w:val="00B33872"/>
    <w:rsid w:val="00B33925"/>
    <w:rsid w:val="00B34182"/>
    <w:rsid w:val="00B34887"/>
    <w:rsid w:val="00B34907"/>
    <w:rsid w:val="00B34FB3"/>
    <w:rsid w:val="00B351C1"/>
    <w:rsid w:val="00B35447"/>
    <w:rsid w:val="00B354C8"/>
    <w:rsid w:val="00B35A44"/>
    <w:rsid w:val="00B35E4A"/>
    <w:rsid w:val="00B3653D"/>
    <w:rsid w:val="00B369AD"/>
    <w:rsid w:val="00B375C2"/>
    <w:rsid w:val="00B37DCA"/>
    <w:rsid w:val="00B37E4F"/>
    <w:rsid w:val="00B40438"/>
    <w:rsid w:val="00B407A1"/>
    <w:rsid w:val="00B40A38"/>
    <w:rsid w:val="00B40DEC"/>
    <w:rsid w:val="00B41163"/>
    <w:rsid w:val="00B414A1"/>
    <w:rsid w:val="00B41524"/>
    <w:rsid w:val="00B41589"/>
    <w:rsid w:val="00B4199A"/>
    <w:rsid w:val="00B41CD4"/>
    <w:rsid w:val="00B42322"/>
    <w:rsid w:val="00B42406"/>
    <w:rsid w:val="00B427F9"/>
    <w:rsid w:val="00B42937"/>
    <w:rsid w:val="00B42B3C"/>
    <w:rsid w:val="00B42BEF"/>
    <w:rsid w:val="00B435F9"/>
    <w:rsid w:val="00B43683"/>
    <w:rsid w:val="00B4400E"/>
    <w:rsid w:val="00B44589"/>
    <w:rsid w:val="00B449BB"/>
    <w:rsid w:val="00B452D5"/>
    <w:rsid w:val="00B45A78"/>
    <w:rsid w:val="00B4631B"/>
    <w:rsid w:val="00B46A30"/>
    <w:rsid w:val="00B46B12"/>
    <w:rsid w:val="00B46D0F"/>
    <w:rsid w:val="00B47223"/>
    <w:rsid w:val="00B472A3"/>
    <w:rsid w:val="00B47BC5"/>
    <w:rsid w:val="00B47D23"/>
    <w:rsid w:val="00B47F56"/>
    <w:rsid w:val="00B506FE"/>
    <w:rsid w:val="00B50920"/>
    <w:rsid w:val="00B50C08"/>
    <w:rsid w:val="00B51138"/>
    <w:rsid w:val="00B5132C"/>
    <w:rsid w:val="00B51F3D"/>
    <w:rsid w:val="00B5231E"/>
    <w:rsid w:val="00B525F6"/>
    <w:rsid w:val="00B538AC"/>
    <w:rsid w:val="00B547AA"/>
    <w:rsid w:val="00B54ACD"/>
    <w:rsid w:val="00B54D7B"/>
    <w:rsid w:val="00B56604"/>
    <w:rsid w:val="00B57540"/>
    <w:rsid w:val="00B577C5"/>
    <w:rsid w:val="00B57CBE"/>
    <w:rsid w:val="00B57D6F"/>
    <w:rsid w:val="00B57FE5"/>
    <w:rsid w:val="00B60602"/>
    <w:rsid w:val="00B60832"/>
    <w:rsid w:val="00B609C1"/>
    <w:rsid w:val="00B609F6"/>
    <w:rsid w:val="00B60E1B"/>
    <w:rsid w:val="00B60E27"/>
    <w:rsid w:val="00B60E98"/>
    <w:rsid w:val="00B611CE"/>
    <w:rsid w:val="00B613DB"/>
    <w:rsid w:val="00B623B3"/>
    <w:rsid w:val="00B623EB"/>
    <w:rsid w:val="00B62C0F"/>
    <w:rsid w:val="00B62D20"/>
    <w:rsid w:val="00B62ED8"/>
    <w:rsid w:val="00B632C8"/>
    <w:rsid w:val="00B63414"/>
    <w:rsid w:val="00B6396A"/>
    <w:rsid w:val="00B64255"/>
    <w:rsid w:val="00B64D97"/>
    <w:rsid w:val="00B65914"/>
    <w:rsid w:val="00B65F56"/>
    <w:rsid w:val="00B66020"/>
    <w:rsid w:val="00B6610E"/>
    <w:rsid w:val="00B6652E"/>
    <w:rsid w:val="00B66879"/>
    <w:rsid w:val="00B66AD9"/>
    <w:rsid w:val="00B67159"/>
    <w:rsid w:val="00B67650"/>
    <w:rsid w:val="00B67684"/>
    <w:rsid w:val="00B67C8F"/>
    <w:rsid w:val="00B710C3"/>
    <w:rsid w:val="00B71124"/>
    <w:rsid w:val="00B7119F"/>
    <w:rsid w:val="00B71607"/>
    <w:rsid w:val="00B71B11"/>
    <w:rsid w:val="00B72081"/>
    <w:rsid w:val="00B7234A"/>
    <w:rsid w:val="00B72825"/>
    <w:rsid w:val="00B729B4"/>
    <w:rsid w:val="00B73B59"/>
    <w:rsid w:val="00B73B96"/>
    <w:rsid w:val="00B73C7E"/>
    <w:rsid w:val="00B73DD5"/>
    <w:rsid w:val="00B74523"/>
    <w:rsid w:val="00B74575"/>
    <w:rsid w:val="00B746CE"/>
    <w:rsid w:val="00B75C84"/>
    <w:rsid w:val="00B75D27"/>
    <w:rsid w:val="00B76EF7"/>
    <w:rsid w:val="00B76F3E"/>
    <w:rsid w:val="00B771A3"/>
    <w:rsid w:val="00B772EB"/>
    <w:rsid w:val="00B77D01"/>
    <w:rsid w:val="00B77FB0"/>
    <w:rsid w:val="00B8005F"/>
    <w:rsid w:val="00B801B6"/>
    <w:rsid w:val="00B805E5"/>
    <w:rsid w:val="00B80644"/>
    <w:rsid w:val="00B8135F"/>
    <w:rsid w:val="00B8164C"/>
    <w:rsid w:val="00B81ADF"/>
    <w:rsid w:val="00B81B7F"/>
    <w:rsid w:val="00B81E5A"/>
    <w:rsid w:val="00B8228E"/>
    <w:rsid w:val="00B826BE"/>
    <w:rsid w:val="00B82B86"/>
    <w:rsid w:val="00B83C38"/>
    <w:rsid w:val="00B83C70"/>
    <w:rsid w:val="00B845D2"/>
    <w:rsid w:val="00B84DAA"/>
    <w:rsid w:val="00B84DB6"/>
    <w:rsid w:val="00B85129"/>
    <w:rsid w:val="00B8524B"/>
    <w:rsid w:val="00B85856"/>
    <w:rsid w:val="00B8598B"/>
    <w:rsid w:val="00B85B19"/>
    <w:rsid w:val="00B86EF3"/>
    <w:rsid w:val="00B87673"/>
    <w:rsid w:val="00B87693"/>
    <w:rsid w:val="00B876EF"/>
    <w:rsid w:val="00B8791F"/>
    <w:rsid w:val="00B879ED"/>
    <w:rsid w:val="00B90A2C"/>
    <w:rsid w:val="00B90B81"/>
    <w:rsid w:val="00B912D7"/>
    <w:rsid w:val="00B9155A"/>
    <w:rsid w:val="00B9238D"/>
    <w:rsid w:val="00B928B9"/>
    <w:rsid w:val="00B92AEA"/>
    <w:rsid w:val="00B93405"/>
    <w:rsid w:val="00B939A7"/>
    <w:rsid w:val="00B9400F"/>
    <w:rsid w:val="00B94112"/>
    <w:rsid w:val="00B94215"/>
    <w:rsid w:val="00B942F9"/>
    <w:rsid w:val="00B95DDF"/>
    <w:rsid w:val="00B95F62"/>
    <w:rsid w:val="00B96654"/>
    <w:rsid w:val="00B967FD"/>
    <w:rsid w:val="00B97407"/>
    <w:rsid w:val="00B97813"/>
    <w:rsid w:val="00B9793B"/>
    <w:rsid w:val="00B97D8A"/>
    <w:rsid w:val="00BA0B41"/>
    <w:rsid w:val="00BA0EA6"/>
    <w:rsid w:val="00BA11F6"/>
    <w:rsid w:val="00BA1294"/>
    <w:rsid w:val="00BA1BF3"/>
    <w:rsid w:val="00BA2453"/>
    <w:rsid w:val="00BA2715"/>
    <w:rsid w:val="00BA2791"/>
    <w:rsid w:val="00BA3CC1"/>
    <w:rsid w:val="00BA47C9"/>
    <w:rsid w:val="00BA4AB2"/>
    <w:rsid w:val="00BA4BE2"/>
    <w:rsid w:val="00BA4D67"/>
    <w:rsid w:val="00BA511B"/>
    <w:rsid w:val="00BA5831"/>
    <w:rsid w:val="00BA592C"/>
    <w:rsid w:val="00BA6C07"/>
    <w:rsid w:val="00BA7246"/>
    <w:rsid w:val="00BA7911"/>
    <w:rsid w:val="00BA7FEE"/>
    <w:rsid w:val="00BB05DF"/>
    <w:rsid w:val="00BB081F"/>
    <w:rsid w:val="00BB0AA9"/>
    <w:rsid w:val="00BB15FF"/>
    <w:rsid w:val="00BB1D96"/>
    <w:rsid w:val="00BB1EA4"/>
    <w:rsid w:val="00BB266E"/>
    <w:rsid w:val="00BB2991"/>
    <w:rsid w:val="00BB2AF8"/>
    <w:rsid w:val="00BB2B94"/>
    <w:rsid w:val="00BB2BE0"/>
    <w:rsid w:val="00BB2E24"/>
    <w:rsid w:val="00BB2F74"/>
    <w:rsid w:val="00BB309C"/>
    <w:rsid w:val="00BB3291"/>
    <w:rsid w:val="00BB33C0"/>
    <w:rsid w:val="00BB36E7"/>
    <w:rsid w:val="00BB3BB2"/>
    <w:rsid w:val="00BB3C2A"/>
    <w:rsid w:val="00BB41E2"/>
    <w:rsid w:val="00BB43F9"/>
    <w:rsid w:val="00BB4F73"/>
    <w:rsid w:val="00BB5341"/>
    <w:rsid w:val="00BB54A9"/>
    <w:rsid w:val="00BB6068"/>
    <w:rsid w:val="00BB659D"/>
    <w:rsid w:val="00BB6B68"/>
    <w:rsid w:val="00BB6BF4"/>
    <w:rsid w:val="00BB6E66"/>
    <w:rsid w:val="00BB6EFF"/>
    <w:rsid w:val="00BB7489"/>
    <w:rsid w:val="00BB7590"/>
    <w:rsid w:val="00BC0290"/>
    <w:rsid w:val="00BC074D"/>
    <w:rsid w:val="00BC077C"/>
    <w:rsid w:val="00BC08D7"/>
    <w:rsid w:val="00BC13D7"/>
    <w:rsid w:val="00BC18F1"/>
    <w:rsid w:val="00BC2671"/>
    <w:rsid w:val="00BC3D7C"/>
    <w:rsid w:val="00BC433B"/>
    <w:rsid w:val="00BC4DD2"/>
    <w:rsid w:val="00BC4FFB"/>
    <w:rsid w:val="00BC586A"/>
    <w:rsid w:val="00BC5925"/>
    <w:rsid w:val="00BC6335"/>
    <w:rsid w:val="00BC6FCE"/>
    <w:rsid w:val="00BC7024"/>
    <w:rsid w:val="00BC7853"/>
    <w:rsid w:val="00BC7CC6"/>
    <w:rsid w:val="00BD0518"/>
    <w:rsid w:val="00BD06F0"/>
    <w:rsid w:val="00BD082E"/>
    <w:rsid w:val="00BD14D2"/>
    <w:rsid w:val="00BD15FC"/>
    <w:rsid w:val="00BD1690"/>
    <w:rsid w:val="00BD1DCB"/>
    <w:rsid w:val="00BD223B"/>
    <w:rsid w:val="00BD2298"/>
    <w:rsid w:val="00BD2A44"/>
    <w:rsid w:val="00BD2A60"/>
    <w:rsid w:val="00BD2C99"/>
    <w:rsid w:val="00BD2F02"/>
    <w:rsid w:val="00BD30F1"/>
    <w:rsid w:val="00BD31CE"/>
    <w:rsid w:val="00BD320F"/>
    <w:rsid w:val="00BD358D"/>
    <w:rsid w:val="00BD40A1"/>
    <w:rsid w:val="00BD4745"/>
    <w:rsid w:val="00BD4EFB"/>
    <w:rsid w:val="00BD5489"/>
    <w:rsid w:val="00BD54CD"/>
    <w:rsid w:val="00BD5D3C"/>
    <w:rsid w:val="00BD657D"/>
    <w:rsid w:val="00BD66F6"/>
    <w:rsid w:val="00BD684C"/>
    <w:rsid w:val="00BD6C23"/>
    <w:rsid w:val="00BD6E6A"/>
    <w:rsid w:val="00BD70D8"/>
    <w:rsid w:val="00BD7B3B"/>
    <w:rsid w:val="00BD7B50"/>
    <w:rsid w:val="00BD7E32"/>
    <w:rsid w:val="00BE038F"/>
    <w:rsid w:val="00BE0680"/>
    <w:rsid w:val="00BE07C0"/>
    <w:rsid w:val="00BE0D8B"/>
    <w:rsid w:val="00BE121E"/>
    <w:rsid w:val="00BE1545"/>
    <w:rsid w:val="00BE15B0"/>
    <w:rsid w:val="00BE1606"/>
    <w:rsid w:val="00BE18D4"/>
    <w:rsid w:val="00BE197A"/>
    <w:rsid w:val="00BE2058"/>
    <w:rsid w:val="00BE2609"/>
    <w:rsid w:val="00BE2B07"/>
    <w:rsid w:val="00BE2E8F"/>
    <w:rsid w:val="00BE2E96"/>
    <w:rsid w:val="00BE376A"/>
    <w:rsid w:val="00BE3BEC"/>
    <w:rsid w:val="00BE40D3"/>
    <w:rsid w:val="00BE422E"/>
    <w:rsid w:val="00BE49C9"/>
    <w:rsid w:val="00BE5038"/>
    <w:rsid w:val="00BE53FE"/>
    <w:rsid w:val="00BE6025"/>
    <w:rsid w:val="00BE622E"/>
    <w:rsid w:val="00BE6503"/>
    <w:rsid w:val="00BE6536"/>
    <w:rsid w:val="00BE77BE"/>
    <w:rsid w:val="00BF0387"/>
    <w:rsid w:val="00BF0528"/>
    <w:rsid w:val="00BF065F"/>
    <w:rsid w:val="00BF0695"/>
    <w:rsid w:val="00BF0716"/>
    <w:rsid w:val="00BF0D0E"/>
    <w:rsid w:val="00BF13C7"/>
    <w:rsid w:val="00BF141B"/>
    <w:rsid w:val="00BF17F7"/>
    <w:rsid w:val="00BF194C"/>
    <w:rsid w:val="00BF2121"/>
    <w:rsid w:val="00BF2B68"/>
    <w:rsid w:val="00BF364B"/>
    <w:rsid w:val="00BF3738"/>
    <w:rsid w:val="00BF42A1"/>
    <w:rsid w:val="00BF5282"/>
    <w:rsid w:val="00BF534B"/>
    <w:rsid w:val="00BF53B0"/>
    <w:rsid w:val="00BF586A"/>
    <w:rsid w:val="00BF5D1E"/>
    <w:rsid w:val="00BF5F97"/>
    <w:rsid w:val="00BF604F"/>
    <w:rsid w:val="00BF65D8"/>
    <w:rsid w:val="00BF6959"/>
    <w:rsid w:val="00BF6C53"/>
    <w:rsid w:val="00BF7030"/>
    <w:rsid w:val="00BF7472"/>
    <w:rsid w:val="00BF75EA"/>
    <w:rsid w:val="00BF78C1"/>
    <w:rsid w:val="00C004CC"/>
    <w:rsid w:val="00C00567"/>
    <w:rsid w:val="00C00E80"/>
    <w:rsid w:val="00C00FA9"/>
    <w:rsid w:val="00C01023"/>
    <w:rsid w:val="00C010A2"/>
    <w:rsid w:val="00C015F5"/>
    <w:rsid w:val="00C027E2"/>
    <w:rsid w:val="00C02886"/>
    <w:rsid w:val="00C02937"/>
    <w:rsid w:val="00C02E87"/>
    <w:rsid w:val="00C033A4"/>
    <w:rsid w:val="00C0347F"/>
    <w:rsid w:val="00C037FD"/>
    <w:rsid w:val="00C03E9C"/>
    <w:rsid w:val="00C04A96"/>
    <w:rsid w:val="00C05044"/>
    <w:rsid w:val="00C0538F"/>
    <w:rsid w:val="00C060D3"/>
    <w:rsid w:val="00C06277"/>
    <w:rsid w:val="00C06D2D"/>
    <w:rsid w:val="00C06E20"/>
    <w:rsid w:val="00C077FB"/>
    <w:rsid w:val="00C0783A"/>
    <w:rsid w:val="00C07A0E"/>
    <w:rsid w:val="00C1003C"/>
    <w:rsid w:val="00C10069"/>
    <w:rsid w:val="00C102E9"/>
    <w:rsid w:val="00C106EB"/>
    <w:rsid w:val="00C10B16"/>
    <w:rsid w:val="00C11C59"/>
    <w:rsid w:val="00C11DF2"/>
    <w:rsid w:val="00C11FFE"/>
    <w:rsid w:val="00C1221E"/>
    <w:rsid w:val="00C1276B"/>
    <w:rsid w:val="00C1278B"/>
    <w:rsid w:val="00C12CB1"/>
    <w:rsid w:val="00C12EA5"/>
    <w:rsid w:val="00C13012"/>
    <w:rsid w:val="00C134A6"/>
    <w:rsid w:val="00C13806"/>
    <w:rsid w:val="00C1405A"/>
    <w:rsid w:val="00C1454C"/>
    <w:rsid w:val="00C157A7"/>
    <w:rsid w:val="00C15D08"/>
    <w:rsid w:val="00C16FC7"/>
    <w:rsid w:val="00C17116"/>
    <w:rsid w:val="00C172FE"/>
    <w:rsid w:val="00C175BB"/>
    <w:rsid w:val="00C17605"/>
    <w:rsid w:val="00C1791C"/>
    <w:rsid w:val="00C2041D"/>
    <w:rsid w:val="00C204A9"/>
    <w:rsid w:val="00C2085B"/>
    <w:rsid w:val="00C2145C"/>
    <w:rsid w:val="00C21886"/>
    <w:rsid w:val="00C218E3"/>
    <w:rsid w:val="00C21ADA"/>
    <w:rsid w:val="00C21C39"/>
    <w:rsid w:val="00C21EEC"/>
    <w:rsid w:val="00C220DE"/>
    <w:rsid w:val="00C22BF6"/>
    <w:rsid w:val="00C231FC"/>
    <w:rsid w:val="00C233B0"/>
    <w:rsid w:val="00C23504"/>
    <w:rsid w:val="00C2360B"/>
    <w:rsid w:val="00C24060"/>
    <w:rsid w:val="00C24281"/>
    <w:rsid w:val="00C244F5"/>
    <w:rsid w:val="00C2476C"/>
    <w:rsid w:val="00C24EDA"/>
    <w:rsid w:val="00C24F33"/>
    <w:rsid w:val="00C2547D"/>
    <w:rsid w:val="00C255AB"/>
    <w:rsid w:val="00C255BE"/>
    <w:rsid w:val="00C258D4"/>
    <w:rsid w:val="00C26123"/>
    <w:rsid w:val="00C26494"/>
    <w:rsid w:val="00C26B8F"/>
    <w:rsid w:val="00C27283"/>
    <w:rsid w:val="00C27337"/>
    <w:rsid w:val="00C2761C"/>
    <w:rsid w:val="00C27C2B"/>
    <w:rsid w:val="00C27F33"/>
    <w:rsid w:val="00C300DC"/>
    <w:rsid w:val="00C3030A"/>
    <w:rsid w:val="00C30537"/>
    <w:rsid w:val="00C30B6D"/>
    <w:rsid w:val="00C31262"/>
    <w:rsid w:val="00C31B3A"/>
    <w:rsid w:val="00C31CBB"/>
    <w:rsid w:val="00C32953"/>
    <w:rsid w:val="00C32AD4"/>
    <w:rsid w:val="00C32DB9"/>
    <w:rsid w:val="00C32DC8"/>
    <w:rsid w:val="00C32E3D"/>
    <w:rsid w:val="00C334D4"/>
    <w:rsid w:val="00C337CE"/>
    <w:rsid w:val="00C34730"/>
    <w:rsid w:val="00C34B66"/>
    <w:rsid w:val="00C35548"/>
    <w:rsid w:val="00C35877"/>
    <w:rsid w:val="00C3587F"/>
    <w:rsid w:val="00C35EBD"/>
    <w:rsid w:val="00C35FEB"/>
    <w:rsid w:val="00C36054"/>
    <w:rsid w:val="00C36B3F"/>
    <w:rsid w:val="00C36C74"/>
    <w:rsid w:val="00C379D5"/>
    <w:rsid w:val="00C37E2F"/>
    <w:rsid w:val="00C401BE"/>
    <w:rsid w:val="00C4087E"/>
    <w:rsid w:val="00C4093F"/>
    <w:rsid w:val="00C40EBD"/>
    <w:rsid w:val="00C41A5F"/>
    <w:rsid w:val="00C41BCB"/>
    <w:rsid w:val="00C41FBD"/>
    <w:rsid w:val="00C42079"/>
    <w:rsid w:val="00C424E9"/>
    <w:rsid w:val="00C42D3E"/>
    <w:rsid w:val="00C42E42"/>
    <w:rsid w:val="00C442BD"/>
    <w:rsid w:val="00C443D7"/>
    <w:rsid w:val="00C4488D"/>
    <w:rsid w:val="00C449BE"/>
    <w:rsid w:val="00C449F8"/>
    <w:rsid w:val="00C44E53"/>
    <w:rsid w:val="00C45024"/>
    <w:rsid w:val="00C45B5B"/>
    <w:rsid w:val="00C45DB7"/>
    <w:rsid w:val="00C45E0B"/>
    <w:rsid w:val="00C45EF3"/>
    <w:rsid w:val="00C46C97"/>
    <w:rsid w:val="00C46E48"/>
    <w:rsid w:val="00C4714F"/>
    <w:rsid w:val="00C47823"/>
    <w:rsid w:val="00C478C5"/>
    <w:rsid w:val="00C50552"/>
    <w:rsid w:val="00C511B2"/>
    <w:rsid w:val="00C512F6"/>
    <w:rsid w:val="00C52106"/>
    <w:rsid w:val="00C521F7"/>
    <w:rsid w:val="00C52236"/>
    <w:rsid w:val="00C527ED"/>
    <w:rsid w:val="00C53588"/>
    <w:rsid w:val="00C538C4"/>
    <w:rsid w:val="00C543F6"/>
    <w:rsid w:val="00C54567"/>
    <w:rsid w:val="00C54928"/>
    <w:rsid w:val="00C54A49"/>
    <w:rsid w:val="00C54AAB"/>
    <w:rsid w:val="00C54CFD"/>
    <w:rsid w:val="00C55C76"/>
    <w:rsid w:val="00C560C1"/>
    <w:rsid w:val="00C56523"/>
    <w:rsid w:val="00C567CB"/>
    <w:rsid w:val="00C56A1A"/>
    <w:rsid w:val="00C56F16"/>
    <w:rsid w:val="00C56FA9"/>
    <w:rsid w:val="00C57C5D"/>
    <w:rsid w:val="00C60166"/>
    <w:rsid w:val="00C6056C"/>
    <w:rsid w:val="00C60726"/>
    <w:rsid w:val="00C607DE"/>
    <w:rsid w:val="00C60E98"/>
    <w:rsid w:val="00C6118E"/>
    <w:rsid w:val="00C61BCA"/>
    <w:rsid w:val="00C624DA"/>
    <w:rsid w:val="00C624F7"/>
    <w:rsid w:val="00C627EA"/>
    <w:rsid w:val="00C62BFA"/>
    <w:rsid w:val="00C62FDC"/>
    <w:rsid w:val="00C62FFB"/>
    <w:rsid w:val="00C63A98"/>
    <w:rsid w:val="00C63B06"/>
    <w:rsid w:val="00C63F57"/>
    <w:rsid w:val="00C64385"/>
    <w:rsid w:val="00C647B8"/>
    <w:rsid w:val="00C6482A"/>
    <w:rsid w:val="00C64AFD"/>
    <w:rsid w:val="00C64C0E"/>
    <w:rsid w:val="00C65BAB"/>
    <w:rsid w:val="00C65C07"/>
    <w:rsid w:val="00C66958"/>
    <w:rsid w:val="00C66CF8"/>
    <w:rsid w:val="00C676A7"/>
    <w:rsid w:val="00C6776B"/>
    <w:rsid w:val="00C6785F"/>
    <w:rsid w:val="00C67868"/>
    <w:rsid w:val="00C67920"/>
    <w:rsid w:val="00C67CFA"/>
    <w:rsid w:val="00C67D02"/>
    <w:rsid w:val="00C67D6C"/>
    <w:rsid w:val="00C701B8"/>
    <w:rsid w:val="00C70DAC"/>
    <w:rsid w:val="00C71240"/>
    <w:rsid w:val="00C71548"/>
    <w:rsid w:val="00C715DA"/>
    <w:rsid w:val="00C71DF1"/>
    <w:rsid w:val="00C722D2"/>
    <w:rsid w:val="00C72A6B"/>
    <w:rsid w:val="00C72E97"/>
    <w:rsid w:val="00C73275"/>
    <w:rsid w:val="00C733FF"/>
    <w:rsid w:val="00C736CF"/>
    <w:rsid w:val="00C73F8F"/>
    <w:rsid w:val="00C74023"/>
    <w:rsid w:val="00C74394"/>
    <w:rsid w:val="00C744B1"/>
    <w:rsid w:val="00C7470C"/>
    <w:rsid w:val="00C74B7A"/>
    <w:rsid w:val="00C74F93"/>
    <w:rsid w:val="00C75032"/>
    <w:rsid w:val="00C758D7"/>
    <w:rsid w:val="00C75C12"/>
    <w:rsid w:val="00C76383"/>
    <w:rsid w:val="00C766B3"/>
    <w:rsid w:val="00C76770"/>
    <w:rsid w:val="00C7709C"/>
    <w:rsid w:val="00C7746F"/>
    <w:rsid w:val="00C778EF"/>
    <w:rsid w:val="00C77A44"/>
    <w:rsid w:val="00C77CDF"/>
    <w:rsid w:val="00C80184"/>
    <w:rsid w:val="00C8039D"/>
    <w:rsid w:val="00C80411"/>
    <w:rsid w:val="00C809E5"/>
    <w:rsid w:val="00C80D4C"/>
    <w:rsid w:val="00C819D1"/>
    <w:rsid w:val="00C81C05"/>
    <w:rsid w:val="00C82490"/>
    <w:rsid w:val="00C82A57"/>
    <w:rsid w:val="00C82C67"/>
    <w:rsid w:val="00C82CCD"/>
    <w:rsid w:val="00C83191"/>
    <w:rsid w:val="00C8332F"/>
    <w:rsid w:val="00C834AE"/>
    <w:rsid w:val="00C83E5E"/>
    <w:rsid w:val="00C83F08"/>
    <w:rsid w:val="00C840AD"/>
    <w:rsid w:val="00C8420B"/>
    <w:rsid w:val="00C843C0"/>
    <w:rsid w:val="00C8441C"/>
    <w:rsid w:val="00C84508"/>
    <w:rsid w:val="00C84ADC"/>
    <w:rsid w:val="00C84EC1"/>
    <w:rsid w:val="00C85762"/>
    <w:rsid w:val="00C8600A"/>
    <w:rsid w:val="00C8652D"/>
    <w:rsid w:val="00C8695D"/>
    <w:rsid w:val="00C86E12"/>
    <w:rsid w:val="00C870C1"/>
    <w:rsid w:val="00C87448"/>
    <w:rsid w:val="00C87556"/>
    <w:rsid w:val="00C87718"/>
    <w:rsid w:val="00C87961"/>
    <w:rsid w:val="00C87A65"/>
    <w:rsid w:val="00C87F47"/>
    <w:rsid w:val="00C905EE"/>
    <w:rsid w:val="00C90866"/>
    <w:rsid w:val="00C90AFB"/>
    <w:rsid w:val="00C90BBF"/>
    <w:rsid w:val="00C90C04"/>
    <w:rsid w:val="00C90D0B"/>
    <w:rsid w:val="00C9128B"/>
    <w:rsid w:val="00C919C8"/>
    <w:rsid w:val="00C91BA6"/>
    <w:rsid w:val="00C91D69"/>
    <w:rsid w:val="00C92F81"/>
    <w:rsid w:val="00C92FFF"/>
    <w:rsid w:val="00C930A2"/>
    <w:rsid w:val="00C93135"/>
    <w:rsid w:val="00C933FA"/>
    <w:rsid w:val="00C93A4B"/>
    <w:rsid w:val="00C93AB8"/>
    <w:rsid w:val="00C94329"/>
    <w:rsid w:val="00C949E4"/>
    <w:rsid w:val="00C94FED"/>
    <w:rsid w:val="00C96796"/>
    <w:rsid w:val="00C96A28"/>
    <w:rsid w:val="00C97997"/>
    <w:rsid w:val="00C97BAC"/>
    <w:rsid w:val="00C97E77"/>
    <w:rsid w:val="00C97EB2"/>
    <w:rsid w:val="00CA06CA"/>
    <w:rsid w:val="00CA148D"/>
    <w:rsid w:val="00CA1FB2"/>
    <w:rsid w:val="00CA2715"/>
    <w:rsid w:val="00CA28BA"/>
    <w:rsid w:val="00CA2ACE"/>
    <w:rsid w:val="00CA2B09"/>
    <w:rsid w:val="00CA335F"/>
    <w:rsid w:val="00CA3A9E"/>
    <w:rsid w:val="00CA3EF4"/>
    <w:rsid w:val="00CA44DB"/>
    <w:rsid w:val="00CA45F2"/>
    <w:rsid w:val="00CA4610"/>
    <w:rsid w:val="00CA511E"/>
    <w:rsid w:val="00CA538E"/>
    <w:rsid w:val="00CA5595"/>
    <w:rsid w:val="00CA5A54"/>
    <w:rsid w:val="00CA5C79"/>
    <w:rsid w:val="00CA62E5"/>
    <w:rsid w:val="00CA69B6"/>
    <w:rsid w:val="00CA743B"/>
    <w:rsid w:val="00CA74BA"/>
    <w:rsid w:val="00CA76D9"/>
    <w:rsid w:val="00CA77AF"/>
    <w:rsid w:val="00CB03A7"/>
    <w:rsid w:val="00CB0710"/>
    <w:rsid w:val="00CB084C"/>
    <w:rsid w:val="00CB0F13"/>
    <w:rsid w:val="00CB0F36"/>
    <w:rsid w:val="00CB12B6"/>
    <w:rsid w:val="00CB1D8C"/>
    <w:rsid w:val="00CB2189"/>
    <w:rsid w:val="00CB25FE"/>
    <w:rsid w:val="00CB2754"/>
    <w:rsid w:val="00CB2970"/>
    <w:rsid w:val="00CB31FD"/>
    <w:rsid w:val="00CB4CBE"/>
    <w:rsid w:val="00CB4D23"/>
    <w:rsid w:val="00CB4D3F"/>
    <w:rsid w:val="00CB4D62"/>
    <w:rsid w:val="00CB4F7A"/>
    <w:rsid w:val="00CB502F"/>
    <w:rsid w:val="00CB526A"/>
    <w:rsid w:val="00CB5367"/>
    <w:rsid w:val="00CB5FB1"/>
    <w:rsid w:val="00CB60F8"/>
    <w:rsid w:val="00CB61F3"/>
    <w:rsid w:val="00CB6A17"/>
    <w:rsid w:val="00CB7347"/>
    <w:rsid w:val="00CB75BA"/>
    <w:rsid w:val="00CC0A78"/>
    <w:rsid w:val="00CC1048"/>
    <w:rsid w:val="00CC1326"/>
    <w:rsid w:val="00CC1799"/>
    <w:rsid w:val="00CC20E4"/>
    <w:rsid w:val="00CC2739"/>
    <w:rsid w:val="00CC2889"/>
    <w:rsid w:val="00CC2A83"/>
    <w:rsid w:val="00CC2D18"/>
    <w:rsid w:val="00CC315A"/>
    <w:rsid w:val="00CC3902"/>
    <w:rsid w:val="00CC39AF"/>
    <w:rsid w:val="00CC3CF4"/>
    <w:rsid w:val="00CC4278"/>
    <w:rsid w:val="00CC4959"/>
    <w:rsid w:val="00CC4C18"/>
    <w:rsid w:val="00CC4F99"/>
    <w:rsid w:val="00CC51FC"/>
    <w:rsid w:val="00CC5599"/>
    <w:rsid w:val="00CC56BB"/>
    <w:rsid w:val="00CC68CE"/>
    <w:rsid w:val="00CC6E32"/>
    <w:rsid w:val="00CC6E42"/>
    <w:rsid w:val="00CC731F"/>
    <w:rsid w:val="00CC793B"/>
    <w:rsid w:val="00CC796C"/>
    <w:rsid w:val="00CC79AB"/>
    <w:rsid w:val="00CD0AAB"/>
    <w:rsid w:val="00CD0EFF"/>
    <w:rsid w:val="00CD1387"/>
    <w:rsid w:val="00CD13BE"/>
    <w:rsid w:val="00CD13E3"/>
    <w:rsid w:val="00CD1C0E"/>
    <w:rsid w:val="00CD2764"/>
    <w:rsid w:val="00CD27F1"/>
    <w:rsid w:val="00CD33CE"/>
    <w:rsid w:val="00CD37A8"/>
    <w:rsid w:val="00CD380B"/>
    <w:rsid w:val="00CD3B04"/>
    <w:rsid w:val="00CD3FC2"/>
    <w:rsid w:val="00CD408D"/>
    <w:rsid w:val="00CD4564"/>
    <w:rsid w:val="00CD4658"/>
    <w:rsid w:val="00CD4A77"/>
    <w:rsid w:val="00CD5256"/>
    <w:rsid w:val="00CD575A"/>
    <w:rsid w:val="00CD5C6F"/>
    <w:rsid w:val="00CD5EBC"/>
    <w:rsid w:val="00CD5FF3"/>
    <w:rsid w:val="00CD6286"/>
    <w:rsid w:val="00CD675F"/>
    <w:rsid w:val="00CD68F4"/>
    <w:rsid w:val="00CD6B7C"/>
    <w:rsid w:val="00CD6DCA"/>
    <w:rsid w:val="00CD73EF"/>
    <w:rsid w:val="00CD7689"/>
    <w:rsid w:val="00CD7C59"/>
    <w:rsid w:val="00CD7CB2"/>
    <w:rsid w:val="00CE0053"/>
    <w:rsid w:val="00CE068F"/>
    <w:rsid w:val="00CE0B34"/>
    <w:rsid w:val="00CE0CAE"/>
    <w:rsid w:val="00CE0CE2"/>
    <w:rsid w:val="00CE0D98"/>
    <w:rsid w:val="00CE0E1A"/>
    <w:rsid w:val="00CE0F4C"/>
    <w:rsid w:val="00CE0F98"/>
    <w:rsid w:val="00CE1067"/>
    <w:rsid w:val="00CE14DE"/>
    <w:rsid w:val="00CE198E"/>
    <w:rsid w:val="00CE203C"/>
    <w:rsid w:val="00CE24CE"/>
    <w:rsid w:val="00CE25C8"/>
    <w:rsid w:val="00CE2FA9"/>
    <w:rsid w:val="00CE36D1"/>
    <w:rsid w:val="00CE36FE"/>
    <w:rsid w:val="00CE40E6"/>
    <w:rsid w:val="00CE447F"/>
    <w:rsid w:val="00CE52A2"/>
    <w:rsid w:val="00CE5EBD"/>
    <w:rsid w:val="00CE6078"/>
    <w:rsid w:val="00CE616E"/>
    <w:rsid w:val="00CE62F6"/>
    <w:rsid w:val="00CE6C7D"/>
    <w:rsid w:val="00CE7780"/>
    <w:rsid w:val="00CE7939"/>
    <w:rsid w:val="00CE7A75"/>
    <w:rsid w:val="00CE7AD4"/>
    <w:rsid w:val="00CF0143"/>
    <w:rsid w:val="00CF0518"/>
    <w:rsid w:val="00CF0572"/>
    <w:rsid w:val="00CF05B1"/>
    <w:rsid w:val="00CF0683"/>
    <w:rsid w:val="00CF0CCF"/>
    <w:rsid w:val="00CF0F69"/>
    <w:rsid w:val="00CF12F1"/>
    <w:rsid w:val="00CF1431"/>
    <w:rsid w:val="00CF14BD"/>
    <w:rsid w:val="00CF1F6D"/>
    <w:rsid w:val="00CF234C"/>
    <w:rsid w:val="00CF3208"/>
    <w:rsid w:val="00CF33F9"/>
    <w:rsid w:val="00CF387B"/>
    <w:rsid w:val="00CF3DF7"/>
    <w:rsid w:val="00CF4359"/>
    <w:rsid w:val="00CF43B0"/>
    <w:rsid w:val="00CF4752"/>
    <w:rsid w:val="00CF495F"/>
    <w:rsid w:val="00CF4B7A"/>
    <w:rsid w:val="00CF55CF"/>
    <w:rsid w:val="00CF5A18"/>
    <w:rsid w:val="00CF5A27"/>
    <w:rsid w:val="00CF69BF"/>
    <w:rsid w:val="00CF69D4"/>
    <w:rsid w:val="00CF6CA9"/>
    <w:rsid w:val="00CF6FA6"/>
    <w:rsid w:val="00D001D8"/>
    <w:rsid w:val="00D0041C"/>
    <w:rsid w:val="00D00508"/>
    <w:rsid w:val="00D00AA4"/>
    <w:rsid w:val="00D013F8"/>
    <w:rsid w:val="00D014A1"/>
    <w:rsid w:val="00D01727"/>
    <w:rsid w:val="00D01AC5"/>
    <w:rsid w:val="00D01C76"/>
    <w:rsid w:val="00D01F74"/>
    <w:rsid w:val="00D026F8"/>
    <w:rsid w:val="00D02872"/>
    <w:rsid w:val="00D031F5"/>
    <w:rsid w:val="00D0323C"/>
    <w:rsid w:val="00D03561"/>
    <w:rsid w:val="00D037C6"/>
    <w:rsid w:val="00D04C43"/>
    <w:rsid w:val="00D04EAF"/>
    <w:rsid w:val="00D05468"/>
    <w:rsid w:val="00D05654"/>
    <w:rsid w:val="00D0580C"/>
    <w:rsid w:val="00D05BA6"/>
    <w:rsid w:val="00D05D9F"/>
    <w:rsid w:val="00D063A8"/>
    <w:rsid w:val="00D06419"/>
    <w:rsid w:val="00D06587"/>
    <w:rsid w:val="00D06C21"/>
    <w:rsid w:val="00D07650"/>
    <w:rsid w:val="00D07774"/>
    <w:rsid w:val="00D07A6F"/>
    <w:rsid w:val="00D07DAC"/>
    <w:rsid w:val="00D07FE2"/>
    <w:rsid w:val="00D102F6"/>
    <w:rsid w:val="00D108D9"/>
    <w:rsid w:val="00D115E7"/>
    <w:rsid w:val="00D11BB0"/>
    <w:rsid w:val="00D11BC9"/>
    <w:rsid w:val="00D11C07"/>
    <w:rsid w:val="00D1236A"/>
    <w:rsid w:val="00D124DD"/>
    <w:rsid w:val="00D129AE"/>
    <w:rsid w:val="00D12E15"/>
    <w:rsid w:val="00D1412A"/>
    <w:rsid w:val="00D14B82"/>
    <w:rsid w:val="00D1507A"/>
    <w:rsid w:val="00D15304"/>
    <w:rsid w:val="00D16496"/>
    <w:rsid w:val="00D167E7"/>
    <w:rsid w:val="00D171DE"/>
    <w:rsid w:val="00D17241"/>
    <w:rsid w:val="00D17DA6"/>
    <w:rsid w:val="00D17E06"/>
    <w:rsid w:val="00D2033D"/>
    <w:rsid w:val="00D20E07"/>
    <w:rsid w:val="00D2162A"/>
    <w:rsid w:val="00D21C37"/>
    <w:rsid w:val="00D21FC4"/>
    <w:rsid w:val="00D229FB"/>
    <w:rsid w:val="00D23150"/>
    <w:rsid w:val="00D23198"/>
    <w:rsid w:val="00D23456"/>
    <w:rsid w:val="00D23AD8"/>
    <w:rsid w:val="00D23B56"/>
    <w:rsid w:val="00D23BC5"/>
    <w:rsid w:val="00D24418"/>
    <w:rsid w:val="00D24576"/>
    <w:rsid w:val="00D24962"/>
    <w:rsid w:val="00D249A7"/>
    <w:rsid w:val="00D2573A"/>
    <w:rsid w:val="00D25B01"/>
    <w:rsid w:val="00D25CE0"/>
    <w:rsid w:val="00D25E32"/>
    <w:rsid w:val="00D267FE"/>
    <w:rsid w:val="00D26B16"/>
    <w:rsid w:val="00D2703E"/>
    <w:rsid w:val="00D2712D"/>
    <w:rsid w:val="00D27CDE"/>
    <w:rsid w:val="00D302C9"/>
    <w:rsid w:val="00D30A18"/>
    <w:rsid w:val="00D30C3E"/>
    <w:rsid w:val="00D30EAB"/>
    <w:rsid w:val="00D31113"/>
    <w:rsid w:val="00D31174"/>
    <w:rsid w:val="00D31289"/>
    <w:rsid w:val="00D312AF"/>
    <w:rsid w:val="00D314C1"/>
    <w:rsid w:val="00D31D41"/>
    <w:rsid w:val="00D31D48"/>
    <w:rsid w:val="00D326E3"/>
    <w:rsid w:val="00D327BB"/>
    <w:rsid w:val="00D33046"/>
    <w:rsid w:val="00D331E0"/>
    <w:rsid w:val="00D331E8"/>
    <w:rsid w:val="00D33319"/>
    <w:rsid w:val="00D33FEC"/>
    <w:rsid w:val="00D3416C"/>
    <w:rsid w:val="00D34275"/>
    <w:rsid w:val="00D342F0"/>
    <w:rsid w:val="00D344E5"/>
    <w:rsid w:val="00D34ACB"/>
    <w:rsid w:val="00D34C75"/>
    <w:rsid w:val="00D353C6"/>
    <w:rsid w:val="00D3549C"/>
    <w:rsid w:val="00D357E9"/>
    <w:rsid w:val="00D3588A"/>
    <w:rsid w:val="00D36795"/>
    <w:rsid w:val="00D367B4"/>
    <w:rsid w:val="00D36883"/>
    <w:rsid w:val="00D369D3"/>
    <w:rsid w:val="00D3726E"/>
    <w:rsid w:val="00D374E4"/>
    <w:rsid w:val="00D37DF4"/>
    <w:rsid w:val="00D4009B"/>
    <w:rsid w:val="00D400CC"/>
    <w:rsid w:val="00D40297"/>
    <w:rsid w:val="00D40992"/>
    <w:rsid w:val="00D411D3"/>
    <w:rsid w:val="00D414D2"/>
    <w:rsid w:val="00D41F4E"/>
    <w:rsid w:val="00D426C9"/>
    <w:rsid w:val="00D42768"/>
    <w:rsid w:val="00D42BBD"/>
    <w:rsid w:val="00D42E5F"/>
    <w:rsid w:val="00D4318E"/>
    <w:rsid w:val="00D43240"/>
    <w:rsid w:val="00D4341E"/>
    <w:rsid w:val="00D43A14"/>
    <w:rsid w:val="00D44D01"/>
    <w:rsid w:val="00D45B1B"/>
    <w:rsid w:val="00D46922"/>
    <w:rsid w:val="00D46DDB"/>
    <w:rsid w:val="00D46ED3"/>
    <w:rsid w:val="00D47057"/>
    <w:rsid w:val="00D470D6"/>
    <w:rsid w:val="00D47184"/>
    <w:rsid w:val="00D476E6"/>
    <w:rsid w:val="00D47807"/>
    <w:rsid w:val="00D47820"/>
    <w:rsid w:val="00D47C27"/>
    <w:rsid w:val="00D47C62"/>
    <w:rsid w:val="00D503B9"/>
    <w:rsid w:val="00D51165"/>
    <w:rsid w:val="00D51742"/>
    <w:rsid w:val="00D51BFB"/>
    <w:rsid w:val="00D51F15"/>
    <w:rsid w:val="00D52616"/>
    <w:rsid w:val="00D526D2"/>
    <w:rsid w:val="00D52BA7"/>
    <w:rsid w:val="00D52CB9"/>
    <w:rsid w:val="00D532CB"/>
    <w:rsid w:val="00D53CB4"/>
    <w:rsid w:val="00D5428F"/>
    <w:rsid w:val="00D548A7"/>
    <w:rsid w:val="00D54970"/>
    <w:rsid w:val="00D54EF1"/>
    <w:rsid w:val="00D55B07"/>
    <w:rsid w:val="00D55B9B"/>
    <w:rsid w:val="00D56163"/>
    <w:rsid w:val="00D56FF0"/>
    <w:rsid w:val="00D601A6"/>
    <w:rsid w:val="00D60741"/>
    <w:rsid w:val="00D60778"/>
    <w:rsid w:val="00D608EE"/>
    <w:rsid w:val="00D60EA9"/>
    <w:rsid w:val="00D61281"/>
    <w:rsid w:val="00D615A7"/>
    <w:rsid w:val="00D61817"/>
    <w:rsid w:val="00D61E52"/>
    <w:rsid w:val="00D6205B"/>
    <w:rsid w:val="00D623F4"/>
    <w:rsid w:val="00D62882"/>
    <w:rsid w:val="00D62A66"/>
    <w:rsid w:val="00D62CC7"/>
    <w:rsid w:val="00D62E9F"/>
    <w:rsid w:val="00D63A3F"/>
    <w:rsid w:val="00D64A64"/>
    <w:rsid w:val="00D64BEB"/>
    <w:rsid w:val="00D64C21"/>
    <w:rsid w:val="00D64CBC"/>
    <w:rsid w:val="00D64D79"/>
    <w:rsid w:val="00D64F5E"/>
    <w:rsid w:val="00D654A7"/>
    <w:rsid w:val="00D6573B"/>
    <w:rsid w:val="00D65878"/>
    <w:rsid w:val="00D65994"/>
    <w:rsid w:val="00D65E25"/>
    <w:rsid w:val="00D669DF"/>
    <w:rsid w:val="00D66C1D"/>
    <w:rsid w:val="00D66C80"/>
    <w:rsid w:val="00D66C93"/>
    <w:rsid w:val="00D67A06"/>
    <w:rsid w:val="00D70429"/>
    <w:rsid w:val="00D70596"/>
    <w:rsid w:val="00D710C4"/>
    <w:rsid w:val="00D71BB6"/>
    <w:rsid w:val="00D71CC1"/>
    <w:rsid w:val="00D724FD"/>
    <w:rsid w:val="00D729ED"/>
    <w:rsid w:val="00D72A48"/>
    <w:rsid w:val="00D72BB6"/>
    <w:rsid w:val="00D7309B"/>
    <w:rsid w:val="00D73E27"/>
    <w:rsid w:val="00D73E87"/>
    <w:rsid w:val="00D74033"/>
    <w:rsid w:val="00D741D3"/>
    <w:rsid w:val="00D743BC"/>
    <w:rsid w:val="00D744F1"/>
    <w:rsid w:val="00D751AB"/>
    <w:rsid w:val="00D75648"/>
    <w:rsid w:val="00D7577B"/>
    <w:rsid w:val="00D75800"/>
    <w:rsid w:val="00D759E8"/>
    <w:rsid w:val="00D7688F"/>
    <w:rsid w:val="00D77193"/>
    <w:rsid w:val="00D774BF"/>
    <w:rsid w:val="00D77915"/>
    <w:rsid w:val="00D7794D"/>
    <w:rsid w:val="00D77E1C"/>
    <w:rsid w:val="00D80721"/>
    <w:rsid w:val="00D80885"/>
    <w:rsid w:val="00D80E1F"/>
    <w:rsid w:val="00D81539"/>
    <w:rsid w:val="00D81929"/>
    <w:rsid w:val="00D8198C"/>
    <w:rsid w:val="00D81BB2"/>
    <w:rsid w:val="00D81C56"/>
    <w:rsid w:val="00D827C7"/>
    <w:rsid w:val="00D82AF9"/>
    <w:rsid w:val="00D82D4E"/>
    <w:rsid w:val="00D830E5"/>
    <w:rsid w:val="00D838D5"/>
    <w:rsid w:val="00D83B74"/>
    <w:rsid w:val="00D840EA"/>
    <w:rsid w:val="00D8425A"/>
    <w:rsid w:val="00D84558"/>
    <w:rsid w:val="00D858FC"/>
    <w:rsid w:val="00D85B3F"/>
    <w:rsid w:val="00D85CC2"/>
    <w:rsid w:val="00D85DFC"/>
    <w:rsid w:val="00D867CA"/>
    <w:rsid w:val="00D86F2F"/>
    <w:rsid w:val="00D87240"/>
    <w:rsid w:val="00D8763A"/>
    <w:rsid w:val="00D87750"/>
    <w:rsid w:val="00D87BB6"/>
    <w:rsid w:val="00D900D2"/>
    <w:rsid w:val="00D90836"/>
    <w:rsid w:val="00D90ACD"/>
    <w:rsid w:val="00D911F5"/>
    <w:rsid w:val="00D91988"/>
    <w:rsid w:val="00D91B07"/>
    <w:rsid w:val="00D91B66"/>
    <w:rsid w:val="00D91E80"/>
    <w:rsid w:val="00D92930"/>
    <w:rsid w:val="00D92B1D"/>
    <w:rsid w:val="00D92B7E"/>
    <w:rsid w:val="00D92D18"/>
    <w:rsid w:val="00D93405"/>
    <w:rsid w:val="00D939CB"/>
    <w:rsid w:val="00D93D63"/>
    <w:rsid w:val="00D93ED9"/>
    <w:rsid w:val="00D94EF9"/>
    <w:rsid w:val="00D956BE"/>
    <w:rsid w:val="00D959F4"/>
    <w:rsid w:val="00D95A1A"/>
    <w:rsid w:val="00D95CA5"/>
    <w:rsid w:val="00D960E7"/>
    <w:rsid w:val="00D9610B"/>
    <w:rsid w:val="00D96189"/>
    <w:rsid w:val="00D96283"/>
    <w:rsid w:val="00D9631D"/>
    <w:rsid w:val="00D96A4A"/>
    <w:rsid w:val="00D96ECF"/>
    <w:rsid w:val="00D96FC2"/>
    <w:rsid w:val="00D9798C"/>
    <w:rsid w:val="00D97C8F"/>
    <w:rsid w:val="00D97D30"/>
    <w:rsid w:val="00D97D41"/>
    <w:rsid w:val="00D97F50"/>
    <w:rsid w:val="00D97F89"/>
    <w:rsid w:val="00DA043C"/>
    <w:rsid w:val="00DA0969"/>
    <w:rsid w:val="00DA184C"/>
    <w:rsid w:val="00DA1B0C"/>
    <w:rsid w:val="00DA2676"/>
    <w:rsid w:val="00DA281C"/>
    <w:rsid w:val="00DA2907"/>
    <w:rsid w:val="00DA2E38"/>
    <w:rsid w:val="00DA323F"/>
    <w:rsid w:val="00DA365E"/>
    <w:rsid w:val="00DA43A4"/>
    <w:rsid w:val="00DA4461"/>
    <w:rsid w:val="00DA44DC"/>
    <w:rsid w:val="00DA46BA"/>
    <w:rsid w:val="00DA4D0A"/>
    <w:rsid w:val="00DA51FE"/>
    <w:rsid w:val="00DA5BDE"/>
    <w:rsid w:val="00DA602A"/>
    <w:rsid w:val="00DA6D1C"/>
    <w:rsid w:val="00DB0B58"/>
    <w:rsid w:val="00DB0CB5"/>
    <w:rsid w:val="00DB0E60"/>
    <w:rsid w:val="00DB10C7"/>
    <w:rsid w:val="00DB11DC"/>
    <w:rsid w:val="00DB13A4"/>
    <w:rsid w:val="00DB1712"/>
    <w:rsid w:val="00DB1BB9"/>
    <w:rsid w:val="00DB2067"/>
    <w:rsid w:val="00DB2567"/>
    <w:rsid w:val="00DB2C9A"/>
    <w:rsid w:val="00DB3415"/>
    <w:rsid w:val="00DB3954"/>
    <w:rsid w:val="00DB3F0D"/>
    <w:rsid w:val="00DB4EC6"/>
    <w:rsid w:val="00DB506B"/>
    <w:rsid w:val="00DB5A06"/>
    <w:rsid w:val="00DB5E6A"/>
    <w:rsid w:val="00DB5EF5"/>
    <w:rsid w:val="00DB603F"/>
    <w:rsid w:val="00DB6506"/>
    <w:rsid w:val="00DB7A89"/>
    <w:rsid w:val="00DB7D1A"/>
    <w:rsid w:val="00DC06EC"/>
    <w:rsid w:val="00DC07BB"/>
    <w:rsid w:val="00DC14D1"/>
    <w:rsid w:val="00DC15D4"/>
    <w:rsid w:val="00DC1D65"/>
    <w:rsid w:val="00DC1FAA"/>
    <w:rsid w:val="00DC222D"/>
    <w:rsid w:val="00DC227B"/>
    <w:rsid w:val="00DC2432"/>
    <w:rsid w:val="00DC26EF"/>
    <w:rsid w:val="00DC29A2"/>
    <w:rsid w:val="00DC2CEF"/>
    <w:rsid w:val="00DC2F0C"/>
    <w:rsid w:val="00DC320E"/>
    <w:rsid w:val="00DC3734"/>
    <w:rsid w:val="00DC3E97"/>
    <w:rsid w:val="00DC4F37"/>
    <w:rsid w:val="00DC50F1"/>
    <w:rsid w:val="00DC568C"/>
    <w:rsid w:val="00DC5B2A"/>
    <w:rsid w:val="00DC61D5"/>
    <w:rsid w:val="00DC62E3"/>
    <w:rsid w:val="00DC6417"/>
    <w:rsid w:val="00DC6F37"/>
    <w:rsid w:val="00DC733A"/>
    <w:rsid w:val="00DC74A8"/>
    <w:rsid w:val="00DC78D3"/>
    <w:rsid w:val="00DC7964"/>
    <w:rsid w:val="00DD0279"/>
    <w:rsid w:val="00DD06DC"/>
    <w:rsid w:val="00DD0942"/>
    <w:rsid w:val="00DD0F85"/>
    <w:rsid w:val="00DD11BF"/>
    <w:rsid w:val="00DD1928"/>
    <w:rsid w:val="00DD1FC8"/>
    <w:rsid w:val="00DD2465"/>
    <w:rsid w:val="00DD255B"/>
    <w:rsid w:val="00DD2853"/>
    <w:rsid w:val="00DD2A0F"/>
    <w:rsid w:val="00DD2D46"/>
    <w:rsid w:val="00DD31E7"/>
    <w:rsid w:val="00DD33F5"/>
    <w:rsid w:val="00DD4572"/>
    <w:rsid w:val="00DD4627"/>
    <w:rsid w:val="00DD4B6C"/>
    <w:rsid w:val="00DD4F88"/>
    <w:rsid w:val="00DD5502"/>
    <w:rsid w:val="00DD55EF"/>
    <w:rsid w:val="00DD561D"/>
    <w:rsid w:val="00DD592D"/>
    <w:rsid w:val="00DD620D"/>
    <w:rsid w:val="00DD668C"/>
    <w:rsid w:val="00DD6BB7"/>
    <w:rsid w:val="00DD6E4D"/>
    <w:rsid w:val="00DD7552"/>
    <w:rsid w:val="00DE0119"/>
    <w:rsid w:val="00DE0613"/>
    <w:rsid w:val="00DE06F7"/>
    <w:rsid w:val="00DE074C"/>
    <w:rsid w:val="00DE0ACE"/>
    <w:rsid w:val="00DE0D3B"/>
    <w:rsid w:val="00DE11A7"/>
    <w:rsid w:val="00DE13F9"/>
    <w:rsid w:val="00DE1BAB"/>
    <w:rsid w:val="00DE2393"/>
    <w:rsid w:val="00DE26DC"/>
    <w:rsid w:val="00DE279D"/>
    <w:rsid w:val="00DE2F6F"/>
    <w:rsid w:val="00DE3460"/>
    <w:rsid w:val="00DE3C0B"/>
    <w:rsid w:val="00DE44A0"/>
    <w:rsid w:val="00DE4BD4"/>
    <w:rsid w:val="00DE4C7B"/>
    <w:rsid w:val="00DE4D1E"/>
    <w:rsid w:val="00DE5240"/>
    <w:rsid w:val="00DE5583"/>
    <w:rsid w:val="00DE5692"/>
    <w:rsid w:val="00DE6954"/>
    <w:rsid w:val="00DE6D2B"/>
    <w:rsid w:val="00DE6DF7"/>
    <w:rsid w:val="00DE6F80"/>
    <w:rsid w:val="00DE6FA4"/>
    <w:rsid w:val="00DE7375"/>
    <w:rsid w:val="00DE75A2"/>
    <w:rsid w:val="00DE79A2"/>
    <w:rsid w:val="00DE7B9C"/>
    <w:rsid w:val="00DE7DEA"/>
    <w:rsid w:val="00DF0B5C"/>
    <w:rsid w:val="00DF0D27"/>
    <w:rsid w:val="00DF17BE"/>
    <w:rsid w:val="00DF17F5"/>
    <w:rsid w:val="00DF2111"/>
    <w:rsid w:val="00DF2213"/>
    <w:rsid w:val="00DF2238"/>
    <w:rsid w:val="00DF246B"/>
    <w:rsid w:val="00DF2798"/>
    <w:rsid w:val="00DF296C"/>
    <w:rsid w:val="00DF2B93"/>
    <w:rsid w:val="00DF2CC4"/>
    <w:rsid w:val="00DF3087"/>
    <w:rsid w:val="00DF342C"/>
    <w:rsid w:val="00DF3BA6"/>
    <w:rsid w:val="00DF4321"/>
    <w:rsid w:val="00DF4383"/>
    <w:rsid w:val="00DF44D7"/>
    <w:rsid w:val="00DF475F"/>
    <w:rsid w:val="00DF4CEE"/>
    <w:rsid w:val="00DF4DD0"/>
    <w:rsid w:val="00DF5732"/>
    <w:rsid w:val="00DF5951"/>
    <w:rsid w:val="00DF59A8"/>
    <w:rsid w:val="00DF5D6C"/>
    <w:rsid w:val="00DF615C"/>
    <w:rsid w:val="00DF6829"/>
    <w:rsid w:val="00DF6BEC"/>
    <w:rsid w:val="00DF6CA9"/>
    <w:rsid w:val="00DF6EC3"/>
    <w:rsid w:val="00DF7080"/>
    <w:rsid w:val="00E0013C"/>
    <w:rsid w:val="00E00BC8"/>
    <w:rsid w:val="00E00BFD"/>
    <w:rsid w:val="00E00EF8"/>
    <w:rsid w:val="00E01854"/>
    <w:rsid w:val="00E019FF"/>
    <w:rsid w:val="00E01B1F"/>
    <w:rsid w:val="00E01D6B"/>
    <w:rsid w:val="00E01E6B"/>
    <w:rsid w:val="00E0269D"/>
    <w:rsid w:val="00E02A18"/>
    <w:rsid w:val="00E02C3D"/>
    <w:rsid w:val="00E02DEC"/>
    <w:rsid w:val="00E0306E"/>
    <w:rsid w:val="00E03087"/>
    <w:rsid w:val="00E03358"/>
    <w:rsid w:val="00E03B39"/>
    <w:rsid w:val="00E03E8F"/>
    <w:rsid w:val="00E040DB"/>
    <w:rsid w:val="00E041C1"/>
    <w:rsid w:val="00E0493B"/>
    <w:rsid w:val="00E04CA2"/>
    <w:rsid w:val="00E05140"/>
    <w:rsid w:val="00E056B5"/>
    <w:rsid w:val="00E0582A"/>
    <w:rsid w:val="00E05CE8"/>
    <w:rsid w:val="00E05EE0"/>
    <w:rsid w:val="00E062F2"/>
    <w:rsid w:val="00E07C8B"/>
    <w:rsid w:val="00E07EC5"/>
    <w:rsid w:val="00E101D0"/>
    <w:rsid w:val="00E102FD"/>
    <w:rsid w:val="00E10839"/>
    <w:rsid w:val="00E1095B"/>
    <w:rsid w:val="00E10986"/>
    <w:rsid w:val="00E11474"/>
    <w:rsid w:val="00E11A3D"/>
    <w:rsid w:val="00E13456"/>
    <w:rsid w:val="00E1359D"/>
    <w:rsid w:val="00E13D0F"/>
    <w:rsid w:val="00E13FA2"/>
    <w:rsid w:val="00E1428A"/>
    <w:rsid w:val="00E14368"/>
    <w:rsid w:val="00E15605"/>
    <w:rsid w:val="00E15658"/>
    <w:rsid w:val="00E1594D"/>
    <w:rsid w:val="00E159D8"/>
    <w:rsid w:val="00E15B62"/>
    <w:rsid w:val="00E15BC9"/>
    <w:rsid w:val="00E16681"/>
    <w:rsid w:val="00E16A26"/>
    <w:rsid w:val="00E174FE"/>
    <w:rsid w:val="00E175C4"/>
    <w:rsid w:val="00E17799"/>
    <w:rsid w:val="00E17B56"/>
    <w:rsid w:val="00E200FB"/>
    <w:rsid w:val="00E2026C"/>
    <w:rsid w:val="00E2043F"/>
    <w:rsid w:val="00E20473"/>
    <w:rsid w:val="00E208F6"/>
    <w:rsid w:val="00E20921"/>
    <w:rsid w:val="00E209AE"/>
    <w:rsid w:val="00E20AB3"/>
    <w:rsid w:val="00E20B20"/>
    <w:rsid w:val="00E21A17"/>
    <w:rsid w:val="00E21C7F"/>
    <w:rsid w:val="00E228C0"/>
    <w:rsid w:val="00E2309A"/>
    <w:rsid w:val="00E231B0"/>
    <w:rsid w:val="00E234D5"/>
    <w:rsid w:val="00E236B7"/>
    <w:rsid w:val="00E23C6E"/>
    <w:rsid w:val="00E23FD4"/>
    <w:rsid w:val="00E2437D"/>
    <w:rsid w:val="00E24436"/>
    <w:rsid w:val="00E244A3"/>
    <w:rsid w:val="00E24812"/>
    <w:rsid w:val="00E26AA6"/>
    <w:rsid w:val="00E26B15"/>
    <w:rsid w:val="00E2701B"/>
    <w:rsid w:val="00E274DB"/>
    <w:rsid w:val="00E2761F"/>
    <w:rsid w:val="00E2787D"/>
    <w:rsid w:val="00E30103"/>
    <w:rsid w:val="00E30320"/>
    <w:rsid w:val="00E30CAA"/>
    <w:rsid w:val="00E31D38"/>
    <w:rsid w:val="00E32344"/>
    <w:rsid w:val="00E3251E"/>
    <w:rsid w:val="00E327B2"/>
    <w:rsid w:val="00E32B53"/>
    <w:rsid w:val="00E336ED"/>
    <w:rsid w:val="00E33992"/>
    <w:rsid w:val="00E33F6F"/>
    <w:rsid w:val="00E33FFB"/>
    <w:rsid w:val="00E34246"/>
    <w:rsid w:val="00E34603"/>
    <w:rsid w:val="00E34682"/>
    <w:rsid w:val="00E3486C"/>
    <w:rsid w:val="00E34937"/>
    <w:rsid w:val="00E3496F"/>
    <w:rsid w:val="00E34C95"/>
    <w:rsid w:val="00E35B87"/>
    <w:rsid w:val="00E35F34"/>
    <w:rsid w:val="00E364AB"/>
    <w:rsid w:val="00E36795"/>
    <w:rsid w:val="00E36846"/>
    <w:rsid w:val="00E36937"/>
    <w:rsid w:val="00E36BE8"/>
    <w:rsid w:val="00E3707A"/>
    <w:rsid w:val="00E37276"/>
    <w:rsid w:val="00E37B22"/>
    <w:rsid w:val="00E4047A"/>
    <w:rsid w:val="00E405E5"/>
    <w:rsid w:val="00E40790"/>
    <w:rsid w:val="00E40D20"/>
    <w:rsid w:val="00E412A2"/>
    <w:rsid w:val="00E41CBF"/>
    <w:rsid w:val="00E4203F"/>
    <w:rsid w:val="00E42297"/>
    <w:rsid w:val="00E4247E"/>
    <w:rsid w:val="00E42B15"/>
    <w:rsid w:val="00E42B90"/>
    <w:rsid w:val="00E42F25"/>
    <w:rsid w:val="00E43302"/>
    <w:rsid w:val="00E43849"/>
    <w:rsid w:val="00E43B89"/>
    <w:rsid w:val="00E43CD0"/>
    <w:rsid w:val="00E43FEA"/>
    <w:rsid w:val="00E44CC1"/>
    <w:rsid w:val="00E44DFD"/>
    <w:rsid w:val="00E452BC"/>
    <w:rsid w:val="00E456E5"/>
    <w:rsid w:val="00E4575D"/>
    <w:rsid w:val="00E45F47"/>
    <w:rsid w:val="00E46728"/>
    <w:rsid w:val="00E47809"/>
    <w:rsid w:val="00E47A85"/>
    <w:rsid w:val="00E47B80"/>
    <w:rsid w:val="00E500B5"/>
    <w:rsid w:val="00E509C7"/>
    <w:rsid w:val="00E50C7B"/>
    <w:rsid w:val="00E50C7F"/>
    <w:rsid w:val="00E50D2F"/>
    <w:rsid w:val="00E50F81"/>
    <w:rsid w:val="00E50FDF"/>
    <w:rsid w:val="00E5104D"/>
    <w:rsid w:val="00E5134D"/>
    <w:rsid w:val="00E5167A"/>
    <w:rsid w:val="00E5169E"/>
    <w:rsid w:val="00E51A4E"/>
    <w:rsid w:val="00E51DB0"/>
    <w:rsid w:val="00E5234B"/>
    <w:rsid w:val="00E523EE"/>
    <w:rsid w:val="00E52524"/>
    <w:rsid w:val="00E5258A"/>
    <w:rsid w:val="00E532B9"/>
    <w:rsid w:val="00E53335"/>
    <w:rsid w:val="00E5347F"/>
    <w:rsid w:val="00E5391D"/>
    <w:rsid w:val="00E53AD5"/>
    <w:rsid w:val="00E53E82"/>
    <w:rsid w:val="00E544CA"/>
    <w:rsid w:val="00E54959"/>
    <w:rsid w:val="00E54AE5"/>
    <w:rsid w:val="00E55036"/>
    <w:rsid w:val="00E5547E"/>
    <w:rsid w:val="00E555E2"/>
    <w:rsid w:val="00E55C80"/>
    <w:rsid w:val="00E56095"/>
    <w:rsid w:val="00E57604"/>
    <w:rsid w:val="00E57B59"/>
    <w:rsid w:val="00E57B9A"/>
    <w:rsid w:val="00E57BAA"/>
    <w:rsid w:val="00E57E32"/>
    <w:rsid w:val="00E60251"/>
    <w:rsid w:val="00E607A0"/>
    <w:rsid w:val="00E61307"/>
    <w:rsid w:val="00E6150B"/>
    <w:rsid w:val="00E61D3D"/>
    <w:rsid w:val="00E61FF8"/>
    <w:rsid w:val="00E620DA"/>
    <w:rsid w:val="00E622A8"/>
    <w:rsid w:val="00E62AE6"/>
    <w:rsid w:val="00E62F4B"/>
    <w:rsid w:val="00E630F5"/>
    <w:rsid w:val="00E63655"/>
    <w:rsid w:val="00E638CA"/>
    <w:rsid w:val="00E63FC4"/>
    <w:rsid w:val="00E64603"/>
    <w:rsid w:val="00E64FAB"/>
    <w:rsid w:val="00E65166"/>
    <w:rsid w:val="00E653E9"/>
    <w:rsid w:val="00E6550F"/>
    <w:rsid w:val="00E65B5F"/>
    <w:rsid w:val="00E65D62"/>
    <w:rsid w:val="00E65E5B"/>
    <w:rsid w:val="00E6611F"/>
    <w:rsid w:val="00E6702B"/>
    <w:rsid w:val="00E672A0"/>
    <w:rsid w:val="00E672FF"/>
    <w:rsid w:val="00E67592"/>
    <w:rsid w:val="00E675D0"/>
    <w:rsid w:val="00E67C3B"/>
    <w:rsid w:val="00E70386"/>
    <w:rsid w:val="00E704F6"/>
    <w:rsid w:val="00E707C1"/>
    <w:rsid w:val="00E70B95"/>
    <w:rsid w:val="00E7160A"/>
    <w:rsid w:val="00E71FB7"/>
    <w:rsid w:val="00E7247B"/>
    <w:rsid w:val="00E726C2"/>
    <w:rsid w:val="00E72C01"/>
    <w:rsid w:val="00E72C26"/>
    <w:rsid w:val="00E72D6B"/>
    <w:rsid w:val="00E72DBE"/>
    <w:rsid w:val="00E730EA"/>
    <w:rsid w:val="00E73536"/>
    <w:rsid w:val="00E73C43"/>
    <w:rsid w:val="00E7413B"/>
    <w:rsid w:val="00E742A3"/>
    <w:rsid w:val="00E74505"/>
    <w:rsid w:val="00E74846"/>
    <w:rsid w:val="00E74C83"/>
    <w:rsid w:val="00E74E07"/>
    <w:rsid w:val="00E75015"/>
    <w:rsid w:val="00E7529E"/>
    <w:rsid w:val="00E75334"/>
    <w:rsid w:val="00E75B9C"/>
    <w:rsid w:val="00E75C25"/>
    <w:rsid w:val="00E75CCC"/>
    <w:rsid w:val="00E766B8"/>
    <w:rsid w:val="00E767D7"/>
    <w:rsid w:val="00E7691C"/>
    <w:rsid w:val="00E774B9"/>
    <w:rsid w:val="00E7757E"/>
    <w:rsid w:val="00E77B6C"/>
    <w:rsid w:val="00E80036"/>
    <w:rsid w:val="00E80307"/>
    <w:rsid w:val="00E80A1B"/>
    <w:rsid w:val="00E80A54"/>
    <w:rsid w:val="00E80E0C"/>
    <w:rsid w:val="00E81172"/>
    <w:rsid w:val="00E81A9B"/>
    <w:rsid w:val="00E81C8B"/>
    <w:rsid w:val="00E8296A"/>
    <w:rsid w:val="00E83027"/>
    <w:rsid w:val="00E83B38"/>
    <w:rsid w:val="00E84600"/>
    <w:rsid w:val="00E8476D"/>
    <w:rsid w:val="00E84BC0"/>
    <w:rsid w:val="00E8549C"/>
    <w:rsid w:val="00E8572B"/>
    <w:rsid w:val="00E85773"/>
    <w:rsid w:val="00E85C19"/>
    <w:rsid w:val="00E85E9D"/>
    <w:rsid w:val="00E8606D"/>
    <w:rsid w:val="00E86167"/>
    <w:rsid w:val="00E861CA"/>
    <w:rsid w:val="00E86F45"/>
    <w:rsid w:val="00E87095"/>
    <w:rsid w:val="00E8709B"/>
    <w:rsid w:val="00E875E6"/>
    <w:rsid w:val="00E878B5"/>
    <w:rsid w:val="00E87B82"/>
    <w:rsid w:val="00E87C39"/>
    <w:rsid w:val="00E87D66"/>
    <w:rsid w:val="00E9017E"/>
    <w:rsid w:val="00E90D39"/>
    <w:rsid w:val="00E90D9B"/>
    <w:rsid w:val="00E91158"/>
    <w:rsid w:val="00E9128C"/>
    <w:rsid w:val="00E913DF"/>
    <w:rsid w:val="00E916CD"/>
    <w:rsid w:val="00E91AB1"/>
    <w:rsid w:val="00E92290"/>
    <w:rsid w:val="00E922B2"/>
    <w:rsid w:val="00E92310"/>
    <w:rsid w:val="00E9246D"/>
    <w:rsid w:val="00E92DC9"/>
    <w:rsid w:val="00E93FA6"/>
    <w:rsid w:val="00E94598"/>
    <w:rsid w:val="00E94761"/>
    <w:rsid w:val="00E947DB"/>
    <w:rsid w:val="00E95153"/>
    <w:rsid w:val="00E95493"/>
    <w:rsid w:val="00E955E0"/>
    <w:rsid w:val="00E959CC"/>
    <w:rsid w:val="00E95C56"/>
    <w:rsid w:val="00E95CD7"/>
    <w:rsid w:val="00E967F8"/>
    <w:rsid w:val="00E96DF1"/>
    <w:rsid w:val="00E97369"/>
    <w:rsid w:val="00E97AB4"/>
    <w:rsid w:val="00EA04A5"/>
    <w:rsid w:val="00EA149B"/>
    <w:rsid w:val="00EA1951"/>
    <w:rsid w:val="00EA217E"/>
    <w:rsid w:val="00EA22D5"/>
    <w:rsid w:val="00EA2EE4"/>
    <w:rsid w:val="00EA355D"/>
    <w:rsid w:val="00EA3950"/>
    <w:rsid w:val="00EA3A7F"/>
    <w:rsid w:val="00EA3EBC"/>
    <w:rsid w:val="00EA418D"/>
    <w:rsid w:val="00EA439D"/>
    <w:rsid w:val="00EA467B"/>
    <w:rsid w:val="00EA4968"/>
    <w:rsid w:val="00EA4C1B"/>
    <w:rsid w:val="00EA4C60"/>
    <w:rsid w:val="00EA570D"/>
    <w:rsid w:val="00EA5C6F"/>
    <w:rsid w:val="00EA6139"/>
    <w:rsid w:val="00EA67FA"/>
    <w:rsid w:val="00EA74CA"/>
    <w:rsid w:val="00EA7A97"/>
    <w:rsid w:val="00EA7F72"/>
    <w:rsid w:val="00EB0365"/>
    <w:rsid w:val="00EB0820"/>
    <w:rsid w:val="00EB138B"/>
    <w:rsid w:val="00EB1A88"/>
    <w:rsid w:val="00EB1ABC"/>
    <w:rsid w:val="00EB1CE1"/>
    <w:rsid w:val="00EB1E88"/>
    <w:rsid w:val="00EB21C6"/>
    <w:rsid w:val="00EB250A"/>
    <w:rsid w:val="00EB25BB"/>
    <w:rsid w:val="00EB27DF"/>
    <w:rsid w:val="00EB27E8"/>
    <w:rsid w:val="00EB2F8D"/>
    <w:rsid w:val="00EB305D"/>
    <w:rsid w:val="00EB30CD"/>
    <w:rsid w:val="00EB31D2"/>
    <w:rsid w:val="00EB3705"/>
    <w:rsid w:val="00EB39E6"/>
    <w:rsid w:val="00EB39EA"/>
    <w:rsid w:val="00EB3EB3"/>
    <w:rsid w:val="00EB3F7F"/>
    <w:rsid w:val="00EB3FFB"/>
    <w:rsid w:val="00EB420F"/>
    <w:rsid w:val="00EB4A99"/>
    <w:rsid w:val="00EB4ABD"/>
    <w:rsid w:val="00EB4F72"/>
    <w:rsid w:val="00EB5722"/>
    <w:rsid w:val="00EB5A7A"/>
    <w:rsid w:val="00EB5DBA"/>
    <w:rsid w:val="00EB5F73"/>
    <w:rsid w:val="00EB602C"/>
    <w:rsid w:val="00EB62EE"/>
    <w:rsid w:val="00EB643A"/>
    <w:rsid w:val="00EB709F"/>
    <w:rsid w:val="00EB7330"/>
    <w:rsid w:val="00EB7C26"/>
    <w:rsid w:val="00EC0114"/>
    <w:rsid w:val="00EC0DA4"/>
    <w:rsid w:val="00EC148D"/>
    <w:rsid w:val="00EC1923"/>
    <w:rsid w:val="00EC1B00"/>
    <w:rsid w:val="00EC1C11"/>
    <w:rsid w:val="00EC1F86"/>
    <w:rsid w:val="00EC2530"/>
    <w:rsid w:val="00EC27B3"/>
    <w:rsid w:val="00EC2B70"/>
    <w:rsid w:val="00EC2E3F"/>
    <w:rsid w:val="00EC2F60"/>
    <w:rsid w:val="00EC3022"/>
    <w:rsid w:val="00EC38B4"/>
    <w:rsid w:val="00EC3BC5"/>
    <w:rsid w:val="00EC3E4B"/>
    <w:rsid w:val="00EC3F7A"/>
    <w:rsid w:val="00EC4AF4"/>
    <w:rsid w:val="00EC4CF6"/>
    <w:rsid w:val="00EC50A0"/>
    <w:rsid w:val="00EC51F0"/>
    <w:rsid w:val="00EC5591"/>
    <w:rsid w:val="00EC583C"/>
    <w:rsid w:val="00EC5845"/>
    <w:rsid w:val="00EC60DF"/>
    <w:rsid w:val="00EC6226"/>
    <w:rsid w:val="00EC63CF"/>
    <w:rsid w:val="00EC655A"/>
    <w:rsid w:val="00EC6F36"/>
    <w:rsid w:val="00EC6F52"/>
    <w:rsid w:val="00EC7C91"/>
    <w:rsid w:val="00EC7E24"/>
    <w:rsid w:val="00ED0091"/>
    <w:rsid w:val="00ED0F1B"/>
    <w:rsid w:val="00ED125F"/>
    <w:rsid w:val="00ED23D8"/>
    <w:rsid w:val="00ED27BE"/>
    <w:rsid w:val="00ED292E"/>
    <w:rsid w:val="00ED2EC9"/>
    <w:rsid w:val="00ED317A"/>
    <w:rsid w:val="00ED3301"/>
    <w:rsid w:val="00ED3749"/>
    <w:rsid w:val="00ED3CCE"/>
    <w:rsid w:val="00ED3D90"/>
    <w:rsid w:val="00ED4382"/>
    <w:rsid w:val="00ED4A5A"/>
    <w:rsid w:val="00ED5169"/>
    <w:rsid w:val="00ED548C"/>
    <w:rsid w:val="00ED5551"/>
    <w:rsid w:val="00ED55BB"/>
    <w:rsid w:val="00ED5E81"/>
    <w:rsid w:val="00ED6517"/>
    <w:rsid w:val="00ED6807"/>
    <w:rsid w:val="00ED7BFB"/>
    <w:rsid w:val="00ED7E1A"/>
    <w:rsid w:val="00ED7E30"/>
    <w:rsid w:val="00EE00F2"/>
    <w:rsid w:val="00EE06A3"/>
    <w:rsid w:val="00EE149C"/>
    <w:rsid w:val="00EE1603"/>
    <w:rsid w:val="00EE199B"/>
    <w:rsid w:val="00EE1C7F"/>
    <w:rsid w:val="00EE1DB9"/>
    <w:rsid w:val="00EE2059"/>
    <w:rsid w:val="00EE2224"/>
    <w:rsid w:val="00EE26BE"/>
    <w:rsid w:val="00EE2EB1"/>
    <w:rsid w:val="00EE30B1"/>
    <w:rsid w:val="00EE30C5"/>
    <w:rsid w:val="00EE335F"/>
    <w:rsid w:val="00EE34C8"/>
    <w:rsid w:val="00EE3E90"/>
    <w:rsid w:val="00EE3EC6"/>
    <w:rsid w:val="00EE4068"/>
    <w:rsid w:val="00EE43C5"/>
    <w:rsid w:val="00EE507A"/>
    <w:rsid w:val="00EE5A2A"/>
    <w:rsid w:val="00EE6B97"/>
    <w:rsid w:val="00EE6CF3"/>
    <w:rsid w:val="00EE72C5"/>
    <w:rsid w:val="00EE7420"/>
    <w:rsid w:val="00EE74D3"/>
    <w:rsid w:val="00EE7A1D"/>
    <w:rsid w:val="00EE7BF1"/>
    <w:rsid w:val="00EE7C37"/>
    <w:rsid w:val="00EE7F79"/>
    <w:rsid w:val="00EF0187"/>
    <w:rsid w:val="00EF0252"/>
    <w:rsid w:val="00EF0F80"/>
    <w:rsid w:val="00EF1B22"/>
    <w:rsid w:val="00EF1B68"/>
    <w:rsid w:val="00EF1F60"/>
    <w:rsid w:val="00EF1FB9"/>
    <w:rsid w:val="00EF2189"/>
    <w:rsid w:val="00EF21E0"/>
    <w:rsid w:val="00EF2564"/>
    <w:rsid w:val="00EF3338"/>
    <w:rsid w:val="00EF35AA"/>
    <w:rsid w:val="00EF3C14"/>
    <w:rsid w:val="00EF3C71"/>
    <w:rsid w:val="00EF3EA5"/>
    <w:rsid w:val="00EF3ED3"/>
    <w:rsid w:val="00EF42DC"/>
    <w:rsid w:val="00EF4553"/>
    <w:rsid w:val="00EF5141"/>
    <w:rsid w:val="00EF570F"/>
    <w:rsid w:val="00EF575B"/>
    <w:rsid w:val="00EF64CF"/>
    <w:rsid w:val="00EF6833"/>
    <w:rsid w:val="00EF6D33"/>
    <w:rsid w:val="00EF6D6C"/>
    <w:rsid w:val="00EF7D74"/>
    <w:rsid w:val="00F0017B"/>
    <w:rsid w:val="00F01181"/>
    <w:rsid w:val="00F01245"/>
    <w:rsid w:val="00F014B5"/>
    <w:rsid w:val="00F01C48"/>
    <w:rsid w:val="00F01D24"/>
    <w:rsid w:val="00F0202C"/>
    <w:rsid w:val="00F02470"/>
    <w:rsid w:val="00F02BC5"/>
    <w:rsid w:val="00F033BC"/>
    <w:rsid w:val="00F03631"/>
    <w:rsid w:val="00F038F4"/>
    <w:rsid w:val="00F039D7"/>
    <w:rsid w:val="00F04096"/>
    <w:rsid w:val="00F05212"/>
    <w:rsid w:val="00F0538F"/>
    <w:rsid w:val="00F054BA"/>
    <w:rsid w:val="00F05C9A"/>
    <w:rsid w:val="00F06187"/>
    <w:rsid w:val="00F068CF"/>
    <w:rsid w:val="00F069EC"/>
    <w:rsid w:val="00F06C2D"/>
    <w:rsid w:val="00F06D11"/>
    <w:rsid w:val="00F07093"/>
    <w:rsid w:val="00F07389"/>
    <w:rsid w:val="00F07588"/>
    <w:rsid w:val="00F079C5"/>
    <w:rsid w:val="00F07A9E"/>
    <w:rsid w:val="00F1013F"/>
    <w:rsid w:val="00F101C7"/>
    <w:rsid w:val="00F101DA"/>
    <w:rsid w:val="00F1069B"/>
    <w:rsid w:val="00F107BE"/>
    <w:rsid w:val="00F11318"/>
    <w:rsid w:val="00F1152D"/>
    <w:rsid w:val="00F1163E"/>
    <w:rsid w:val="00F118D0"/>
    <w:rsid w:val="00F11B79"/>
    <w:rsid w:val="00F11E39"/>
    <w:rsid w:val="00F12529"/>
    <w:rsid w:val="00F13749"/>
    <w:rsid w:val="00F13B6E"/>
    <w:rsid w:val="00F13E85"/>
    <w:rsid w:val="00F1450B"/>
    <w:rsid w:val="00F146EF"/>
    <w:rsid w:val="00F14BB9"/>
    <w:rsid w:val="00F14E22"/>
    <w:rsid w:val="00F151CF"/>
    <w:rsid w:val="00F154BA"/>
    <w:rsid w:val="00F159C9"/>
    <w:rsid w:val="00F16403"/>
    <w:rsid w:val="00F16BC0"/>
    <w:rsid w:val="00F16D8F"/>
    <w:rsid w:val="00F17E81"/>
    <w:rsid w:val="00F2091B"/>
    <w:rsid w:val="00F20A01"/>
    <w:rsid w:val="00F20B53"/>
    <w:rsid w:val="00F20B80"/>
    <w:rsid w:val="00F210D2"/>
    <w:rsid w:val="00F211EE"/>
    <w:rsid w:val="00F2178A"/>
    <w:rsid w:val="00F21A01"/>
    <w:rsid w:val="00F21E08"/>
    <w:rsid w:val="00F22887"/>
    <w:rsid w:val="00F22D24"/>
    <w:rsid w:val="00F22DE2"/>
    <w:rsid w:val="00F2327B"/>
    <w:rsid w:val="00F23E49"/>
    <w:rsid w:val="00F246D6"/>
    <w:rsid w:val="00F2550C"/>
    <w:rsid w:val="00F25D5A"/>
    <w:rsid w:val="00F26195"/>
    <w:rsid w:val="00F262B2"/>
    <w:rsid w:val="00F26574"/>
    <w:rsid w:val="00F266A9"/>
    <w:rsid w:val="00F2695C"/>
    <w:rsid w:val="00F27198"/>
    <w:rsid w:val="00F27E55"/>
    <w:rsid w:val="00F27FC5"/>
    <w:rsid w:val="00F27FFD"/>
    <w:rsid w:val="00F301B6"/>
    <w:rsid w:val="00F30621"/>
    <w:rsid w:val="00F30C6F"/>
    <w:rsid w:val="00F30E41"/>
    <w:rsid w:val="00F3108D"/>
    <w:rsid w:val="00F311A9"/>
    <w:rsid w:val="00F31BF1"/>
    <w:rsid w:val="00F31BF3"/>
    <w:rsid w:val="00F31E96"/>
    <w:rsid w:val="00F31EB8"/>
    <w:rsid w:val="00F31F74"/>
    <w:rsid w:val="00F324B7"/>
    <w:rsid w:val="00F32DED"/>
    <w:rsid w:val="00F32EB9"/>
    <w:rsid w:val="00F3309A"/>
    <w:rsid w:val="00F33602"/>
    <w:rsid w:val="00F33788"/>
    <w:rsid w:val="00F33ABB"/>
    <w:rsid w:val="00F341EB"/>
    <w:rsid w:val="00F342AB"/>
    <w:rsid w:val="00F3440F"/>
    <w:rsid w:val="00F34BD3"/>
    <w:rsid w:val="00F3502A"/>
    <w:rsid w:val="00F35557"/>
    <w:rsid w:val="00F35ABA"/>
    <w:rsid w:val="00F35D85"/>
    <w:rsid w:val="00F3685D"/>
    <w:rsid w:val="00F36998"/>
    <w:rsid w:val="00F36BC3"/>
    <w:rsid w:val="00F36FF0"/>
    <w:rsid w:val="00F3719B"/>
    <w:rsid w:val="00F373C2"/>
    <w:rsid w:val="00F375B9"/>
    <w:rsid w:val="00F37825"/>
    <w:rsid w:val="00F3796B"/>
    <w:rsid w:val="00F37D68"/>
    <w:rsid w:val="00F37E8D"/>
    <w:rsid w:val="00F401F0"/>
    <w:rsid w:val="00F404DD"/>
    <w:rsid w:val="00F41334"/>
    <w:rsid w:val="00F4154D"/>
    <w:rsid w:val="00F41B81"/>
    <w:rsid w:val="00F4222F"/>
    <w:rsid w:val="00F42632"/>
    <w:rsid w:val="00F427E3"/>
    <w:rsid w:val="00F42E6D"/>
    <w:rsid w:val="00F436C5"/>
    <w:rsid w:val="00F44214"/>
    <w:rsid w:val="00F4448F"/>
    <w:rsid w:val="00F44C50"/>
    <w:rsid w:val="00F44D2C"/>
    <w:rsid w:val="00F44DC7"/>
    <w:rsid w:val="00F44FCE"/>
    <w:rsid w:val="00F44FED"/>
    <w:rsid w:val="00F45628"/>
    <w:rsid w:val="00F45ABF"/>
    <w:rsid w:val="00F46031"/>
    <w:rsid w:val="00F46664"/>
    <w:rsid w:val="00F46CA8"/>
    <w:rsid w:val="00F46E0D"/>
    <w:rsid w:val="00F47018"/>
    <w:rsid w:val="00F47618"/>
    <w:rsid w:val="00F47728"/>
    <w:rsid w:val="00F47F5D"/>
    <w:rsid w:val="00F47FBC"/>
    <w:rsid w:val="00F50311"/>
    <w:rsid w:val="00F509EA"/>
    <w:rsid w:val="00F50AF8"/>
    <w:rsid w:val="00F51039"/>
    <w:rsid w:val="00F51AF2"/>
    <w:rsid w:val="00F51D5F"/>
    <w:rsid w:val="00F5220F"/>
    <w:rsid w:val="00F52469"/>
    <w:rsid w:val="00F52771"/>
    <w:rsid w:val="00F529A1"/>
    <w:rsid w:val="00F53838"/>
    <w:rsid w:val="00F542F1"/>
    <w:rsid w:val="00F545F3"/>
    <w:rsid w:val="00F54A35"/>
    <w:rsid w:val="00F554DE"/>
    <w:rsid w:val="00F557AA"/>
    <w:rsid w:val="00F55E0D"/>
    <w:rsid w:val="00F55EF8"/>
    <w:rsid w:val="00F5607F"/>
    <w:rsid w:val="00F561FF"/>
    <w:rsid w:val="00F56400"/>
    <w:rsid w:val="00F5656E"/>
    <w:rsid w:val="00F5678E"/>
    <w:rsid w:val="00F569F0"/>
    <w:rsid w:val="00F56F52"/>
    <w:rsid w:val="00F56F5A"/>
    <w:rsid w:val="00F570AA"/>
    <w:rsid w:val="00F571F6"/>
    <w:rsid w:val="00F57311"/>
    <w:rsid w:val="00F575AB"/>
    <w:rsid w:val="00F577D8"/>
    <w:rsid w:val="00F57A85"/>
    <w:rsid w:val="00F57BC0"/>
    <w:rsid w:val="00F605B4"/>
    <w:rsid w:val="00F609FF"/>
    <w:rsid w:val="00F60C03"/>
    <w:rsid w:val="00F61084"/>
    <w:rsid w:val="00F61286"/>
    <w:rsid w:val="00F61A5B"/>
    <w:rsid w:val="00F624EB"/>
    <w:rsid w:val="00F627C3"/>
    <w:rsid w:val="00F62BA9"/>
    <w:rsid w:val="00F62D11"/>
    <w:rsid w:val="00F63591"/>
    <w:rsid w:val="00F63BE4"/>
    <w:rsid w:val="00F64C36"/>
    <w:rsid w:val="00F64F4B"/>
    <w:rsid w:val="00F655C9"/>
    <w:rsid w:val="00F65AE8"/>
    <w:rsid w:val="00F65B11"/>
    <w:rsid w:val="00F65D65"/>
    <w:rsid w:val="00F65E6C"/>
    <w:rsid w:val="00F65F1B"/>
    <w:rsid w:val="00F660C4"/>
    <w:rsid w:val="00F6611F"/>
    <w:rsid w:val="00F6613E"/>
    <w:rsid w:val="00F665D6"/>
    <w:rsid w:val="00F674F1"/>
    <w:rsid w:val="00F67C50"/>
    <w:rsid w:val="00F67C6A"/>
    <w:rsid w:val="00F67E1B"/>
    <w:rsid w:val="00F70422"/>
    <w:rsid w:val="00F707F4"/>
    <w:rsid w:val="00F70BB2"/>
    <w:rsid w:val="00F70CE1"/>
    <w:rsid w:val="00F70ED4"/>
    <w:rsid w:val="00F70FBC"/>
    <w:rsid w:val="00F70FC8"/>
    <w:rsid w:val="00F711E8"/>
    <w:rsid w:val="00F71247"/>
    <w:rsid w:val="00F71A65"/>
    <w:rsid w:val="00F71D6A"/>
    <w:rsid w:val="00F71E75"/>
    <w:rsid w:val="00F724F8"/>
    <w:rsid w:val="00F72608"/>
    <w:rsid w:val="00F728B2"/>
    <w:rsid w:val="00F72DB1"/>
    <w:rsid w:val="00F73085"/>
    <w:rsid w:val="00F73109"/>
    <w:rsid w:val="00F733C5"/>
    <w:rsid w:val="00F73BB2"/>
    <w:rsid w:val="00F73C03"/>
    <w:rsid w:val="00F73C4E"/>
    <w:rsid w:val="00F743D4"/>
    <w:rsid w:val="00F74740"/>
    <w:rsid w:val="00F74BA2"/>
    <w:rsid w:val="00F74F8D"/>
    <w:rsid w:val="00F74FE4"/>
    <w:rsid w:val="00F751FF"/>
    <w:rsid w:val="00F7534D"/>
    <w:rsid w:val="00F7544E"/>
    <w:rsid w:val="00F75921"/>
    <w:rsid w:val="00F75B2A"/>
    <w:rsid w:val="00F75DF1"/>
    <w:rsid w:val="00F75E15"/>
    <w:rsid w:val="00F76B5F"/>
    <w:rsid w:val="00F76C94"/>
    <w:rsid w:val="00F76F7A"/>
    <w:rsid w:val="00F7711A"/>
    <w:rsid w:val="00F773DC"/>
    <w:rsid w:val="00F77ACE"/>
    <w:rsid w:val="00F77E72"/>
    <w:rsid w:val="00F77F7B"/>
    <w:rsid w:val="00F8011A"/>
    <w:rsid w:val="00F80FEE"/>
    <w:rsid w:val="00F822D7"/>
    <w:rsid w:val="00F8244C"/>
    <w:rsid w:val="00F829D7"/>
    <w:rsid w:val="00F833CB"/>
    <w:rsid w:val="00F83999"/>
    <w:rsid w:val="00F84283"/>
    <w:rsid w:val="00F85574"/>
    <w:rsid w:val="00F85CFD"/>
    <w:rsid w:val="00F868C5"/>
    <w:rsid w:val="00F86981"/>
    <w:rsid w:val="00F86A44"/>
    <w:rsid w:val="00F86AE6"/>
    <w:rsid w:val="00F86B19"/>
    <w:rsid w:val="00F86CED"/>
    <w:rsid w:val="00F86EF9"/>
    <w:rsid w:val="00F872E8"/>
    <w:rsid w:val="00F87382"/>
    <w:rsid w:val="00F877A1"/>
    <w:rsid w:val="00F87A1B"/>
    <w:rsid w:val="00F87EA9"/>
    <w:rsid w:val="00F90763"/>
    <w:rsid w:val="00F911C6"/>
    <w:rsid w:val="00F918CD"/>
    <w:rsid w:val="00F91997"/>
    <w:rsid w:val="00F929EF"/>
    <w:rsid w:val="00F92CBF"/>
    <w:rsid w:val="00F9359B"/>
    <w:rsid w:val="00F93664"/>
    <w:rsid w:val="00F93AE8"/>
    <w:rsid w:val="00F93CC2"/>
    <w:rsid w:val="00F94CF5"/>
    <w:rsid w:val="00F952E5"/>
    <w:rsid w:val="00F953CD"/>
    <w:rsid w:val="00F959AD"/>
    <w:rsid w:val="00F95A15"/>
    <w:rsid w:val="00F95A78"/>
    <w:rsid w:val="00F963E1"/>
    <w:rsid w:val="00F967BD"/>
    <w:rsid w:val="00F97192"/>
    <w:rsid w:val="00F97276"/>
    <w:rsid w:val="00F9758B"/>
    <w:rsid w:val="00F97E16"/>
    <w:rsid w:val="00FA0991"/>
    <w:rsid w:val="00FA0B16"/>
    <w:rsid w:val="00FA0BC2"/>
    <w:rsid w:val="00FA0CA9"/>
    <w:rsid w:val="00FA0F31"/>
    <w:rsid w:val="00FA1764"/>
    <w:rsid w:val="00FA18FD"/>
    <w:rsid w:val="00FA2307"/>
    <w:rsid w:val="00FA248C"/>
    <w:rsid w:val="00FA2C10"/>
    <w:rsid w:val="00FA32F3"/>
    <w:rsid w:val="00FA35F6"/>
    <w:rsid w:val="00FA4329"/>
    <w:rsid w:val="00FA46ED"/>
    <w:rsid w:val="00FA4850"/>
    <w:rsid w:val="00FA4979"/>
    <w:rsid w:val="00FA5759"/>
    <w:rsid w:val="00FA6033"/>
    <w:rsid w:val="00FA6046"/>
    <w:rsid w:val="00FA639A"/>
    <w:rsid w:val="00FA686B"/>
    <w:rsid w:val="00FA6B05"/>
    <w:rsid w:val="00FA703E"/>
    <w:rsid w:val="00FA71C3"/>
    <w:rsid w:val="00FA73C9"/>
    <w:rsid w:val="00FA7B4D"/>
    <w:rsid w:val="00FB0163"/>
    <w:rsid w:val="00FB0466"/>
    <w:rsid w:val="00FB06B9"/>
    <w:rsid w:val="00FB1057"/>
    <w:rsid w:val="00FB11E0"/>
    <w:rsid w:val="00FB1450"/>
    <w:rsid w:val="00FB2218"/>
    <w:rsid w:val="00FB23FA"/>
    <w:rsid w:val="00FB25FB"/>
    <w:rsid w:val="00FB27A0"/>
    <w:rsid w:val="00FB2A1F"/>
    <w:rsid w:val="00FB3229"/>
    <w:rsid w:val="00FB3330"/>
    <w:rsid w:val="00FB33A3"/>
    <w:rsid w:val="00FB34EA"/>
    <w:rsid w:val="00FB37C7"/>
    <w:rsid w:val="00FB46E0"/>
    <w:rsid w:val="00FB4CDA"/>
    <w:rsid w:val="00FB4E0D"/>
    <w:rsid w:val="00FB50A0"/>
    <w:rsid w:val="00FB5345"/>
    <w:rsid w:val="00FB60BF"/>
    <w:rsid w:val="00FB6D51"/>
    <w:rsid w:val="00FB6DAA"/>
    <w:rsid w:val="00FB6EA0"/>
    <w:rsid w:val="00FB6F99"/>
    <w:rsid w:val="00FB7A98"/>
    <w:rsid w:val="00FC0624"/>
    <w:rsid w:val="00FC0A2A"/>
    <w:rsid w:val="00FC0D60"/>
    <w:rsid w:val="00FC0E12"/>
    <w:rsid w:val="00FC1230"/>
    <w:rsid w:val="00FC16C9"/>
    <w:rsid w:val="00FC2382"/>
    <w:rsid w:val="00FC26DB"/>
    <w:rsid w:val="00FC2A3E"/>
    <w:rsid w:val="00FC2D82"/>
    <w:rsid w:val="00FC2EB7"/>
    <w:rsid w:val="00FC306B"/>
    <w:rsid w:val="00FC3323"/>
    <w:rsid w:val="00FC3C31"/>
    <w:rsid w:val="00FC42EC"/>
    <w:rsid w:val="00FC4BA1"/>
    <w:rsid w:val="00FC4D60"/>
    <w:rsid w:val="00FC4FC4"/>
    <w:rsid w:val="00FC5121"/>
    <w:rsid w:val="00FC534B"/>
    <w:rsid w:val="00FC5829"/>
    <w:rsid w:val="00FC5C0C"/>
    <w:rsid w:val="00FC5C54"/>
    <w:rsid w:val="00FC5CDB"/>
    <w:rsid w:val="00FC5F66"/>
    <w:rsid w:val="00FC679A"/>
    <w:rsid w:val="00FC6B74"/>
    <w:rsid w:val="00FC7229"/>
    <w:rsid w:val="00FC7247"/>
    <w:rsid w:val="00FC72C2"/>
    <w:rsid w:val="00FC7F1A"/>
    <w:rsid w:val="00FD0EC8"/>
    <w:rsid w:val="00FD129D"/>
    <w:rsid w:val="00FD1322"/>
    <w:rsid w:val="00FD14DF"/>
    <w:rsid w:val="00FD1EC4"/>
    <w:rsid w:val="00FD234B"/>
    <w:rsid w:val="00FD2A9A"/>
    <w:rsid w:val="00FD2CFB"/>
    <w:rsid w:val="00FD34B4"/>
    <w:rsid w:val="00FD355B"/>
    <w:rsid w:val="00FD387A"/>
    <w:rsid w:val="00FD39F6"/>
    <w:rsid w:val="00FD3AC2"/>
    <w:rsid w:val="00FD45ED"/>
    <w:rsid w:val="00FD58CD"/>
    <w:rsid w:val="00FD5F55"/>
    <w:rsid w:val="00FD6B37"/>
    <w:rsid w:val="00FD75A2"/>
    <w:rsid w:val="00FE004B"/>
    <w:rsid w:val="00FE01BC"/>
    <w:rsid w:val="00FE0498"/>
    <w:rsid w:val="00FE0833"/>
    <w:rsid w:val="00FE08CA"/>
    <w:rsid w:val="00FE096B"/>
    <w:rsid w:val="00FE0A2E"/>
    <w:rsid w:val="00FE119A"/>
    <w:rsid w:val="00FE11A2"/>
    <w:rsid w:val="00FE1281"/>
    <w:rsid w:val="00FE1AC6"/>
    <w:rsid w:val="00FE1BE2"/>
    <w:rsid w:val="00FE2511"/>
    <w:rsid w:val="00FE275E"/>
    <w:rsid w:val="00FE2B41"/>
    <w:rsid w:val="00FE391A"/>
    <w:rsid w:val="00FE3ACD"/>
    <w:rsid w:val="00FE3CAC"/>
    <w:rsid w:val="00FE4762"/>
    <w:rsid w:val="00FE4E4D"/>
    <w:rsid w:val="00FE51E4"/>
    <w:rsid w:val="00FE52EB"/>
    <w:rsid w:val="00FE5610"/>
    <w:rsid w:val="00FE5AAA"/>
    <w:rsid w:val="00FE5AEC"/>
    <w:rsid w:val="00FE5FDF"/>
    <w:rsid w:val="00FE65C1"/>
    <w:rsid w:val="00FE6828"/>
    <w:rsid w:val="00FE6D59"/>
    <w:rsid w:val="00FF07E4"/>
    <w:rsid w:val="00FF0977"/>
    <w:rsid w:val="00FF1195"/>
    <w:rsid w:val="00FF21F1"/>
    <w:rsid w:val="00FF2211"/>
    <w:rsid w:val="00FF24BC"/>
    <w:rsid w:val="00FF25F7"/>
    <w:rsid w:val="00FF2ECC"/>
    <w:rsid w:val="00FF34D6"/>
    <w:rsid w:val="00FF362D"/>
    <w:rsid w:val="00FF3E00"/>
    <w:rsid w:val="00FF41CA"/>
    <w:rsid w:val="00FF41E2"/>
    <w:rsid w:val="00FF4546"/>
    <w:rsid w:val="00FF483F"/>
    <w:rsid w:val="00FF5610"/>
    <w:rsid w:val="00FF5F71"/>
    <w:rsid w:val="00FF61E3"/>
    <w:rsid w:val="00FF6493"/>
    <w:rsid w:val="00FF67DA"/>
    <w:rsid w:val="00FF6B4E"/>
    <w:rsid w:val="00FF762A"/>
    <w:rsid w:val="00FF781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8AE7"/>
  <w15:chartTrackingRefBased/>
  <w15:docId w15:val="{C2583820-4622-4343-8B9C-20A8B44A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5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501"/>
  </w:style>
  <w:style w:type="paragraph" w:styleId="Footer">
    <w:name w:val="footer"/>
    <w:basedOn w:val="Normal"/>
    <w:link w:val="FooterChar"/>
    <w:uiPriority w:val="99"/>
    <w:unhideWhenUsed/>
    <w:rsid w:val="008A25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501"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table" w:styleId="TableGrid">
    <w:name w:val="Table Grid"/>
    <w:basedOn w:val="TableNormal"/>
    <w:uiPriority w:val="39"/>
    <w:rsid w:val="00634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E3A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3A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E3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2E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E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E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61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537684"/>
  </w:style>
  <w:style w:type="character" w:styleId="Hyperlink">
    <w:name w:val="Hyperlink"/>
    <w:basedOn w:val="DefaultParagraphFont"/>
    <w:uiPriority w:val="99"/>
    <w:semiHidden/>
    <w:unhideWhenUsed/>
    <w:rsid w:val="00537684"/>
    <w:rPr>
      <w:color w:val="0000FF"/>
      <w:u w:val="single"/>
    </w:rPr>
  </w:style>
  <w:style w:type="character" w:customStyle="1" w:styleId="highwire-citation-author">
    <w:name w:val="highwire-citation-author"/>
    <w:basedOn w:val="DefaultParagraphFont"/>
    <w:rsid w:val="007E2EA0"/>
  </w:style>
  <w:style w:type="character" w:customStyle="1" w:styleId="highwire-cite-metadata-journal">
    <w:name w:val="highwire-cite-metadata-journal"/>
    <w:basedOn w:val="DefaultParagraphFont"/>
    <w:rsid w:val="007E2EA0"/>
  </w:style>
  <w:style w:type="character" w:customStyle="1" w:styleId="highwire-cite-metadata-coverdate">
    <w:name w:val="highwire-cite-metadata-coverdate"/>
    <w:basedOn w:val="DefaultParagraphFont"/>
    <w:rsid w:val="007E2EA0"/>
  </w:style>
  <w:style w:type="character" w:customStyle="1" w:styleId="highwire-cite-metadata-pages">
    <w:name w:val="highwire-cite-metadata-pages"/>
    <w:basedOn w:val="DefaultParagraphFont"/>
    <w:rsid w:val="007E2EA0"/>
  </w:style>
  <w:style w:type="character" w:customStyle="1" w:styleId="highwire-cite-metadata-doi">
    <w:name w:val="highwire-cite-metadata-doi"/>
    <w:basedOn w:val="DefaultParagraphFont"/>
    <w:rsid w:val="007E2EA0"/>
  </w:style>
  <w:style w:type="character" w:customStyle="1" w:styleId="Heading3Char">
    <w:name w:val="Heading 3 Char"/>
    <w:basedOn w:val="DefaultParagraphFont"/>
    <w:link w:val="Heading3"/>
    <w:uiPriority w:val="9"/>
    <w:semiHidden/>
    <w:rsid w:val="00055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4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3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33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25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833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srn.com/abstract=3883370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707521288345742E-2"/>
          <c:y val="0.11925841788113895"/>
          <c:w val="0.89738297644921083"/>
          <c:h val="0.711975706101647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'[PublicFunds_2021_update_with_new_funds copy.xlsx]Public_Funds 2021'!$C$33</c:f>
              <c:strCache>
                <c:ptCount val="1"/>
                <c:pt idx="0">
                  <c:v>Excess Returns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'[PublicFunds_2021_update_with_new_funds copy.xlsx]Public_Funds 2021'!$A$34:$A$46</c:f>
              <c:numCache>
                <c:formatCode>General</c:formatCode>
                <c:ptCount val="13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  <c:pt idx="9">
                  <c:v>2018</c:v>
                </c:pt>
                <c:pt idx="10">
                  <c:v>2019</c:v>
                </c:pt>
                <c:pt idx="11">
                  <c:v>2020</c:v>
                </c:pt>
                <c:pt idx="12">
                  <c:v>2021</c:v>
                </c:pt>
              </c:numCache>
            </c:numRef>
          </c:cat>
          <c:val>
            <c:numRef>
              <c:f>'[PublicFunds_2021_update_with_new_funds copy.xlsx]Public_Funds 2021'!$C$34:$C$46</c:f>
              <c:numCache>
                <c:formatCode>0.0%</c:formatCode>
                <c:ptCount val="13"/>
                <c:pt idx="0">
                  <c:v>-2.2339259418178742E-2</c:v>
                </c:pt>
                <c:pt idx="1">
                  <c:v>5.958825500923276E-3</c:v>
                </c:pt>
                <c:pt idx="2">
                  <c:v>-1.1279707177862752E-2</c:v>
                </c:pt>
                <c:pt idx="3">
                  <c:v>-6.9446442368181899E-3</c:v>
                </c:pt>
                <c:pt idx="4">
                  <c:v>-1.8575004223174596E-2</c:v>
                </c:pt>
                <c:pt idx="5">
                  <c:v>-1.3848349023581896E-2</c:v>
                </c:pt>
                <c:pt idx="6">
                  <c:v>-8.8316402656850451E-3</c:v>
                </c:pt>
                <c:pt idx="7">
                  <c:v>-4.4961314025905186E-3</c:v>
                </c:pt>
                <c:pt idx="8">
                  <c:v>-9.2311291787236238E-3</c:v>
                </c:pt>
                <c:pt idx="9">
                  <c:v>-3.6314726204986353E-3</c:v>
                </c:pt>
                <c:pt idx="10">
                  <c:v>-1.0305929411404111E-2</c:v>
                </c:pt>
                <c:pt idx="11">
                  <c:v>-3.1031448341476784E-2</c:v>
                </c:pt>
                <c:pt idx="12">
                  <c:v>-2.329445394740437E-2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A-A74E-BDEA-65BD50809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1667872"/>
        <c:axId val="20954639"/>
      </c:barChart>
      <c:lineChart>
        <c:grouping val="standard"/>
        <c:varyColors val="0"/>
        <c:ser>
          <c:idx val="1"/>
          <c:order val="1"/>
          <c:tx>
            <c:v>Average</c:v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'[PublicFunds_2021_update_with_new_funds copy.xlsx]Public_Funds 2021'!$A$34:$A$46</c:f>
              <c:numCache>
                <c:formatCode>General</c:formatCode>
                <c:ptCount val="13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  <c:pt idx="9">
                  <c:v>2018</c:v>
                </c:pt>
                <c:pt idx="10">
                  <c:v>2019</c:v>
                </c:pt>
                <c:pt idx="11">
                  <c:v>2020</c:v>
                </c:pt>
                <c:pt idx="12">
                  <c:v>2021</c:v>
                </c:pt>
              </c:numCache>
            </c:numRef>
          </c:cat>
          <c:val>
            <c:numRef>
              <c:f>'[PublicFunds_2021_update_with_new_funds copy.xlsx]Public_Funds 2021'!$D$34:$D$46</c:f>
              <c:numCache>
                <c:formatCode>0.0%</c:formatCode>
                <c:ptCount val="13"/>
                <c:pt idx="0">
                  <c:v>-1.2142334134344308E-2</c:v>
                </c:pt>
                <c:pt idx="1">
                  <c:v>-1.2142334134344308E-2</c:v>
                </c:pt>
                <c:pt idx="2">
                  <c:v>-1.2142334134344308E-2</c:v>
                </c:pt>
                <c:pt idx="3">
                  <c:v>-1.2142334134344308E-2</c:v>
                </c:pt>
                <c:pt idx="4">
                  <c:v>-1.2142334134344308E-2</c:v>
                </c:pt>
                <c:pt idx="5">
                  <c:v>-1.2142334134344308E-2</c:v>
                </c:pt>
                <c:pt idx="6">
                  <c:v>-1.2142334134344308E-2</c:v>
                </c:pt>
                <c:pt idx="7">
                  <c:v>-1.2142334134344308E-2</c:v>
                </c:pt>
                <c:pt idx="8">
                  <c:v>-1.2142334134344308E-2</c:v>
                </c:pt>
                <c:pt idx="9">
                  <c:v>-1.2142334134344308E-2</c:v>
                </c:pt>
                <c:pt idx="10">
                  <c:v>-1.2142334134344308E-2</c:v>
                </c:pt>
                <c:pt idx="11">
                  <c:v>-1.2142334134344308E-2</c:v>
                </c:pt>
                <c:pt idx="12">
                  <c:v>-1.2142334134344308E-2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5A-A74E-BDEA-65BD50809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1667872"/>
        <c:axId val="20954639"/>
      </c:lineChart>
      <c:catAx>
        <c:axId val="2141667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Fiscal Year Ending</a:t>
                </a:r>
              </a:p>
            </c:rich>
          </c:tx>
          <c:layout>
            <c:manualLayout>
              <c:xMode val="edge"/>
              <c:yMode val="edge"/>
              <c:x val="0.44362062208287312"/>
              <c:y val="0.91105121639746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954639"/>
        <c:crosses val="autoZero"/>
        <c:auto val="1"/>
        <c:lblAlgn val="ctr"/>
        <c:lblOffset val="100"/>
        <c:noMultiLvlLbl val="0"/>
      </c:catAx>
      <c:valAx>
        <c:axId val="20954639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4166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 b="0" i="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0360384751333"/>
          <c:y val="9.3667546174142483E-2"/>
          <c:w val="0.84474997931848772"/>
          <c:h val="0.7828188560862610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1919169129646757E-2"/>
                  <c:y val="-0.343621216213408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'[PublicFunds_2021_update_with_new_funds copy.xlsx]Regression'!$D$5:$D$63</c:f>
              <c:numCache>
                <c:formatCode>0.0%</c:formatCode>
                <c:ptCount val="59"/>
                <c:pt idx="0">
                  <c:v>0.1638</c:v>
                </c:pt>
                <c:pt idx="1">
                  <c:v>0.40300000000000002</c:v>
                </c:pt>
                <c:pt idx="2">
                  <c:v>0.30099999999999999</c:v>
                </c:pt>
                <c:pt idx="3">
                  <c:v>0</c:v>
                </c:pt>
                <c:pt idx="4">
                  <c:v>0.17194999999999999</c:v>
                </c:pt>
                <c:pt idx="5">
                  <c:v>0.28499999999999998</c:v>
                </c:pt>
                <c:pt idx="6">
                  <c:v>0.26900000000000002</c:v>
                </c:pt>
                <c:pt idx="7">
                  <c:v>0.157</c:v>
                </c:pt>
                <c:pt idx="8">
                  <c:v>0.17299999999999999</c:v>
                </c:pt>
                <c:pt idx="9">
                  <c:v>0.21800000000000003</c:v>
                </c:pt>
                <c:pt idx="10">
                  <c:v>0.14699999999999999</c:v>
                </c:pt>
                <c:pt idx="11">
                  <c:v>0.28890000000000005</c:v>
                </c:pt>
                <c:pt idx="12">
                  <c:v>0.19230000000000003</c:v>
                </c:pt>
                <c:pt idx="13">
                  <c:v>0.27200000000000002</c:v>
                </c:pt>
                <c:pt idx="14">
                  <c:v>0.39454</c:v>
                </c:pt>
                <c:pt idx="15">
                  <c:v>0.313</c:v>
                </c:pt>
                <c:pt idx="16">
                  <c:v>0.20729000000000003</c:v>
                </c:pt>
                <c:pt idx="17">
                  <c:v>0.36244999999999999</c:v>
                </c:pt>
                <c:pt idx="18">
                  <c:v>0.30499999999999999</c:v>
                </c:pt>
                <c:pt idx="19">
                  <c:v>0.27</c:v>
                </c:pt>
                <c:pt idx="20">
                  <c:v>0.25800000000000001</c:v>
                </c:pt>
                <c:pt idx="21">
                  <c:v>0.28000000000000003</c:v>
                </c:pt>
                <c:pt idx="22">
                  <c:v>0.52400000000000002</c:v>
                </c:pt>
                <c:pt idx="23">
                  <c:v>0.32700000000000001</c:v>
                </c:pt>
                <c:pt idx="24">
                  <c:v>0.43300000000000005</c:v>
                </c:pt>
                <c:pt idx="25">
                  <c:v>0.43300000000000005</c:v>
                </c:pt>
                <c:pt idx="26">
                  <c:v>0.26474000000000003</c:v>
                </c:pt>
                <c:pt idx="27">
                  <c:v>0.27</c:v>
                </c:pt>
                <c:pt idx="28">
                  <c:v>0.31269999999999998</c:v>
                </c:pt>
                <c:pt idx="29">
                  <c:v>0.32999999999999996</c:v>
                </c:pt>
                <c:pt idx="30">
                  <c:v>0.156</c:v>
                </c:pt>
                <c:pt idx="31">
                  <c:v>0.37</c:v>
                </c:pt>
                <c:pt idx="32">
                  <c:v>0.29899999999999999</c:v>
                </c:pt>
                <c:pt idx="33">
                  <c:v>0.2</c:v>
                </c:pt>
                <c:pt idx="34">
                  <c:v>0.35699999999999998</c:v>
                </c:pt>
                <c:pt idx="35">
                  <c:v>0.13400000000000001</c:v>
                </c:pt>
                <c:pt idx="36">
                  <c:v>0.33400000000000002</c:v>
                </c:pt>
                <c:pt idx="37">
                  <c:v>0.39100000000000001</c:v>
                </c:pt>
                <c:pt idx="38">
                  <c:v>0.47060000000000002</c:v>
                </c:pt>
                <c:pt idx="39">
                  <c:v>0.55200000000000005</c:v>
                </c:pt>
                <c:pt idx="40">
                  <c:v>0.4506</c:v>
                </c:pt>
                <c:pt idx="41">
                  <c:v>0.56920000000000004</c:v>
                </c:pt>
                <c:pt idx="42">
                  <c:v>0.33639999999999998</c:v>
                </c:pt>
                <c:pt idx="43">
                  <c:v>0.29471000000000003</c:v>
                </c:pt>
                <c:pt idx="44">
                  <c:v>0.46592</c:v>
                </c:pt>
                <c:pt idx="45">
                  <c:v>0.24729999999999999</c:v>
                </c:pt>
                <c:pt idx="46">
                  <c:v>0.154</c:v>
                </c:pt>
                <c:pt idx="47">
                  <c:v>0.13087000000000001</c:v>
                </c:pt>
                <c:pt idx="48">
                  <c:v>0.44600000000000006</c:v>
                </c:pt>
                <c:pt idx="49">
                  <c:v>0.17799999999999999</c:v>
                </c:pt>
                <c:pt idx="50">
                  <c:v>0.47276000000000001</c:v>
                </c:pt>
                <c:pt idx="51">
                  <c:v>0.46450000000000002</c:v>
                </c:pt>
                <c:pt idx="52">
                  <c:v>0.36099999999999999</c:v>
                </c:pt>
                <c:pt idx="53">
                  <c:v>0.28600000000000003</c:v>
                </c:pt>
                <c:pt idx="54">
                  <c:v>0.23207</c:v>
                </c:pt>
                <c:pt idx="55">
                  <c:v>0.496</c:v>
                </c:pt>
                <c:pt idx="56">
                  <c:v>0.37328999999999996</c:v>
                </c:pt>
                <c:pt idx="57">
                  <c:v>0.247</c:v>
                </c:pt>
                <c:pt idx="58">
                  <c:v>0.49469000000000002</c:v>
                </c:pt>
              </c:numCache>
            </c:numRef>
          </c:xVal>
          <c:yVal>
            <c:numRef>
              <c:f>'[PublicFunds_2021_update_with_new_funds copy.xlsx]Regression'!$C$5:$C$63</c:f>
              <c:numCache>
                <c:formatCode>0.00%</c:formatCode>
                <c:ptCount val="59"/>
                <c:pt idx="0">
                  <c:v>1.9957388610052751E-2</c:v>
                </c:pt>
                <c:pt idx="1">
                  <c:v>8.2528336943026026E-3</c:v>
                </c:pt>
                <c:pt idx="2">
                  <c:v>7.5555856623084755E-3</c:v>
                </c:pt>
                <c:pt idx="3">
                  <c:v>5.9385692192360368E-3</c:v>
                </c:pt>
                <c:pt idx="4">
                  <c:v>4.1171534614150712E-3</c:v>
                </c:pt>
                <c:pt idx="5">
                  <c:v>4.0983116498791716E-3</c:v>
                </c:pt>
                <c:pt idx="6">
                  <c:v>3.2034410889135861E-3</c:v>
                </c:pt>
                <c:pt idx="7">
                  <c:v>3.0771098840524647E-3</c:v>
                </c:pt>
                <c:pt idx="8">
                  <c:v>1.9843005367150696E-3</c:v>
                </c:pt>
                <c:pt idx="9">
                  <c:v>2.5170444472184805E-4</c:v>
                </c:pt>
                <c:pt idx="10">
                  <c:v>-6.1264458013106371E-4</c:v>
                </c:pt>
                <c:pt idx="11">
                  <c:v>-6.2261048329076418E-4</c:v>
                </c:pt>
                <c:pt idx="12">
                  <c:v>-7.693519451851677E-4</c:v>
                </c:pt>
                <c:pt idx="13">
                  <c:v>-9.0131367832285703E-4</c:v>
                </c:pt>
                <c:pt idx="14">
                  <c:v>-9.7003156330327522E-4</c:v>
                </c:pt>
                <c:pt idx="15">
                  <c:v>-1.3898797172934296E-3</c:v>
                </c:pt>
                <c:pt idx="16">
                  <c:v>-1.39439168614576E-3</c:v>
                </c:pt>
                <c:pt idx="17">
                  <c:v>-2.0743607312906781E-3</c:v>
                </c:pt>
                <c:pt idx="18">
                  <c:v>-3.1718950776888494E-3</c:v>
                </c:pt>
                <c:pt idx="19">
                  <c:v>-3.2518997125099286E-3</c:v>
                </c:pt>
                <c:pt idx="20">
                  <c:v>-4.3969079777408104E-3</c:v>
                </c:pt>
                <c:pt idx="21">
                  <c:v>-5.9905899394377821E-3</c:v>
                </c:pt>
                <c:pt idx="22">
                  <c:v>-7.7961721631655267E-3</c:v>
                </c:pt>
                <c:pt idx="23">
                  <c:v>-8.4930731032359374E-3</c:v>
                </c:pt>
                <c:pt idx="24">
                  <c:v>-8.522391646899552E-3</c:v>
                </c:pt>
                <c:pt idx="25">
                  <c:v>-8.5223918076270666E-3</c:v>
                </c:pt>
                <c:pt idx="26">
                  <c:v>-1.1449551321125684E-2</c:v>
                </c:pt>
                <c:pt idx="27">
                  <c:v>-1.1879139175343445E-2</c:v>
                </c:pt>
                <c:pt idx="28">
                  <c:v>-1.2075617447016657E-2</c:v>
                </c:pt>
                <c:pt idx="29">
                  <c:v>-1.2443843902293333E-2</c:v>
                </c:pt>
                <c:pt idx="30">
                  <c:v>-1.3039832619297781E-2</c:v>
                </c:pt>
                <c:pt idx="31">
                  <c:v>-1.3833676494869773E-2</c:v>
                </c:pt>
                <c:pt idx="32">
                  <c:v>-1.487844099172074E-2</c:v>
                </c:pt>
                <c:pt idx="33">
                  <c:v>-1.5762063092313539E-2</c:v>
                </c:pt>
                <c:pt idx="34">
                  <c:v>-1.6814382835904126E-2</c:v>
                </c:pt>
                <c:pt idx="35">
                  <c:v>-1.6893189798002639E-2</c:v>
                </c:pt>
                <c:pt idx="36">
                  <c:v>-1.7350055623764377E-2</c:v>
                </c:pt>
                <c:pt idx="37">
                  <c:v>-1.7708918666392681E-2</c:v>
                </c:pt>
                <c:pt idx="38">
                  <c:v>-1.7759422089267035E-2</c:v>
                </c:pt>
                <c:pt idx="39">
                  <c:v>-1.7861004784675172E-2</c:v>
                </c:pt>
                <c:pt idx="40">
                  <c:v>-1.8257616979849609E-2</c:v>
                </c:pt>
                <c:pt idx="41">
                  <c:v>-1.8510608024850717E-2</c:v>
                </c:pt>
                <c:pt idx="42">
                  <c:v>-1.8971750231655843E-2</c:v>
                </c:pt>
                <c:pt idx="43">
                  <c:v>-1.9231198561084933E-2</c:v>
                </c:pt>
                <c:pt idx="44">
                  <c:v>-1.9665559845444616E-2</c:v>
                </c:pt>
                <c:pt idx="45">
                  <c:v>-2.0680618797360453E-2</c:v>
                </c:pt>
                <c:pt idx="46">
                  <c:v>-2.1519757600628256E-2</c:v>
                </c:pt>
                <c:pt idx="47">
                  <c:v>-2.1640893220498295E-2</c:v>
                </c:pt>
                <c:pt idx="48">
                  <c:v>-2.1898508857579921E-2</c:v>
                </c:pt>
                <c:pt idx="49">
                  <c:v>-2.2060867228850242E-2</c:v>
                </c:pt>
                <c:pt idx="50">
                  <c:v>-2.4535552529143009E-2</c:v>
                </c:pt>
                <c:pt idx="51">
                  <c:v>-2.5243835335400172E-2</c:v>
                </c:pt>
                <c:pt idx="52">
                  <c:v>-2.5415282172167999E-2</c:v>
                </c:pt>
                <c:pt idx="53">
                  <c:v>-2.7692997789806439E-2</c:v>
                </c:pt>
                <c:pt idx="54">
                  <c:v>-3.0896644840867543E-2</c:v>
                </c:pt>
                <c:pt idx="55">
                  <c:v>-3.1900160601551777E-2</c:v>
                </c:pt>
                <c:pt idx="56">
                  <c:v>-3.7297085587569404E-2</c:v>
                </c:pt>
                <c:pt idx="57">
                  <c:v>-3.8161601483282279E-2</c:v>
                </c:pt>
                <c:pt idx="58">
                  <c:v>-3.9093533575138242E-2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04-D44A-9C8B-E7407C39A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800976"/>
        <c:axId val="1219958928"/>
      </c:scatterChart>
      <c:valAx>
        <c:axId val="854800976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/>
                  <a:t>Alts</a:t>
                </a:r>
                <a:r>
                  <a:rPr lang="en-US" b="1" baseline="0"/>
                  <a:t> Percentage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48845114274755769"/>
              <c:y val="0.934036939313984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19958928"/>
        <c:crosses val="autoZero"/>
        <c:crossBetween val="midCat"/>
      </c:valAx>
      <c:valAx>
        <c:axId val="1219958928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5480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 b="0" i="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71484547337564"/>
          <c:y val="7.407407407407407E-2"/>
          <c:w val="0.82331740583709101"/>
          <c:h val="0.7937911927675707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/>
          </c:dPt>
          <c:xVal>
            <c:numRef>
              <c:f>'[PublicFunds_2021_update_with_new_funds copy.xlsx]Scatter Plot'!$E$6:$E$64</c:f>
              <c:numCache>
                <c:formatCode>0.0%</c:formatCode>
                <c:ptCount val="59"/>
                <c:pt idx="0">
                  <c:v>0.1040524916839622</c:v>
                </c:pt>
                <c:pt idx="1">
                  <c:v>8.8674348211696646E-2</c:v>
                </c:pt>
                <c:pt idx="2">
                  <c:v>0.10778413315035917</c:v>
                </c:pt>
                <c:pt idx="3">
                  <c:v>0.11874117448985745</c:v>
                </c:pt>
                <c:pt idx="4">
                  <c:v>0.10569332572383226</c:v>
                </c:pt>
                <c:pt idx="5">
                  <c:v>0.10437346283222448</c:v>
                </c:pt>
                <c:pt idx="6">
                  <c:v>0.12227779428154145</c:v>
                </c:pt>
                <c:pt idx="7">
                  <c:v>0.10703414264760425</c:v>
                </c:pt>
                <c:pt idx="8">
                  <c:v>0.12962722589142953</c:v>
                </c:pt>
                <c:pt idx="9">
                  <c:v>0.11457591817498571</c:v>
                </c:pt>
                <c:pt idx="10">
                  <c:v>0.11693045270258204</c:v>
                </c:pt>
                <c:pt idx="11">
                  <c:v>0.11333708176304921</c:v>
                </c:pt>
                <c:pt idx="12">
                  <c:v>0.11333708176304921</c:v>
                </c:pt>
                <c:pt idx="13">
                  <c:v>0.11967562997643426</c:v>
                </c:pt>
                <c:pt idx="14">
                  <c:v>0.12003598392106192</c:v>
                </c:pt>
                <c:pt idx="15">
                  <c:v>0.12331496935354874</c:v>
                </c:pt>
                <c:pt idx="16">
                  <c:v>0.11815122697584413</c:v>
                </c:pt>
                <c:pt idx="17">
                  <c:v>0.10916471910574359</c:v>
                </c:pt>
                <c:pt idx="18">
                  <c:v>0.12434477709073105</c:v>
                </c:pt>
                <c:pt idx="19">
                  <c:v>0.12259253752333482</c:v>
                </c:pt>
                <c:pt idx="20">
                  <c:v>0.1166241497619267</c:v>
                </c:pt>
                <c:pt idx="21">
                  <c:v>0.11286290356002719</c:v>
                </c:pt>
                <c:pt idx="22">
                  <c:v>0.10832143396581424</c:v>
                </c:pt>
                <c:pt idx="23">
                  <c:v>0.10983561084755894</c:v>
                </c:pt>
                <c:pt idx="24">
                  <c:v>0.13122111989955088</c:v>
                </c:pt>
                <c:pt idx="25">
                  <c:v>0.11665417662080052</c:v>
                </c:pt>
                <c:pt idx="26">
                  <c:v>0.11448250342189234</c:v>
                </c:pt>
                <c:pt idx="27">
                  <c:v>0.10805167745111596</c:v>
                </c:pt>
                <c:pt idx="28">
                  <c:v>0.12897664268763689</c:v>
                </c:pt>
                <c:pt idx="29">
                  <c:v>0.11063225523072327</c:v>
                </c:pt>
                <c:pt idx="30">
                  <c:v>0.11921769572659495</c:v>
                </c:pt>
                <c:pt idx="31">
                  <c:v>0.11948098067721802</c:v>
                </c:pt>
                <c:pt idx="32">
                  <c:v>0.11591409285793046</c:v>
                </c:pt>
                <c:pt idx="33">
                  <c:v>0.12088588600782738</c:v>
                </c:pt>
                <c:pt idx="34">
                  <c:v>0.11088172918324582</c:v>
                </c:pt>
                <c:pt idx="35">
                  <c:v>0.14300502053227326</c:v>
                </c:pt>
                <c:pt idx="36">
                  <c:v>0.11100825795107917</c:v>
                </c:pt>
                <c:pt idx="37">
                  <c:v>0.12292401134075703</c:v>
                </c:pt>
                <c:pt idx="38">
                  <c:v>0.11601254353047458</c:v>
                </c:pt>
                <c:pt idx="39">
                  <c:v>0.1283102709880454</c:v>
                </c:pt>
                <c:pt idx="40">
                  <c:v>0.12183572588762338</c:v>
                </c:pt>
                <c:pt idx="41">
                  <c:v>0.11242982882783562</c:v>
                </c:pt>
                <c:pt idx="42">
                  <c:v>0.10915114256423028</c:v>
                </c:pt>
                <c:pt idx="43">
                  <c:v>0.12868378904936925</c:v>
                </c:pt>
                <c:pt idx="44">
                  <c:v>0.12404672403409027</c:v>
                </c:pt>
                <c:pt idx="45">
                  <c:v>0.11086842513677055</c:v>
                </c:pt>
                <c:pt idx="46">
                  <c:v>0.11975643015764356</c:v>
                </c:pt>
                <c:pt idx="47">
                  <c:v>0.12121056059601408</c:v>
                </c:pt>
                <c:pt idx="48">
                  <c:v>0.13703747381927775</c:v>
                </c:pt>
                <c:pt idx="49">
                  <c:v>0.1167844453112942</c:v>
                </c:pt>
                <c:pt idx="50">
                  <c:v>0.1180100490071361</c:v>
                </c:pt>
                <c:pt idx="51">
                  <c:v>0.11726454860261205</c:v>
                </c:pt>
                <c:pt idx="52">
                  <c:v>0.11350896045054813</c:v>
                </c:pt>
                <c:pt idx="53">
                  <c:v>0.10903936950736692</c:v>
                </c:pt>
                <c:pt idx="54">
                  <c:v>0.1190701296263289</c:v>
                </c:pt>
                <c:pt idx="55">
                  <c:v>0.12171769144317686</c:v>
                </c:pt>
                <c:pt idx="56">
                  <c:v>0.13552006285379828</c:v>
                </c:pt>
                <c:pt idx="57">
                  <c:v>0.12655321369856989</c:v>
                </c:pt>
                <c:pt idx="58">
                  <c:v>0.13113220134951306</c:v>
                </c:pt>
              </c:numCache>
            </c:numRef>
          </c:xVal>
          <c:yVal>
            <c:numRef>
              <c:f>'[PublicFunds_2021_update_with_new_funds copy.xlsx]Scatter Plot'!$D$6:$D$64</c:f>
              <c:numCache>
                <c:formatCode>0.0%</c:formatCode>
                <c:ptCount val="59"/>
                <c:pt idx="0">
                  <c:v>8.7572522397104002E-2</c:v>
                </c:pt>
                <c:pt idx="1">
                  <c:v>6.9430811874063636E-2</c:v>
                </c:pt>
                <c:pt idx="2">
                  <c:v>8.2815883663149403E-2</c:v>
                </c:pt>
                <c:pt idx="3">
                  <c:v>8.9675368730151472E-2</c:v>
                </c:pt>
                <c:pt idx="4">
                  <c:v>7.9518642842413501E-2</c:v>
                </c:pt>
                <c:pt idx="5">
                  <c:v>7.8432366829452871E-2</c:v>
                </c:pt>
                <c:pt idx="6">
                  <c:v>9.0541973628356587E-2</c:v>
                </c:pt>
                <c:pt idx="7">
                  <c:v>7.9764201545373892E-2</c:v>
                </c:pt>
                <c:pt idx="8">
                  <c:v>9.4635533199424193E-2</c:v>
                </c:pt>
                <c:pt idx="9">
                  <c:v>8.1218249323439018E-2</c:v>
                </c:pt>
                <c:pt idx="10">
                  <c:v>8.154361343302563E-2</c:v>
                </c:pt>
                <c:pt idx="11">
                  <c:v>7.9067975325558315E-2</c:v>
                </c:pt>
                <c:pt idx="12">
                  <c:v>7.9067975325558315E-2</c:v>
                </c:pt>
                <c:pt idx="13">
                  <c:v>8.1248706851170249E-2</c:v>
                </c:pt>
                <c:pt idx="14">
                  <c:v>8.1025028257233789E-2</c:v>
                </c:pt>
                <c:pt idx="15">
                  <c:v>8.2990307796692031E-2</c:v>
                </c:pt>
                <c:pt idx="16">
                  <c:v>7.869799183314008E-2</c:v>
                </c:pt>
                <c:pt idx="17">
                  <c:v>7.3026575857072062E-2</c:v>
                </c:pt>
                <c:pt idx="18">
                  <c:v>8.2418226150763552E-2</c:v>
                </c:pt>
                <c:pt idx="19">
                  <c:v>8.0931794956834446E-2</c:v>
                </c:pt>
                <c:pt idx="20">
                  <c:v>7.704599060751427E-2</c:v>
                </c:pt>
                <c:pt idx="21">
                  <c:v>7.4477282158944114E-2</c:v>
                </c:pt>
                <c:pt idx="22">
                  <c:v>7.1216938356187587E-2</c:v>
                </c:pt>
                <c:pt idx="23">
                  <c:v>7.1780569087921631E-2</c:v>
                </c:pt>
                <c:pt idx="24">
                  <c:v>8.4743215538155114E-2</c:v>
                </c:pt>
                <c:pt idx="25">
                  <c:v>7.5496393363552405E-2</c:v>
                </c:pt>
                <c:pt idx="26">
                  <c:v>7.4141341197600852E-2</c:v>
                </c:pt>
                <c:pt idx="27">
                  <c:v>6.9910762843339302E-2</c:v>
                </c:pt>
                <c:pt idx="28">
                  <c:v>8.2523082738257258E-2</c:v>
                </c:pt>
                <c:pt idx="29">
                  <c:v>7.1247333759232978E-2</c:v>
                </c:pt>
                <c:pt idx="30">
                  <c:v>7.6134802000820123E-2</c:v>
                </c:pt>
                <c:pt idx="31">
                  <c:v>7.6046779957552157E-2</c:v>
                </c:pt>
                <c:pt idx="32">
                  <c:v>7.3903397578465313E-2</c:v>
                </c:pt>
                <c:pt idx="33">
                  <c:v>7.6522206192657816E-2</c:v>
                </c:pt>
                <c:pt idx="34">
                  <c:v>7.0524045486365816E-2</c:v>
                </c:pt>
                <c:pt idx="35">
                  <c:v>8.9376603077480077E-2</c:v>
                </c:pt>
                <c:pt idx="36">
                  <c:v>7.0320076591909642E-2</c:v>
                </c:pt>
                <c:pt idx="37">
                  <c:v>7.7019107414634025E-2</c:v>
                </c:pt>
                <c:pt idx="38">
                  <c:v>7.2836309969366519E-2</c:v>
                </c:pt>
                <c:pt idx="39">
                  <c:v>7.9659300258365429E-2</c:v>
                </c:pt>
                <c:pt idx="40">
                  <c:v>7.5548332157400422E-2</c:v>
                </c:pt>
                <c:pt idx="41">
                  <c:v>6.9671843883948981E-2</c:v>
                </c:pt>
                <c:pt idx="42">
                  <c:v>6.6926316542435194E-2</c:v>
                </c:pt>
                <c:pt idx="43">
                  <c:v>7.7468846751282072E-2</c:v>
                </c:pt>
                <c:pt idx="44">
                  <c:v>7.451395161762675E-2</c:v>
                </c:pt>
                <c:pt idx="45">
                  <c:v>6.4126479512289114E-2</c:v>
                </c:pt>
                <c:pt idx="46">
                  <c:v>6.8632845133312248E-2</c:v>
                </c:pt>
                <c:pt idx="47">
                  <c:v>6.9093295243658703E-2</c:v>
                </c:pt>
                <c:pt idx="48">
                  <c:v>7.7308571379359314E-2</c:v>
                </c:pt>
                <c:pt idx="49">
                  <c:v>6.6057908686494304E-2</c:v>
                </c:pt>
                <c:pt idx="50">
                  <c:v>6.6530688592270071E-2</c:v>
                </c:pt>
                <c:pt idx="51">
                  <c:v>6.4959083828618702E-2</c:v>
                </c:pt>
                <c:pt idx="52">
                  <c:v>6.302582522614153E-2</c:v>
                </c:pt>
                <c:pt idx="53">
                  <c:v>5.9952639072638592E-2</c:v>
                </c:pt>
                <c:pt idx="54">
                  <c:v>6.3173569907398086E-2</c:v>
                </c:pt>
                <c:pt idx="55">
                  <c:v>6.347995504302939E-2</c:v>
                </c:pt>
                <c:pt idx="56">
                  <c:v>6.9003887473598979E-2</c:v>
                </c:pt>
                <c:pt idx="57">
                  <c:v>6.3564242074837463E-2</c:v>
                </c:pt>
                <c:pt idx="58">
                  <c:v>5.9904376114154889E-2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06-7044-99B5-B57B33E7F6F3}"/>
            </c:ext>
          </c:extLst>
        </c:ser>
        <c:ser>
          <c:idx val="1"/>
          <c:order val="1"/>
          <c:tx>
            <c:v>Risk-Free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square"/>
              <c:size val="8"/>
              <c:spPr>
                <a:solidFill>
                  <a:srgbClr val="C00000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extLst/>
          </c:dPt>
          <c:dLbls>
            <c:dLbl>
              <c:idx val="0"/>
              <c:layout>
                <c:manualLayout>
                  <c:x val="2.3952095808383235E-2"/>
                  <c:y val="-1.1316741696017772E-16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'[PublicFunds_2021_update_with_new_funds copy.xlsx]Scatter Plot'!$E$2</c:f>
              <c:numCache>
                <c:formatCode>0.00%</c:formatCode>
                <c:ptCount val="1"/>
                <c:pt idx="0">
                  <c:v>2.1440000000000001E-3</c:v>
                </c:pt>
              </c:numCache>
            </c:numRef>
          </c:xVal>
          <c:yVal>
            <c:numRef>
              <c:f>'[PublicFunds_2021_update_with_new_funds copy.xlsx]Scatter Plot'!$D$2</c:f>
              <c:numCache>
                <c:formatCode>0.00%</c:formatCode>
                <c:ptCount val="1"/>
                <c:pt idx="0">
                  <c:v>4.777E-3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06-7044-99B5-B57B33E7F6F3}"/>
            </c:ext>
          </c:extLst>
        </c:ser>
        <c:ser>
          <c:idx val="2"/>
          <c:order val="2"/>
          <c:tx>
            <c:strRef>
              <c:f>'[PublicFunds_2021_update_with_new_funds copy.xlsx]Scatter Plot'!$C$65</c:f>
              <c:strCache>
                <c:ptCount val="1"/>
                <c:pt idx="0">
                  <c:v>Median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8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'[PublicFunds_2021_update_with_new_funds copy.xlsx]Scatter Plot'!$E$65</c:f>
              <c:numCache>
                <c:formatCode>0.0%</c:formatCode>
                <c:ptCount val="1"/>
                <c:pt idx="0">
                  <c:v>0.11726454860261205</c:v>
                </c:pt>
              </c:numCache>
            </c:numRef>
          </c:xVal>
          <c:yVal>
            <c:numRef>
              <c:f>'[PublicFunds_2021_update_with_new_funds copy.xlsx]Scatter Plot'!$D$65</c:f>
              <c:numCache>
                <c:formatCode>0.0%</c:formatCode>
                <c:ptCount val="1"/>
                <c:pt idx="0">
                  <c:v>7.5548332157400422E-2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06-7044-99B5-B57B33E7F6F3}"/>
            </c:ext>
          </c:extLst>
        </c:ser>
        <c:ser>
          <c:idx val="3"/>
          <c:order val="3"/>
          <c:tx>
            <c:strRef>
              <c:f>'[PublicFunds_2021_update_with_new_funds copy.xlsx]Scatter Plot'!$C$67</c:f>
              <c:strCache>
                <c:ptCount val="1"/>
                <c:pt idx="0">
                  <c:v>Passive Alternative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7792985457656121"/>
                  <c:y val="-5.864197530864199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rgbClr val="FF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'[PublicFunds_2021_update_with_new_funds copy.xlsx]Scatter Plot'!$E$67</c:f>
              <c:numCache>
                <c:formatCode>0.0%</c:formatCode>
                <c:ptCount val="1"/>
                <c:pt idx="0">
                  <c:v>0.11582859444897671</c:v>
                </c:pt>
              </c:numCache>
            </c:numRef>
          </c:xVal>
          <c:yVal>
            <c:numRef>
              <c:f>'[PublicFunds_2021_update_with_new_funds copy.xlsx]Scatter Plot'!$D$67</c:f>
              <c:numCache>
                <c:formatCode>0.0%</c:formatCode>
                <c:ptCount val="1"/>
                <c:pt idx="0">
                  <c:v>8.7641339173943233E-2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06-7044-99B5-B57B33E7F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168399"/>
        <c:axId val="309170047"/>
      </c:scatterChart>
      <c:valAx>
        <c:axId val="309168399"/>
        <c:scaling>
          <c:orientation val="minMax"/>
          <c:max val="0.16000000000000003"/>
        </c:scaling>
        <c:delete val="0"/>
        <c:axPos val="b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/>
                  <a:t>Annualized Standard Deviation (Volatility)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09170047"/>
        <c:crosses val="autoZero"/>
        <c:crossBetween val="midCat"/>
      </c:valAx>
      <c:valAx>
        <c:axId val="309170047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/>
                  <a:t>Reported 13-Year Annualized Return</a:t>
                </a:r>
              </a:p>
            </c:rich>
          </c:tx>
          <c:layout>
            <c:manualLayout>
              <c:xMode val="edge"/>
              <c:yMode val="edge"/>
              <c:x val="1.2174738841405509E-2"/>
              <c:y val="0.192520414114902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09168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 b="0" i="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0.60663</cdr:x>
      <cdr:y>0.6034</cdr:y>
    </cdr:from>
    <cdr:to>
      <cdr:x>0.77433</cdr:x>
      <cdr:y>0.68484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078643C-7942-6D4E-BCB6-941CEDC3D445}"/>
            </a:ext>
          </a:extLst>
        </cdr:cNvPr>
        <cdr:cNvSpPr txBox="1"/>
      </cdr:nvSpPr>
      <cdr:spPr>
        <a:xfrm xmlns:a="http://schemas.openxmlformats.org/drawingml/2006/main">
          <a:off x="4651411" y="2705103"/>
          <a:ext cx="1285840" cy="3651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0" i="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(-1.21%)</a:t>
          </a:r>
        </a:p>
      </cdr:txBody>
    </cdr:sp>
  </cdr:relSizeAnchor>
  <cdr:relSizeAnchor xmlns:cdr="http://schemas.openxmlformats.org/drawingml/2006/chartDrawing">
    <cdr:from>
      <cdr:x>0.60455</cdr:x>
      <cdr:y>0.50071</cdr:y>
    </cdr:from>
    <cdr:to>
      <cdr:x>0.63147</cdr:x>
      <cdr:y>0.59278</cdr:y>
    </cdr:to>
    <cdr:cxnSp macro="">
      <cdr:nvCxnSpPr>
        <cdr:cNvPr id="4" name="Straight Arrow Connector 3">
          <a:extLst xmlns:a="http://schemas.openxmlformats.org/drawingml/2006/main">
            <a:ext uri="{FF2B5EF4-FFF2-40B4-BE49-F238E27FC236}">
              <a16:creationId xmlns:a16="http://schemas.microsoft.com/office/drawing/2014/main" id="{BF941202-81AF-D14F-A45C-E84D46044975}"/>
            </a:ext>
          </a:extLst>
        </cdr:cNvPr>
        <cdr:cNvCxnSpPr/>
      </cdr:nvCxnSpPr>
      <cdr:spPr>
        <a:xfrm xmlns:a="http://schemas.openxmlformats.org/drawingml/2006/main" flipH="1" flipV="1">
          <a:off x="4635501" y="2244727"/>
          <a:ext cx="206375" cy="412749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rgbClr val="FF0000"/>
          </a:solidFill>
          <a:prstDash val="solid"/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0.43676</cdr:x>
      <cdr:y>0.14506</cdr:y>
    </cdr:from>
    <cdr:to>
      <cdr:x>0.6142</cdr:x>
      <cdr:y>0.21296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6C1CA7F0-A58F-9F48-854A-D6F710E2D144}"/>
            </a:ext>
          </a:extLst>
        </cdr:cNvPr>
        <cdr:cNvSpPr txBox="1"/>
      </cdr:nvSpPr>
      <cdr:spPr>
        <a:xfrm xmlns:a="http://schemas.openxmlformats.org/drawingml/2006/main">
          <a:off x="3242135" y="596893"/>
          <a:ext cx="1317165" cy="2794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en-US" sz="1200" b="1" i="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Median</a:t>
          </a:r>
          <a:r>
            <a:rPr lang="en-US" sz="1200" b="1" i="0" baseline="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Fund</a:t>
          </a:r>
          <a:endParaRPr lang="en-US" sz="1200" b="1" i="0">
            <a:solidFill>
              <a:srgbClr val="C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0.14371</cdr:x>
      <cdr:y>0.0679</cdr:y>
    </cdr:from>
    <cdr:to>
      <cdr:x>0.95124</cdr:x>
      <cdr:y>0.83333</cdr:y>
    </cdr:to>
    <cdr:cxnSp macro="">
      <cdr:nvCxnSpPr>
        <cdr:cNvPr id="4" name="Straight Connector 3">
          <a:extLst xmlns:a="http://schemas.openxmlformats.org/drawingml/2006/main">
            <a:ext uri="{FF2B5EF4-FFF2-40B4-BE49-F238E27FC236}">
              <a16:creationId xmlns:a16="http://schemas.microsoft.com/office/drawing/2014/main" id="{DE1B35F1-6CED-8447-A77A-82C784BCE0D4}"/>
            </a:ext>
          </a:extLst>
        </cdr:cNvPr>
        <cdr:cNvCxnSpPr/>
      </cdr:nvCxnSpPr>
      <cdr:spPr>
        <a:xfrm xmlns:a="http://schemas.openxmlformats.org/drawingml/2006/main" flipV="1">
          <a:off x="1066800" y="279400"/>
          <a:ext cx="5994400" cy="3149600"/>
        </a:xfrm>
        <a:prstGeom xmlns:a="http://schemas.openxmlformats.org/drawingml/2006/main" prst="line">
          <a:avLst/>
        </a:prstGeom>
        <a:ln xmlns:a="http://schemas.openxmlformats.org/drawingml/2006/main" w="158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0.58683</cdr:x>
      <cdr:y>0.21605</cdr:y>
    </cdr:from>
    <cdr:to>
      <cdr:x>0.71172</cdr:x>
      <cdr:y>0.25926</cdr:y>
    </cdr:to>
    <cdr:cxnSp macro="">
      <cdr:nvCxnSpPr>
        <cdr:cNvPr id="6" name="Straight Arrow Connector 5">
          <a:extLst xmlns:a="http://schemas.openxmlformats.org/drawingml/2006/main">
            <a:ext uri="{FF2B5EF4-FFF2-40B4-BE49-F238E27FC236}">
              <a16:creationId xmlns:a16="http://schemas.microsoft.com/office/drawing/2014/main" id="{5E033A92-BC35-DE4A-B674-66A0313D002C}"/>
            </a:ext>
          </a:extLst>
        </cdr:cNvPr>
        <cdr:cNvCxnSpPr/>
      </cdr:nvCxnSpPr>
      <cdr:spPr>
        <a:xfrm xmlns:a="http://schemas.openxmlformats.org/drawingml/2006/main">
          <a:off x="4356100" y="889000"/>
          <a:ext cx="927100" cy="17780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C00000"/>
          </a:solidFill>
          <a:tailEnd type="triangle"/>
        </a:ln>
      </cdr:spPr>
      <cdr:style>
        <a:lnRef xmlns:a="http://schemas.openxmlformats.org/drawingml/2006/main" idx="3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2357</Words>
  <Characters>13435</Characters>
  <Application>Microsoft Office Word</Application>
  <DocSecurity>0</DocSecurity>
  <Lines>111</Lines>
  <Paragraphs>31</Paragraphs>
  <ScaleCrop>false</ScaleCrop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Ennis</dc:creator>
  <cp:keywords/>
  <dc:description/>
  <cp:lastModifiedBy>Richard Ennis</cp:lastModifiedBy>
  <cp:revision>2</cp:revision>
  <dcterms:created xsi:type="dcterms:W3CDTF">2022-01-21T17:52:00Z</dcterms:created>
  <dcterms:modified xsi:type="dcterms:W3CDTF">2022-01-21T17:52:00Z</dcterms:modified>
</cp:coreProperties>
</file>