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57CF91C"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797989">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797989">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797989">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797989">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vi"/>
            </w:rPr>
            <mc:AlternateContent>
              <mc:Choice Requires="wps">
                <w:drawing>
                  <wp:anchor distT="45720" distB="45720" distL="114300" distR="114300" simplePos="0" relativeHeight="251663363" behindDoc="0" locked="0" layoutInCell="1" allowOverlap="1" wp14:anchorId="198D288D" wp14:editId="38E85CD2">
                    <wp:simplePos x="0" y="0"/>
                    <wp:positionH relativeFrom="column">
                      <wp:posOffset>-154741</wp:posOffset>
                    </wp:positionH>
                    <wp:positionV relativeFrom="paragraph">
                      <wp:posOffset>3513455</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2.2pt;margin-top:276.65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ARGmxK4gAAAAsBAAAPAAAAZHJzL2Rvd25yZXYueG1s&#10;TI/BTsMwEETvSPyDtUhcUOuQOGkb4lQICQQ3KAiubrJNIux1sN00/D3mBMfVPM28rbaz0WxC5wdL&#10;Eq6XCTCkxrYDdRLeXu8Xa2A+KGqVtoQSvtHDtj4/q1TZ2hO94LQLHYsl5EsloQ9hLDn3TY9G+aUd&#10;kWJ2sM6oEE/X8dapUyw3mqdJUnCjBooLvRrxrsfmc3c0EtbicfrwT9nze1Mc9CZcraaHLyfl5cV8&#10;ewMs4Bz+YPjVj+pQR6e9PVLrmZawSIWIqIQ8zzJgkdgIkQPbS1gVaQK8rvj/H+ofAAAA//8DAFBL&#10;AQItABQABgAIAAAAIQC2gziS/gAAAOEBAAATAAAAAAAAAAAAAAAAAAAAAABbQ29udGVudF9UeXBl&#10;c10ueG1sUEsBAi0AFAAGAAgAAAAhADj9If/WAAAAlAEAAAsAAAAAAAAAAAAAAAAALwEAAF9yZWxz&#10;Ly5yZWxzUEsBAi0AFAAGAAgAAAAhACSFUdEmAgAATgQAAA4AAAAAAAAAAAAAAAAALgIAAGRycy9l&#10;Mm9Eb2MueG1sUEsBAi0AFAAGAAgAAAAhABEabEriAAAACwEAAA8AAAAAAAAAAAAAAAAAgAQAAGRy&#10;cy9kb3ducmV2LnhtbFBLBQYAAAAABAAEAPMAAACPBQ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vi"/>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1A7D2AC7"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get</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A72AE4" w:rsidRPr="00451DDF" w14:paraId="0FCB54A4" w14:textId="77777777" w:rsidTr="00E54BC4">
        <w:trPr>
          <w:jc w:val="center"/>
        </w:trPr>
        <w:tc>
          <w:tcPr>
            <w:tcW w:w="2500" w:type="pct"/>
          </w:tcPr>
          <w:p w14:paraId="7F1A127A" w14:textId="227EFEC2"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00A72AE4" w:rsidRPr="00451DDF">
              <w:rPr>
                <w:rFonts w:asciiTheme="majorHAnsi" w:eastAsia="Times New Roman" w:hAnsiTheme="majorHAnsi" w:cstheme="majorHAnsi"/>
                <w:sz w:val="24"/>
                <w:szCs w:val="24"/>
              </w:rPr>
              <w:t>emove #&lt;tên thẻ&gt;</w:t>
            </w:r>
          </w:p>
        </w:tc>
        <w:tc>
          <w:tcPr>
            <w:tcW w:w="2500" w:type="pct"/>
          </w:tcPr>
          <w:p w14:paraId="2643BD8B" w14:textId="5DA6B8CF"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sidR="00F14DEA">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A72AE4" w:rsidRPr="00451DDF" w14:paraId="54D18EFD" w14:textId="77777777" w:rsidTr="00E54BC4">
        <w:trPr>
          <w:jc w:val="center"/>
        </w:trPr>
        <w:tc>
          <w:tcPr>
            <w:tcW w:w="2500" w:type="pct"/>
          </w:tcPr>
          <w:p w14:paraId="0E87D8FC" w14:textId="4AD1B0B9"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l</w:t>
            </w:r>
            <w:r w:rsidR="00A72AE4" w:rsidRPr="00451DDF">
              <w:rPr>
                <w:rFonts w:asciiTheme="majorHAnsi" w:eastAsia="Times New Roman" w:hAnsiTheme="majorHAnsi" w:cstheme="majorHAnsi"/>
                <w:sz w:val="24"/>
                <w:szCs w:val="24"/>
              </w:rPr>
              <w:t>ist</w:t>
            </w:r>
          </w:p>
        </w:tc>
        <w:tc>
          <w:tcPr>
            <w:tcW w:w="2500" w:type="pct"/>
          </w:tcPr>
          <w:p w14:paraId="0C9BECA1"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A72AE4" w:rsidRPr="00451DDF" w14:paraId="2CC83AE4" w14:textId="77777777" w:rsidTr="00E54BC4">
        <w:trPr>
          <w:jc w:val="center"/>
        </w:trPr>
        <w:tc>
          <w:tcPr>
            <w:tcW w:w="2500" w:type="pct"/>
          </w:tcPr>
          <w:p w14:paraId="4872F0CA" w14:textId="0637B96A" w:rsidR="00A72AE4" w:rsidRPr="00451DDF" w:rsidRDefault="00F81F41"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t</w:t>
            </w:r>
            <w:r w:rsidR="00A72AE4" w:rsidRPr="00451DDF">
              <w:rPr>
                <w:rFonts w:asciiTheme="majorHAnsi" w:eastAsia="Times New Roman" w:hAnsiTheme="majorHAnsi" w:cstheme="majorHAnsi"/>
                <w:sz w:val="24"/>
                <w:szCs w:val="24"/>
              </w:rPr>
              <w:t>ag</w:t>
            </w:r>
          </w:p>
        </w:tc>
        <w:tc>
          <w:tcPr>
            <w:tcW w:w="2500" w:type="pct"/>
          </w:tcPr>
          <w:p w14:paraId="7C8C488D"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A72AE4" w:rsidRPr="00451DDF" w14:paraId="5EEC364D" w14:textId="77777777" w:rsidTr="00E54BC4">
        <w:trPr>
          <w:jc w:val="center"/>
        </w:trPr>
        <w:tc>
          <w:tcPr>
            <w:tcW w:w="2500" w:type="pct"/>
          </w:tcPr>
          <w:p w14:paraId="35454D8A" w14:textId="7E13E68A" w:rsidR="00A72AE4" w:rsidRPr="00451DDF" w:rsidRDefault="00A07E59"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00A72AE4" w:rsidRPr="00451DDF">
              <w:rPr>
                <w:rFonts w:asciiTheme="majorHAnsi" w:eastAsia="Times New Roman" w:hAnsiTheme="majorHAnsi" w:cstheme="majorHAnsi"/>
                <w:sz w:val="24"/>
                <w:szCs w:val="24"/>
              </w:rPr>
              <w:t xml:space="preserve"> #&lt;tên thẻ&gt;</w:t>
            </w:r>
          </w:p>
        </w:tc>
        <w:tc>
          <w:tcPr>
            <w:tcW w:w="2500" w:type="pct"/>
          </w:tcPr>
          <w:p w14:paraId="3EBC7549"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A72AE4" w:rsidRPr="00451DDF" w14:paraId="61BDD877" w14:textId="77777777" w:rsidTr="00E54BC4">
        <w:trPr>
          <w:jc w:val="center"/>
        </w:trPr>
        <w:tc>
          <w:tcPr>
            <w:tcW w:w="2500" w:type="pct"/>
          </w:tcPr>
          <w:p w14:paraId="19BA8B6C"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A72AE4" w:rsidRPr="00451DDF" w:rsidRDefault="00A72AE4" w:rsidP="00E54BC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bookmarkStart w:id="0" w:name="_GoBack"/>
      <w:bookmarkEnd w:id="0"/>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vi"/>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65EC0943" w14:textId="77777777" w:rsidR="00D56C7C" w:rsidRDefault="00D56C7C" w:rsidP="00707877">
      <w:pPr>
        <w:spacing w:line="24" w:lineRule="atLeast"/>
        <w:ind w:left="720"/>
        <w:rPr>
          <w:rFonts w:asciiTheme="majorHAnsi" w:eastAsia="Times New Roman" w:hAnsiTheme="majorHAnsi" w:cstheme="majorHAnsi"/>
          <w:b/>
          <w:iCs/>
          <w:noProof/>
          <w:sz w:val="28"/>
          <w:szCs w:val="28"/>
          <w:lang w:val="en-US"/>
        </w:rPr>
      </w:pPr>
    </w:p>
    <w:p w14:paraId="2F609ED7" w14:textId="4D273619" w:rsidR="00707877" w:rsidRDefault="00707877" w:rsidP="00742DBC">
      <w:pPr>
        <w:spacing w:line="24" w:lineRule="atLeast"/>
        <w:ind w:left="720"/>
        <w:rPr>
          <w:rFonts w:asciiTheme="majorHAnsi" w:eastAsia="Times New Roman" w:hAnsiTheme="majorHAnsi" w:cstheme="majorHAnsi"/>
          <w:b/>
          <w:iCs/>
          <w:noProof/>
          <w:sz w:val="28"/>
          <w:szCs w:val="28"/>
          <w:lang w:val="en-US"/>
        </w:rPr>
      </w:pPr>
    </w:p>
    <w:p w14:paraId="151B7664" w14:textId="1BAC036C"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0A496AB9" w14:textId="07B8A6D9" w:rsidR="332D55D4" w:rsidRPr="00420D97"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7D46FE29" w14:textId="7AEDF843"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2FCAB71" w14:textId="01B9FC76"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 xml:space="preserve"> </w:t>
      </w:r>
    </w:p>
    <w:p w14:paraId="5F574EE9" w14:textId="5FC9322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318A964C"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lastRenderedPageBreak/>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32FEA74B" w14:textId="1A605D4D"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0015F" w14:textId="77777777" w:rsidR="00797989" w:rsidRDefault="00797989">
      <w:pPr>
        <w:spacing w:after="0" w:line="240" w:lineRule="auto"/>
      </w:pPr>
      <w:r>
        <w:separator/>
      </w:r>
    </w:p>
  </w:endnote>
  <w:endnote w:type="continuationSeparator" w:id="0">
    <w:p w14:paraId="63118FAD" w14:textId="77777777" w:rsidR="00797989" w:rsidRDefault="00797989">
      <w:pPr>
        <w:spacing w:after="0" w:line="240" w:lineRule="auto"/>
      </w:pPr>
      <w:r>
        <w:continuationSeparator/>
      </w:r>
    </w:p>
  </w:endnote>
  <w:endnote w:type="continuationNotice" w:id="1">
    <w:p w14:paraId="2B7E9548" w14:textId="77777777" w:rsidR="00797989" w:rsidRDefault="007979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271AF872" w:rsidR="00E167E6" w:rsidRDefault="00E16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170F" w14:textId="77777777" w:rsidR="00797989" w:rsidRDefault="00797989">
      <w:pPr>
        <w:spacing w:after="0" w:line="240" w:lineRule="auto"/>
      </w:pPr>
      <w:r>
        <w:separator/>
      </w:r>
    </w:p>
  </w:footnote>
  <w:footnote w:type="continuationSeparator" w:id="0">
    <w:p w14:paraId="47FC976B" w14:textId="77777777" w:rsidR="00797989" w:rsidRDefault="00797989">
      <w:pPr>
        <w:spacing w:after="0" w:line="240" w:lineRule="auto"/>
      </w:pPr>
      <w:r>
        <w:continuationSeparator/>
      </w:r>
    </w:p>
  </w:footnote>
  <w:footnote w:type="continuationNotice" w:id="1">
    <w:p w14:paraId="68110003" w14:textId="77777777" w:rsidR="00797989" w:rsidRDefault="007979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B1970"/>
    <w:rsid w:val="000B6102"/>
    <w:rsid w:val="000D604C"/>
    <w:rsid w:val="000F078A"/>
    <w:rsid w:val="000F31BE"/>
    <w:rsid w:val="000F508C"/>
    <w:rsid w:val="000F73D7"/>
    <w:rsid w:val="00106FD0"/>
    <w:rsid w:val="00127E62"/>
    <w:rsid w:val="001329B8"/>
    <w:rsid w:val="00153B07"/>
    <w:rsid w:val="001702A4"/>
    <w:rsid w:val="00170CF2"/>
    <w:rsid w:val="00171895"/>
    <w:rsid w:val="00180250"/>
    <w:rsid w:val="001B653E"/>
    <w:rsid w:val="001C3A32"/>
    <w:rsid w:val="001C7E9B"/>
    <w:rsid w:val="001D5293"/>
    <w:rsid w:val="001D73E1"/>
    <w:rsid w:val="001E3738"/>
    <w:rsid w:val="00206B54"/>
    <w:rsid w:val="002165B3"/>
    <w:rsid w:val="002169FA"/>
    <w:rsid w:val="00222586"/>
    <w:rsid w:val="00222675"/>
    <w:rsid w:val="00222851"/>
    <w:rsid w:val="002244CC"/>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97B5F"/>
    <w:rsid w:val="003B4F66"/>
    <w:rsid w:val="003C1328"/>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C3628"/>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47A07"/>
    <w:rsid w:val="008719BC"/>
    <w:rsid w:val="0088779B"/>
    <w:rsid w:val="00893E2B"/>
    <w:rsid w:val="008A7A6C"/>
    <w:rsid w:val="008B6076"/>
    <w:rsid w:val="008B6962"/>
    <w:rsid w:val="008F447B"/>
    <w:rsid w:val="00917B69"/>
    <w:rsid w:val="00962069"/>
    <w:rsid w:val="00965990"/>
    <w:rsid w:val="00990701"/>
    <w:rsid w:val="009927C9"/>
    <w:rsid w:val="00993625"/>
    <w:rsid w:val="009936DC"/>
    <w:rsid w:val="009A4DC3"/>
    <w:rsid w:val="009C21D9"/>
    <w:rsid w:val="009E191C"/>
    <w:rsid w:val="009E2399"/>
    <w:rsid w:val="00A07E59"/>
    <w:rsid w:val="00A218A8"/>
    <w:rsid w:val="00A2434D"/>
    <w:rsid w:val="00A514BA"/>
    <w:rsid w:val="00A72AE4"/>
    <w:rsid w:val="00A914C5"/>
    <w:rsid w:val="00AA790E"/>
    <w:rsid w:val="00AB36B8"/>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605E8"/>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51CB"/>
    <w:rsid w:val="00EC18AA"/>
    <w:rsid w:val="00EC4E2A"/>
    <w:rsid w:val="00EC5389"/>
    <w:rsid w:val="00EE43C9"/>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3628-0E65-4BEA-82CB-5597FB586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3243</Words>
  <Characters>18487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7</cp:revision>
  <dcterms:created xsi:type="dcterms:W3CDTF">2018-12-15T04:23:00Z</dcterms:created>
  <dcterms:modified xsi:type="dcterms:W3CDTF">2018-12-15T06:44:00Z</dcterms:modified>
  <cp:category>Lớp 18TCLC_DT3</cp:category>
</cp:coreProperties>
</file>