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AF" w:rsidRPr="00241DAF" w:rsidRDefault="00241DAF" w:rsidP="00241DAF">
      <w:pPr>
        <w:keepNext/>
        <w:keepLines/>
        <w:spacing w:after="0" w:line="360" w:lineRule="auto"/>
        <w:outlineLvl w:val="2"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w:bookmarkStart w:id="0" w:name="_Toc467569629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1.4.3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Các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độ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đo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đánh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giá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luật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quyết</w:t>
      </w:r>
      <w:proofErr w:type="spellEnd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 xml:space="preserve"> </w:t>
      </w:r>
      <w:proofErr w:type="spellStart"/>
      <w:r w:rsidRPr="00241DAF"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  <w:t>định</w:t>
      </w:r>
      <w:bookmarkEnd w:id="0"/>
      <w:proofErr w:type="spellEnd"/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bày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[10].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bày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quát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>→</m:t>
        </m:r>
      </m:oMath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Ψ.</w:t>
      </w:r>
    </w:p>
    <w:p w:rsidR="00241DAF" w:rsidRPr="00241DAF" w:rsidRDefault="00241DAF" w:rsidP="00241DAF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hiệu|Φ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|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U,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Φ.</w:t>
      </w:r>
      <w:proofErr w:type="gramEnd"/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hỗ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trợ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của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luật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quyết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định</w:t>
      </w:r>
      <w:proofErr w:type="spellEnd"/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>→</m:t>
        </m:r>
      </m:oMath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Ψ, ký hi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|Φ ^ Ψ|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|U|:</w:t>
      </w:r>
    </w:p>
    <w:p w:rsidR="00241DAF" w:rsidRPr="00241DAF" w:rsidRDefault="00241DAF" w:rsidP="00241DAF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 = </w:t>
      </w:r>
      <m:oMath>
        <m:f>
          <m:fPr>
            <m:ctrlPr>
              <w:rPr>
                <w:rFonts w:ascii="Cambria Math" w:eastAsia="Calibri" w:hAnsi="Times New Roman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 xml:space="preserve">| </m:t>
            </m:r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Φ</m:t>
            </m:r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^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Ψ</m:t>
            </m:r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|</m:t>
            </m:r>
          </m:num>
          <m:den>
            <m: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|</m:t>
            </m:r>
            <m: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U</m:t>
            </m:r>
            <m: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|</m:t>
            </m:r>
          </m:den>
        </m:f>
      </m:oMath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chắc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chắn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của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luật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quyết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định</w:t>
      </w:r>
      <w:proofErr w:type="spellEnd"/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>→</m:t>
        </m:r>
      </m:oMath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Ψ, ký hi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cer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|Φ ^ Ψ|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|Φ|:            </w:t>
      </w:r>
    </w:p>
    <w:p w:rsidR="00241DAF" w:rsidRPr="00241DAF" w:rsidRDefault="00241DAF" w:rsidP="00241DAF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cer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 = </w:t>
      </w:r>
      <m:oMath>
        <m:f>
          <m:fPr>
            <m:ctrlPr>
              <w:rPr>
                <w:rFonts w:ascii="Cambria Math" w:eastAsia="Calibri" w:hAnsi="Times New Roman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 xml:space="preserve">|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Φ^Ψ</m:t>
            </m:r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|</m:t>
            </m:r>
          </m:num>
          <m:den>
            <m: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|Φ|</m:t>
            </m:r>
          </m:den>
        </m:f>
      </m:oMath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cer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 = 1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</w:t>
      </w:r>
      <m:oMath>
        <m: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 xml:space="preserve">  </m:t>
        </m:r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>→</m:t>
        </m:r>
      </m:oMath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Ψ đư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.  </w:t>
      </w: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bao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phủ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của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luật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quyết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định</w:t>
      </w:r>
      <w:proofErr w:type="spellEnd"/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bao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phủ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Φ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6"/>
            <w:szCs w:val="26"/>
          </w:rPr>
          <m:t>→</m:t>
        </m:r>
      </m:oMath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Ψ, ký hi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cov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|Φ ^ Ψ|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|Ψ|:                            </w:t>
      </w:r>
    </w:p>
    <w:p w:rsidR="00241DAF" w:rsidRPr="00241DAF" w:rsidRDefault="00241DAF" w:rsidP="00241DAF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cov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Φ,Ψ) = </w:t>
      </w:r>
      <m:oMath>
        <m:f>
          <m:fPr>
            <m:ctrlPr>
              <w:rPr>
                <w:rFonts w:ascii="Cambria Math" w:eastAsia="Calibri" w:hAnsi="Times New Roman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 xml:space="preserve">|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Φ^Ψ</m:t>
            </m:r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 w:themeColor="text1"/>
                <w:sz w:val="26"/>
                <w:szCs w:val="26"/>
              </w:rPr>
              <m:t>|</m:t>
            </m:r>
          </m:num>
          <m:den>
            <m:r>
              <w:rPr>
                <w:rFonts w:ascii="Cambria Math" w:eastAsia="Calibri" w:hAnsi="Cambria Math" w:cs="Times New Roman"/>
                <w:color w:val="000000" w:themeColor="text1"/>
                <w:sz w:val="26"/>
                <w:szCs w:val="26"/>
              </w:rPr>
              <m:t>|Ψ|</m:t>
            </m:r>
          </m:den>
        </m:f>
      </m:oMath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Ví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dụ</w:t>
      </w:r>
      <w:proofErr w:type="spellEnd"/>
      <w:r w:rsidRPr="00241DAF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 1.5:</w:t>
      </w: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Mỹ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,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,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</w:rPr>
        <w:t>3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đảng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:</w:t>
      </w: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(1)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400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(2)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200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  <w:bookmarkStart w:id="1" w:name="_GoBack"/>
      <w:bookmarkEnd w:id="1"/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(3)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250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ab/>
      </w:r>
    </w:p>
    <w:p w:rsidR="00241DAF" w:rsidRPr="00241DAF" w:rsidRDefault="00241DAF" w:rsidP="00241DA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lastRenderedPageBreak/>
        <w:t>(4)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50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(5)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3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90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3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1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(6)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3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Symbol" w:char="F0AE"/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10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cử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tri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nhóm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X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3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bầu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Y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vertAlign w:val="subscript"/>
          <w:lang w:val="fr-FR"/>
        </w:rPr>
        <w:t>2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);</w:t>
      </w:r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ab/>
      </w:r>
    </w:p>
    <w:p w:rsid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đánh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giá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quyết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cho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trong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bảng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1.5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dưới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đây</w:t>
      </w:r>
      <w:proofErr w:type="spellEnd"/>
      <w:r w:rsidRPr="00241DAF"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  <w:t>.</w:t>
      </w:r>
    </w:p>
    <w:p w:rsid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U = 400+200+250+50+90+10=1000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+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hỗ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trợ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tính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như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sau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 :</w:t>
      </w:r>
      <w:r w:rsidRPr="00241DAF">
        <w:rPr>
          <w:rFonts w:ascii="TimesNewRomanPSMT" w:hAnsi="TimesNewRomanPSMT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hỗ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trợ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một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tập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mục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X,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ký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hiệu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là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(X), là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tỉ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giữa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vụ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mà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tập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mục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đó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trên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tổng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vụ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. 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hỗ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trợ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X</w:t>
      </w:r>
      <w:r w:rsidRPr="00241DAF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proofErr w:type="gram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Y ,</w:t>
      </w:r>
      <w:proofErr w:type="gram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ký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hiệu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là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241DAF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Y)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định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như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sau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: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241DAF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Y)=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241DAF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∪</w:t>
      </w: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Y).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</w:t>
      </w:r>
      <w:proofErr w:type="spellStart"/>
      <w:proofErr w:type="gram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ví</w:t>
      </w:r>
      <w:proofErr w:type="spellEnd"/>
      <w:proofErr w:type="gram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dụ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Với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luật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1</w:t>
      </w:r>
      <w:r w:rsidRPr="00671275">
        <w:rPr>
          <w:rFonts w:ascii="Times New Roman" w:eastAsia="Calibri" w:hAnsi="Times New Roman" w:cs="Times New Roman"/>
          <w:color w:val="002060"/>
          <w:sz w:val="28"/>
          <w:szCs w:val="28"/>
          <w:lang w:val="fr-FR"/>
        </w:rPr>
        <w:t> </w:t>
      </w: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: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lần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là 400/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tổng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lần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tất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cả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các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1000=0.40)</w:t>
      </w:r>
    </w:p>
    <w:p w:rsidR="00241DAF" w:rsidRDefault="00241DAF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            +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chắc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chắn</w:t>
      </w:r>
      <w:proofErr w:type="spellEnd"/>
      <w:r w:rsidRPr="00241DAF">
        <w:rPr>
          <w:rFonts w:ascii="Times New Roman" w:eastAsia="Calibri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được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tính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như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sau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 :</w:t>
      </w:r>
    </w:p>
    <w:p w:rsidR="00755281" w:rsidRDefault="00755281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Độ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tin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cậy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dạng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r=X</w:t>
      </w:r>
      <w:r w:rsidRPr="00755281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Y,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ký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hiệu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là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conf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755281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Y)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được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định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nghĩa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: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Conf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755281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⇒</w:t>
      </w:r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Y)=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(X</w:t>
      </w:r>
      <w:r w:rsidRPr="00755281">
        <w:rPr>
          <w:rFonts w:ascii="Cambria Math" w:eastAsia="Calibri" w:hAnsi="Cambria Math" w:cs="Cambria Math"/>
          <w:color w:val="0070C0"/>
          <w:sz w:val="28"/>
          <w:szCs w:val="28"/>
          <w:lang w:val="fr-FR"/>
        </w:rPr>
        <w:t>∪</w:t>
      </w:r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Y)/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Supp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(X). </w:t>
      </w:r>
    </w:p>
    <w:p w:rsidR="00755281" w:rsidRDefault="00755281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Ta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thấy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độ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tin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cậy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một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chính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là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xác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suất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có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điều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kiện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tác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vụ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chứa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Y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xét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trong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điều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kiện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chứa</w:t>
      </w:r>
      <w:proofErr w:type="spellEnd"/>
      <w:r w:rsidRPr="00755281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X</w:t>
      </w:r>
    </w:p>
    <w:p w:rsidR="00671275" w:rsidRPr="008704B5" w:rsidRDefault="008704B5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</w:pPr>
      <w:proofErr w:type="spellStart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Ví</w:t>
      </w:r>
      <w:proofErr w:type="spellEnd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dụ</w:t>
      </w:r>
      <w:proofErr w:type="spellEnd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luật</w:t>
      </w:r>
      <w:proofErr w:type="spellEnd"/>
      <w:r w:rsidRPr="008704B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1 : </w:t>
      </w:r>
    </w:p>
    <w:p w:rsidR="00241DAF" w:rsidRPr="00241DAF" w:rsidRDefault="00241DAF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+ </w:t>
      </w:r>
      <w:proofErr w:type="spellStart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Độ</w:t>
      </w:r>
      <w:proofErr w:type="spellEnd"/>
      <w:r w:rsidRPr="00241DAF"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bao</w:t>
      </w:r>
      <w:proofErr w:type="spellEnd"/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fr-FR"/>
        </w:rPr>
        <w:t>phủ</w:t>
      </w:r>
      <w:proofErr w:type="spellEnd"/>
      <w:r w:rsidRPr="00241DAF">
        <w:rPr>
          <w:rFonts w:ascii="Times New Roman" w:eastAsia="Calibri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được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tính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như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sau</w:t>
      </w:r>
      <w:proofErr w:type="spellEnd"/>
      <w:r w:rsidRPr="00241DAF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 :</w:t>
      </w:r>
    </w:p>
    <w:p w:rsidR="00755281" w:rsidRDefault="00755281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Ví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dụ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luật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1</w:t>
      </w:r>
      <w:r w:rsidRPr="00671275">
        <w:rPr>
          <w:rFonts w:ascii="Times New Roman" w:eastAsia="Calibri" w:hAnsi="Times New Roman" w:cs="Times New Roman"/>
          <w:color w:val="002060"/>
          <w:sz w:val="28"/>
          <w:szCs w:val="28"/>
          <w:lang w:val="fr-FR"/>
        </w:rPr>
        <w:t> </w:t>
      </w:r>
      <w:proofErr w:type="gram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: 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proofErr w:type="gram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lần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x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của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1</w:t>
      </w:r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/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Tổng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y = (</w:t>
      </w:r>
      <w:r w:rsidR="00671275"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400</w:t>
      </w:r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)/(400+250+90)=0.54</w:t>
      </w:r>
    </w:p>
    <w:p w:rsidR="00755281" w:rsidRDefault="00671275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Ví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dụ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</w:t>
      </w:r>
      <w:proofErr w:type="spellStart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>luật</w:t>
      </w:r>
      <w:proofErr w:type="spellEnd"/>
      <w:r w:rsidRPr="00671275">
        <w:rPr>
          <w:rFonts w:ascii="Times New Roman" w:eastAsia="Calibri" w:hAnsi="Times New Roman" w:cs="Times New Roman"/>
          <w:b/>
          <w:color w:val="002060"/>
          <w:sz w:val="28"/>
          <w:szCs w:val="28"/>
          <w:lang w:val="fr-FR"/>
        </w:rPr>
        <w:t xml:space="preserve"> 2</w:t>
      </w:r>
      <w:r w:rsidRPr="00671275">
        <w:rPr>
          <w:rFonts w:ascii="Times New Roman" w:eastAsia="Calibri" w:hAnsi="Times New Roman" w:cs="Times New Roman"/>
          <w:color w:val="002060"/>
          <w:sz w:val="28"/>
          <w:szCs w:val="28"/>
          <w:lang w:val="fr-FR"/>
        </w:rPr>
        <w:t> </w:t>
      </w:r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: 200(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lượng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x1--&gt;y2/ (200+50+10) (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số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lần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xuất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hiện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y2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trong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tất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cả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các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luật</w:t>
      </w:r>
      <w:proofErr w:type="spellEnd"/>
      <w:r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  <w:t>) = 200/260=0.77</w:t>
      </w:r>
    </w:p>
    <w:p w:rsidR="00671275" w:rsidRDefault="00671275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</w:p>
    <w:p w:rsidR="00241DAF" w:rsidRPr="00241DAF" w:rsidRDefault="00241DAF" w:rsidP="00241DAF">
      <w:pPr>
        <w:tabs>
          <w:tab w:val="left" w:pos="6480"/>
        </w:tabs>
        <w:spacing w:after="0" w:line="360" w:lineRule="auto"/>
        <w:jc w:val="both"/>
        <w:rPr>
          <w:rFonts w:ascii="Times New Roman" w:eastAsia="Calibri" w:hAnsi="Times New Roman" w:cs="Times New Roman"/>
          <w:color w:val="0070C0"/>
          <w:sz w:val="28"/>
          <w:szCs w:val="28"/>
          <w:lang w:val="fr-FR"/>
        </w:rPr>
      </w:pPr>
    </w:p>
    <w:p w:rsidR="00241DAF" w:rsidRPr="00241DAF" w:rsidRDefault="00241DAF" w:rsidP="00241DAF">
      <w:pPr>
        <w:tabs>
          <w:tab w:val="left" w:pos="6480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fr-FR"/>
        </w:rPr>
      </w:pPr>
    </w:p>
    <w:p w:rsidR="00241DAF" w:rsidRPr="00241DAF" w:rsidRDefault="00241DAF" w:rsidP="00241DAF">
      <w:pPr>
        <w:keepNext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</w:pPr>
      <w:bookmarkStart w:id="2" w:name="_Toc484870158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vi-VN"/>
        </w:rPr>
        <w:lastRenderedPageBreak/>
        <w:t>Bảng 1.</w:t>
      </w:r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vi-VN"/>
        </w:rPr>
        <w:fldChar w:fldCharType="begin"/>
      </w:r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vi-VN"/>
        </w:rPr>
        <w:instrText xml:space="preserve"> SEQ Bảng_1. \* ARABIC </w:instrText>
      </w:r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vi-VN"/>
        </w:rPr>
        <w:fldChar w:fldCharType="separate"/>
      </w:r>
      <w:r w:rsidRPr="00241DAF">
        <w:rPr>
          <w:rFonts w:ascii="Times New Roman" w:eastAsia="Times New Roman" w:hAnsi="Times New Roman" w:cs="Times New Roman"/>
          <w:b/>
          <w:bCs/>
          <w:noProof/>
          <w:sz w:val="24"/>
          <w:szCs w:val="18"/>
          <w:lang w:val="vi-VN"/>
        </w:rPr>
        <w:t>5</w:t>
      </w:r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vi-VN"/>
        </w:rPr>
        <w:fldChar w:fldCharType="end"/>
      </w:r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:</w:t>
      </w:r>
      <w:r w:rsidRPr="00241DAF">
        <w:rPr>
          <w:rFonts w:ascii="Times New Roman" w:eastAsia="Times New Roman" w:hAnsi="Times New Roman" w:cs="Times New Roman"/>
          <w:noProof/>
          <w:spacing w:val="1"/>
          <w:sz w:val="24"/>
          <w:szCs w:val="2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Các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độ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đo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của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luật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quyết</w:t>
      </w:r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 xml:space="preserve"> </w:t>
      </w:r>
      <w:proofErr w:type="spellStart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>định</w:t>
      </w:r>
      <w:bookmarkEnd w:id="2"/>
      <w:proofErr w:type="spellEnd"/>
      <w:r w:rsidRPr="00241DAF">
        <w:rPr>
          <w:rFonts w:ascii="Times New Roman" w:eastAsia="Times New Roman" w:hAnsi="Times New Roman" w:cs="Times New Roman"/>
          <w:b/>
          <w:bCs/>
          <w:sz w:val="24"/>
          <w:szCs w:val="18"/>
          <w:lang w:val="fr-FR"/>
        </w:rPr>
        <w:tab/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2147"/>
        <w:gridCol w:w="2247"/>
        <w:gridCol w:w="2255"/>
        <w:gridCol w:w="2140"/>
      </w:tblGrid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chắc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chắn</w:t>
            </w:r>
            <w:proofErr w:type="spellEnd"/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bao</w:t>
            </w:r>
            <w:proofErr w:type="spellEnd"/>
            <w:r w:rsidRPr="00241DA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DAF">
              <w:rPr>
                <w:b/>
                <w:color w:val="000000" w:themeColor="text1"/>
                <w:sz w:val="26"/>
                <w:szCs w:val="26"/>
              </w:rPr>
              <w:t>phủ</w:t>
            </w:r>
            <w:proofErr w:type="spellEnd"/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0.40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0.67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0.54</w:t>
            </w:r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0.20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0.33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0.77</w:t>
            </w:r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0.83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0.34</w:t>
            </w:r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0.05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0.17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0.19</w:t>
            </w:r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0.09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0.90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0.12</w:t>
            </w:r>
          </w:p>
        </w:tc>
      </w:tr>
      <w:tr w:rsidR="00241DAF" w:rsidRPr="00241DAF" w:rsidTr="00A83923">
        <w:tc>
          <w:tcPr>
            <w:tcW w:w="21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247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0.01</w:t>
            </w:r>
          </w:p>
        </w:tc>
        <w:tc>
          <w:tcPr>
            <w:tcW w:w="2255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0.10</w:t>
            </w:r>
          </w:p>
        </w:tc>
        <w:tc>
          <w:tcPr>
            <w:tcW w:w="2140" w:type="dxa"/>
          </w:tcPr>
          <w:p w:rsidR="00241DAF" w:rsidRPr="00241DAF" w:rsidRDefault="00241DAF" w:rsidP="00241DAF">
            <w:pPr>
              <w:tabs>
                <w:tab w:val="left" w:pos="5814"/>
              </w:tabs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41DAF">
              <w:rPr>
                <w:color w:val="000000" w:themeColor="text1"/>
                <w:sz w:val="26"/>
                <w:szCs w:val="26"/>
              </w:rPr>
              <w:t>0.04</w:t>
            </w:r>
          </w:p>
        </w:tc>
      </w:tr>
    </w:tbl>
    <w:p w:rsidR="00681F4A" w:rsidRDefault="008704B5"/>
    <w:p w:rsidR="00241DAF" w:rsidRDefault="00241DAF"/>
    <w:sectPr w:rsidR="0024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AF"/>
    <w:rsid w:val="0000658A"/>
    <w:rsid w:val="00083BAC"/>
    <w:rsid w:val="000C6A1F"/>
    <w:rsid w:val="00241DAF"/>
    <w:rsid w:val="00666326"/>
    <w:rsid w:val="00671275"/>
    <w:rsid w:val="00755281"/>
    <w:rsid w:val="008704B5"/>
    <w:rsid w:val="008F2A1E"/>
    <w:rsid w:val="00A82D11"/>
    <w:rsid w:val="00AF1F79"/>
    <w:rsid w:val="00E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41DA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41DA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2017-06-10T17:33:00Z</dcterms:created>
  <dcterms:modified xsi:type="dcterms:W3CDTF">2017-06-10T18:10:00Z</dcterms:modified>
</cp:coreProperties>
</file>