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Inline equation: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remains in text flow.</w:t>
      </w:r>
    </w:p>
    <w:sectPr>
      <w:pgSz w:w="11906" w:h="16838"/>
      <w:pgMar w:top="1440" w:right="1440" w:bottom="1440" w:left="1440" w:header="708" w:footer="708" w:gutter="0"/>
    </w:sectPr>
  </w:body>
</w:document>
</file>