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354h93z0o7yj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Chu trình xử lý thông tin — Hệ thống bán hàng online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dhfwo1m3rc6b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 Nhập dữ liệu (Input)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Người dùng chọn sản phẩm, nhập số lượng, địa chỉ giao hàng, phương thức thanh toán.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Hệ thống ghi nhận thông tin đơn hàng và khách hàng.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8hrf8w66jomc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2. Xử lý dữ liệu (Processing)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Kiểm tra tồn kho, tính giá, phí vận chuyển, khuyến mãi.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Chuyển thông tin sang cổng thanh toán và xác nhận.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Tạo mã đơn hàng và thông báo cho khách hàng.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36yqnbqudf4m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3. Lưu trữ dữ liệu (Storage)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Lưu đơn hàng, thông tin khách hàng, thanh toán vào cơ sở dữ liệu.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Lưu hóa đơn, lịch sử mua hàng để tra cứu sau.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pxejhawlyk22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4. Xuất kết quả (Output)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Gửi email/SMS xác nhận đơn hàng cho khách.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Cập nhật trạng thái đơn hàng trên website/app.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Xuất hóa đơn, báo cáo cho quản lý.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Sơ đồ minh họa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→ PROCESSING → STORAGE → OUTPUT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Người dùng → Hệ thống xử lý → Cơ sở dữ liệu → Kết quả (email, hóa đơn, báo cáo)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