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3AC74" w14:textId="77777777" w:rsidR="008E61E4" w:rsidRDefault="00361936">
      <w:r w:rsidRPr="00361936">
        <w:t>Editor and Reviewer Comments: </w:t>
      </w:r>
      <w:r w:rsidRPr="00361936">
        <w:rPr>
          <w:rFonts w:ascii="Arial" w:hAnsi="Arial" w:cs="Arial"/>
        </w:rPr>
        <w:t> </w:t>
      </w:r>
      <w:r w:rsidRPr="00361936">
        <w:br/>
      </w:r>
      <w:r w:rsidRPr="00361936">
        <w:br/>
        <w:t>Reviewer #1: Title is generic. Sharpen scope and setting.</w:t>
      </w:r>
      <w:r w:rsidRPr="00361936">
        <w:br/>
      </w:r>
      <w:r w:rsidRPr="00361936">
        <w:br/>
        <w:t>Abstract: reduce promotion, report uncertainty. Add MAE or 95% PI beside R² and RMSE for same-day and next-day results .</w:t>
      </w:r>
      <w:r w:rsidRPr="00361936">
        <w:br/>
      </w:r>
      <w:r w:rsidRPr="00361936">
        <w:br/>
        <w:t>Sampling times: "11:30 PM" looks wrong; likely 11:30 AM. Fix all times and ensure consistency across text and figures .</w:t>
      </w:r>
      <w:r w:rsidRPr="00361936">
        <w:br/>
      </w:r>
      <w:r w:rsidRPr="00361936">
        <w:br/>
        <w:t>Study area: unit missing. "covering 300 …" add hectares and verify pipeline description for clarity .</w:t>
      </w:r>
      <w:r w:rsidRPr="00361936">
        <w:br/>
      </w:r>
      <w:r w:rsidRPr="00361936">
        <w:br/>
        <w:t>Data completeness: "no missing values" requires evidence. Describe QC, sensor downtime handling, and any imputation strategy .</w:t>
      </w:r>
      <w:r w:rsidRPr="00361936">
        <w:br/>
      </w:r>
      <w:r w:rsidRPr="00361936">
        <w:br/>
        <w:t xml:space="preserve">Splitting and validation: random 60-20-20 and standard k-fold can leak across time and ponds. Use pond-grouped and time-aware splits; keep external farms strictly held </w:t>
      </w:r>
      <w:proofErr w:type="gramStart"/>
      <w:r w:rsidRPr="00361936">
        <w:t>out .</w:t>
      </w:r>
      <w:proofErr w:type="gramEnd"/>
    </w:p>
    <w:p w14:paraId="6A80DC09" w14:textId="1BE9CA9B" w:rsidR="005466E8" w:rsidRDefault="008E61E4">
      <w:proofErr w:type="spellStart"/>
      <w:r w:rsidRPr="008E61E4">
        <w:rPr>
          <w:highlight w:val="yellow"/>
        </w:rPr>
        <w:t>Thuận</w:t>
      </w:r>
      <w:proofErr w:type="spellEnd"/>
      <w:r w:rsidRPr="008E61E4">
        <w:rPr>
          <w:highlight w:val="yellow"/>
        </w:rPr>
        <w:t xml:space="preserve">: </w:t>
      </w:r>
      <w:proofErr w:type="spellStart"/>
      <w:r w:rsidRPr="008E61E4">
        <w:rPr>
          <w:highlight w:val="yellow"/>
        </w:rPr>
        <w:t>Nếu</w:t>
      </w:r>
      <w:proofErr w:type="spellEnd"/>
      <w:r w:rsidRPr="008E61E4">
        <w:rPr>
          <w:highlight w:val="yellow"/>
        </w:rPr>
        <w:t xml:space="preserve"> </w:t>
      </w:r>
      <w:proofErr w:type="spellStart"/>
      <w:r w:rsidRPr="008E61E4">
        <w:rPr>
          <w:highlight w:val="yellow"/>
        </w:rPr>
        <w:t>yêu</w:t>
      </w:r>
      <w:proofErr w:type="spellEnd"/>
      <w:r w:rsidRPr="008E61E4">
        <w:rPr>
          <w:highlight w:val="yellow"/>
        </w:rPr>
        <w:t xml:space="preserve"> </w:t>
      </w:r>
      <w:proofErr w:type="spellStart"/>
      <w:r w:rsidRPr="008E61E4">
        <w:rPr>
          <w:highlight w:val="yellow"/>
        </w:rPr>
        <w:t>cầu</w:t>
      </w:r>
      <w:proofErr w:type="spellEnd"/>
      <w:r w:rsidRPr="008E61E4">
        <w:rPr>
          <w:highlight w:val="yellow"/>
        </w:rPr>
        <w:t xml:space="preserve"> </w:t>
      </w:r>
      <w:proofErr w:type="spellStart"/>
      <w:r w:rsidRPr="008E61E4">
        <w:rPr>
          <w:highlight w:val="yellow"/>
        </w:rPr>
        <w:t>thì</w:t>
      </w:r>
      <w:proofErr w:type="spellEnd"/>
      <w:r w:rsidRPr="008E61E4">
        <w:rPr>
          <w:highlight w:val="yellow"/>
        </w:rPr>
        <w:t xml:space="preserve"> </w:t>
      </w:r>
      <w:proofErr w:type="spellStart"/>
      <w:r w:rsidRPr="008E61E4">
        <w:rPr>
          <w:highlight w:val="yellow"/>
        </w:rPr>
        <w:t>cần</w:t>
      </w:r>
      <w:proofErr w:type="spellEnd"/>
      <w:r w:rsidRPr="008E61E4">
        <w:rPr>
          <w:highlight w:val="yellow"/>
        </w:rPr>
        <w:t xml:space="preserve"> </w:t>
      </w:r>
      <w:proofErr w:type="spellStart"/>
      <w:r w:rsidRPr="008E61E4">
        <w:rPr>
          <w:highlight w:val="yellow"/>
        </w:rPr>
        <w:t>chạy</w:t>
      </w:r>
      <w:proofErr w:type="spellEnd"/>
      <w:r w:rsidRPr="008E61E4">
        <w:rPr>
          <w:highlight w:val="yellow"/>
        </w:rPr>
        <w:t xml:space="preserve"> </w:t>
      </w:r>
      <w:proofErr w:type="spellStart"/>
      <w:r w:rsidRPr="008E61E4">
        <w:rPr>
          <w:highlight w:val="yellow"/>
        </w:rPr>
        <w:t>lại</w:t>
      </w:r>
      <w:proofErr w:type="spellEnd"/>
      <w:r w:rsidRPr="008E61E4">
        <w:rPr>
          <w:highlight w:val="yellow"/>
        </w:rPr>
        <w:t xml:space="preserve"> model</w:t>
      </w:r>
      <w:r w:rsidR="00BB6C9C" w:rsidRPr="00BB6C9C">
        <w:rPr>
          <w:highlight w:val="yellow"/>
        </w:rPr>
        <w:t xml:space="preserve">. </w:t>
      </w:r>
      <w:proofErr w:type="spellStart"/>
      <w:r w:rsidR="00BB6C9C" w:rsidRPr="00BB6C9C">
        <w:rPr>
          <w:highlight w:val="yellow"/>
        </w:rPr>
        <w:t>Yêu</w:t>
      </w:r>
      <w:proofErr w:type="spellEnd"/>
      <w:r w:rsidR="00BB6C9C" w:rsidRPr="00BB6C9C">
        <w:rPr>
          <w:highlight w:val="yellow"/>
        </w:rPr>
        <w:t xml:space="preserve"> </w:t>
      </w:r>
      <w:proofErr w:type="spellStart"/>
      <w:r w:rsidR="00BB6C9C" w:rsidRPr="00BB6C9C">
        <w:rPr>
          <w:highlight w:val="yellow"/>
        </w:rPr>
        <w:t>cầu</w:t>
      </w:r>
      <w:proofErr w:type="spellEnd"/>
      <w:r w:rsidR="00BB6C9C" w:rsidRPr="00BB6C9C">
        <w:rPr>
          <w:highlight w:val="yellow"/>
        </w:rPr>
        <w:t xml:space="preserve"> </w:t>
      </w:r>
      <w:proofErr w:type="spellStart"/>
      <w:r w:rsidR="00BB6C9C" w:rsidRPr="00BB6C9C">
        <w:rPr>
          <w:highlight w:val="yellow"/>
        </w:rPr>
        <w:t>này</w:t>
      </w:r>
      <w:proofErr w:type="spellEnd"/>
      <w:r w:rsidR="00BB6C9C" w:rsidRPr="00BB6C9C">
        <w:rPr>
          <w:highlight w:val="yellow"/>
        </w:rPr>
        <w:t xml:space="preserve"> </w:t>
      </w:r>
      <w:proofErr w:type="spellStart"/>
      <w:r w:rsidR="00BB6C9C" w:rsidRPr="00BB6C9C">
        <w:rPr>
          <w:highlight w:val="yellow"/>
        </w:rPr>
        <w:t>sẽ</w:t>
      </w:r>
      <w:proofErr w:type="spellEnd"/>
      <w:r w:rsidR="00BB6C9C" w:rsidRPr="00BB6C9C">
        <w:rPr>
          <w:highlight w:val="yellow"/>
        </w:rPr>
        <w:t xml:space="preserve"> </w:t>
      </w:r>
      <w:proofErr w:type="spellStart"/>
      <w:r w:rsidR="00BB6C9C" w:rsidRPr="00BB6C9C">
        <w:rPr>
          <w:highlight w:val="yellow"/>
        </w:rPr>
        <w:t>dẫn</w:t>
      </w:r>
      <w:proofErr w:type="spellEnd"/>
      <w:r w:rsidR="00BB6C9C" w:rsidRPr="00BB6C9C">
        <w:rPr>
          <w:highlight w:val="yellow"/>
        </w:rPr>
        <w:t xml:space="preserve"> </w:t>
      </w:r>
      <w:proofErr w:type="spellStart"/>
      <w:r w:rsidR="00BB6C9C" w:rsidRPr="00BB6C9C">
        <w:rPr>
          <w:highlight w:val="yellow"/>
        </w:rPr>
        <w:t>đến</w:t>
      </w:r>
      <w:proofErr w:type="spellEnd"/>
      <w:r w:rsidR="00BB6C9C" w:rsidRPr="00BB6C9C">
        <w:rPr>
          <w:highlight w:val="yellow"/>
        </w:rPr>
        <w:t xml:space="preserve"> </w:t>
      </w:r>
      <w:proofErr w:type="spellStart"/>
      <w:r w:rsidR="00BB6C9C" w:rsidRPr="00BB6C9C">
        <w:rPr>
          <w:highlight w:val="yellow"/>
        </w:rPr>
        <w:t>việc</w:t>
      </w:r>
      <w:proofErr w:type="spellEnd"/>
      <w:r w:rsidR="00BB6C9C" w:rsidRPr="00BB6C9C">
        <w:rPr>
          <w:highlight w:val="yellow"/>
        </w:rPr>
        <w:t xml:space="preserve"> </w:t>
      </w:r>
      <w:proofErr w:type="spellStart"/>
      <w:r w:rsidR="00BB6C9C" w:rsidRPr="00BB6C9C">
        <w:rPr>
          <w:highlight w:val="yellow"/>
        </w:rPr>
        <w:t>sẽ</w:t>
      </w:r>
      <w:proofErr w:type="spellEnd"/>
      <w:r w:rsidR="00BB6C9C" w:rsidRPr="00BB6C9C">
        <w:rPr>
          <w:highlight w:val="yellow"/>
        </w:rPr>
        <w:t xml:space="preserve"> </w:t>
      </w:r>
      <w:proofErr w:type="spellStart"/>
      <w:r w:rsidR="00BB6C9C" w:rsidRPr="00BB6C9C">
        <w:rPr>
          <w:highlight w:val="yellow"/>
        </w:rPr>
        <w:t>không</w:t>
      </w:r>
      <w:proofErr w:type="spellEnd"/>
      <w:r w:rsidR="00BB6C9C" w:rsidRPr="00BB6C9C">
        <w:rPr>
          <w:highlight w:val="yellow"/>
        </w:rPr>
        <w:t xml:space="preserve"> </w:t>
      </w:r>
      <w:proofErr w:type="spellStart"/>
      <w:r w:rsidR="00BB6C9C" w:rsidRPr="00BB6C9C">
        <w:rPr>
          <w:highlight w:val="yellow"/>
        </w:rPr>
        <w:t>thể</w:t>
      </w:r>
      <w:proofErr w:type="spellEnd"/>
      <w:r w:rsidR="00BB6C9C" w:rsidRPr="00BB6C9C">
        <w:rPr>
          <w:highlight w:val="yellow"/>
        </w:rPr>
        <w:t xml:space="preserve"> </w:t>
      </w:r>
      <w:proofErr w:type="spellStart"/>
      <w:r w:rsidR="00BB6C9C" w:rsidRPr="00BB6C9C">
        <w:rPr>
          <w:highlight w:val="yellow"/>
        </w:rPr>
        <w:t>lặp</w:t>
      </w:r>
      <w:proofErr w:type="spellEnd"/>
      <w:r w:rsidR="00BB6C9C" w:rsidRPr="00BB6C9C">
        <w:rPr>
          <w:highlight w:val="yellow"/>
        </w:rPr>
        <w:t xml:space="preserve"> </w:t>
      </w:r>
      <w:proofErr w:type="spellStart"/>
      <w:r w:rsidR="00BB6C9C" w:rsidRPr="00BB6C9C">
        <w:rPr>
          <w:highlight w:val="yellow"/>
        </w:rPr>
        <w:t>số</w:t>
      </w:r>
      <w:proofErr w:type="spellEnd"/>
      <w:r w:rsidR="00BB6C9C" w:rsidRPr="00BB6C9C">
        <w:rPr>
          <w:highlight w:val="yellow"/>
        </w:rPr>
        <w:t xml:space="preserve"> </w:t>
      </w:r>
      <w:proofErr w:type="spellStart"/>
      <w:r w:rsidR="00BB6C9C" w:rsidRPr="00BB6C9C">
        <w:rPr>
          <w:highlight w:val="yellow"/>
        </w:rPr>
        <w:t>lượng</w:t>
      </w:r>
      <w:proofErr w:type="spellEnd"/>
      <w:r w:rsidR="00BB6C9C" w:rsidRPr="00BB6C9C">
        <w:rPr>
          <w:highlight w:val="yellow"/>
        </w:rPr>
        <w:t xml:space="preserve"> </w:t>
      </w:r>
      <w:proofErr w:type="spellStart"/>
      <w:r w:rsidR="00BB6C9C" w:rsidRPr="00BB6C9C">
        <w:rPr>
          <w:highlight w:val="yellow"/>
        </w:rPr>
        <w:t>lớn</w:t>
      </w:r>
      <w:proofErr w:type="spellEnd"/>
      <w:r w:rsidR="00BB6C9C" w:rsidRPr="00BB6C9C">
        <w:rPr>
          <w:highlight w:val="yellow"/>
        </w:rPr>
        <w:t xml:space="preserve"> (200 </w:t>
      </w:r>
      <w:proofErr w:type="spellStart"/>
      <w:r w:rsidR="00BB6C9C" w:rsidRPr="00BB6C9C">
        <w:rPr>
          <w:highlight w:val="yellow"/>
        </w:rPr>
        <w:t>lần</w:t>
      </w:r>
      <w:proofErr w:type="spellEnd"/>
      <w:r w:rsidR="00BB6C9C" w:rsidRPr="00BB6C9C">
        <w:rPr>
          <w:highlight w:val="yellow"/>
        </w:rPr>
        <w:t xml:space="preserve">) </w:t>
      </w:r>
      <w:proofErr w:type="spellStart"/>
      <w:r w:rsidR="00BB6C9C" w:rsidRPr="00BB6C9C">
        <w:rPr>
          <w:highlight w:val="yellow"/>
        </w:rPr>
        <w:t>như</w:t>
      </w:r>
      <w:proofErr w:type="spellEnd"/>
      <w:r w:rsidR="00BB6C9C" w:rsidRPr="00BB6C9C">
        <w:rPr>
          <w:highlight w:val="yellow"/>
        </w:rPr>
        <w:t xml:space="preserve"> </w:t>
      </w:r>
      <w:proofErr w:type="spellStart"/>
      <w:r w:rsidR="00BB6C9C" w:rsidRPr="00842D79">
        <w:rPr>
          <w:highlight w:val="yellow"/>
        </w:rPr>
        <w:t>mình</w:t>
      </w:r>
      <w:proofErr w:type="spellEnd"/>
      <w:r w:rsidR="00BB6C9C" w:rsidRPr="00842D79">
        <w:rPr>
          <w:highlight w:val="yellow"/>
        </w:rPr>
        <w:t xml:space="preserve"> </w:t>
      </w:r>
      <w:proofErr w:type="spellStart"/>
      <w:r w:rsidR="00BB6C9C" w:rsidRPr="00842D79">
        <w:rPr>
          <w:highlight w:val="yellow"/>
        </w:rPr>
        <w:t>đã</w:t>
      </w:r>
      <w:proofErr w:type="spellEnd"/>
      <w:r w:rsidR="00BB6C9C" w:rsidRPr="00842D79">
        <w:rPr>
          <w:highlight w:val="yellow"/>
        </w:rPr>
        <w:t xml:space="preserve"> </w:t>
      </w:r>
      <w:proofErr w:type="spellStart"/>
      <w:r w:rsidR="00BB6C9C" w:rsidRPr="00842D79">
        <w:rPr>
          <w:highlight w:val="yellow"/>
        </w:rPr>
        <w:t>làm</w:t>
      </w:r>
      <w:proofErr w:type="spellEnd"/>
      <w:r w:rsidR="00BB6C9C" w:rsidRPr="00842D79">
        <w:rPr>
          <w:highlight w:val="yellow"/>
        </w:rPr>
        <w:t>.</w:t>
      </w:r>
      <w:r w:rsidR="00842D79" w:rsidRPr="00842D79">
        <w:rPr>
          <w:highlight w:val="yellow"/>
        </w:rPr>
        <w:t xml:space="preserve"> </w:t>
      </w:r>
      <w:proofErr w:type="spellStart"/>
      <w:r w:rsidR="00842D79" w:rsidRPr="00842D79">
        <w:rPr>
          <w:highlight w:val="yellow"/>
        </w:rPr>
        <w:t>Có</w:t>
      </w:r>
      <w:proofErr w:type="spellEnd"/>
      <w:r w:rsidR="00842D79" w:rsidRPr="00842D79">
        <w:rPr>
          <w:highlight w:val="yellow"/>
        </w:rPr>
        <w:t xml:space="preserve"> </w:t>
      </w:r>
      <w:proofErr w:type="spellStart"/>
      <w:r w:rsidR="00842D79" w:rsidRPr="00842D79">
        <w:rPr>
          <w:highlight w:val="yellow"/>
        </w:rPr>
        <w:t>thể</w:t>
      </w:r>
      <w:proofErr w:type="spellEnd"/>
      <w:r w:rsidR="00842D79" w:rsidRPr="00842D79">
        <w:rPr>
          <w:highlight w:val="yellow"/>
        </w:rPr>
        <w:t xml:space="preserve"> </w:t>
      </w:r>
      <w:proofErr w:type="spellStart"/>
      <w:r w:rsidR="00842D79" w:rsidRPr="00842D79">
        <w:rPr>
          <w:highlight w:val="yellow"/>
        </w:rPr>
        <w:t>thay</w:t>
      </w:r>
      <w:proofErr w:type="spellEnd"/>
      <w:r w:rsidR="00842D79" w:rsidRPr="00842D79">
        <w:rPr>
          <w:highlight w:val="yellow"/>
        </w:rPr>
        <w:t xml:space="preserve"> </w:t>
      </w:r>
      <w:proofErr w:type="spellStart"/>
      <w:r w:rsidR="00842D79" w:rsidRPr="00842D79">
        <w:rPr>
          <w:highlight w:val="yellow"/>
        </w:rPr>
        <w:t>bằng</w:t>
      </w:r>
      <w:proofErr w:type="spellEnd"/>
      <w:r w:rsidR="00842D79" w:rsidRPr="00842D79">
        <w:rPr>
          <w:highlight w:val="yellow"/>
        </w:rPr>
        <w:t xml:space="preserve"> “Rolling CV” </w:t>
      </w:r>
      <w:proofErr w:type="spellStart"/>
      <w:r w:rsidR="00842D79" w:rsidRPr="00842D79">
        <w:rPr>
          <w:highlight w:val="yellow"/>
        </w:rPr>
        <w:t>như</w:t>
      </w:r>
      <w:proofErr w:type="spellEnd"/>
      <w:r w:rsidR="00842D79" w:rsidRPr="00842D79">
        <w:rPr>
          <w:highlight w:val="yellow"/>
        </w:rPr>
        <w:t xml:space="preserve"> </w:t>
      </w:r>
      <w:proofErr w:type="spellStart"/>
      <w:r w:rsidR="00842D79" w:rsidRPr="00842D79">
        <w:rPr>
          <w:highlight w:val="yellow"/>
        </w:rPr>
        <w:t>đề</w:t>
      </w:r>
      <w:proofErr w:type="spellEnd"/>
      <w:r w:rsidR="00842D79" w:rsidRPr="00842D79">
        <w:rPr>
          <w:highlight w:val="yellow"/>
        </w:rPr>
        <w:t xml:space="preserve"> </w:t>
      </w:r>
      <w:proofErr w:type="spellStart"/>
      <w:r w:rsidR="00842D79" w:rsidRPr="00842D79">
        <w:rPr>
          <w:highlight w:val="yellow"/>
        </w:rPr>
        <w:t>xuất</w:t>
      </w:r>
      <w:proofErr w:type="spellEnd"/>
      <w:r w:rsidR="00842D79" w:rsidRPr="00842D79">
        <w:rPr>
          <w:highlight w:val="yellow"/>
        </w:rPr>
        <w:t>.</w:t>
      </w:r>
      <w:r w:rsidR="00361936" w:rsidRPr="00361936">
        <w:br/>
      </w:r>
      <w:r w:rsidR="00361936" w:rsidRPr="00361936">
        <w:br/>
        <w:t>Feature importance: SVR uses RBF; "weights" are not model parameters. Replace with permutation importance and SHAP in Methods 2.4.2-2.4.3; keep RFR impurity importance only as ancillary . Add SHAP reference in 2.4.2: "We interpret models using SHAP DOI: 10.48550/arXiv.1705.07874."</w:t>
      </w:r>
      <w:r w:rsidR="00361936" w:rsidRPr="00361936">
        <w:br/>
      </w:r>
      <w:r w:rsidR="00361936" w:rsidRPr="00361936">
        <w:br/>
        <w:t>Outlier policy: text claims z≤3 improves results, but Table 1 shows mixed effects and even higher RMSE for ANN. Align narrative with table and justify threshold selection statistically and ecologically .</w:t>
      </w:r>
      <w:r w:rsidR="00361936" w:rsidRPr="00361936">
        <w:br/>
      </w:r>
      <w:r w:rsidR="00361936" w:rsidRPr="00361936">
        <w:br/>
        <w:t xml:space="preserve">Model detail: ANN "three hidden layers with random neurons" is vague. Report exact architecture, activations, regularization, epochs, early stopping, and </w:t>
      </w:r>
      <w:proofErr w:type="gramStart"/>
      <w:r w:rsidR="00361936" w:rsidRPr="00361936">
        <w:t>seeds .</w:t>
      </w:r>
      <w:proofErr w:type="gramEnd"/>
    </w:p>
    <w:p w14:paraId="66C8E6AB" w14:textId="3DF07D66" w:rsidR="005466E8" w:rsidRDefault="005466E8">
      <w:proofErr w:type="spellStart"/>
      <w:r w:rsidRPr="005466E8">
        <w:rPr>
          <w:highlight w:val="yellow"/>
        </w:rPr>
        <w:t>Thuận</w:t>
      </w:r>
      <w:proofErr w:type="spellEnd"/>
      <w:r w:rsidRPr="005466E8">
        <w:rPr>
          <w:highlight w:val="yellow"/>
        </w:rPr>
        <w:t>:</w:t>
      </w:r>
      <w:r>
        <w:t xml:space="preserve"> </w:t>
      </w:r>
    </w:p>
    <w:tbl>
      <w:tblPr>
        <w:tblW w:w="8880" w:type="dxa"/>
        <w:tblLook w:val="04A0" w:firstRow="1" w:lastRow="0" w:firstColumn="1" w:lastColumn="0" w:noHBand="0" w:noVBand="1"/>
      </w:tblPr>
      <w:tblGrid>
        <w:gridCol w:w="2480"/>
        <w:gridCol w:w="2360"/>
        <w:gridCol w:w="4040"/>
      </w:tblGrid>
      <w:tr w:rsidR="005466E8" w:rsidRPr="005466E8" w14:paraId="213CB2D8" w14:textId="77777777" w:rsidTr="005466E8">
        <w:trPr>
          <w:trHeight w:val="288"/>
        </w:trPr>
        <w:tc>
          <w:tcPr>
            <w:tcW w:w="2480" w:type="dxa"/>
            <w:vMerge w:val="restart"/>
            <w:tcBorders>
              <w:top w:val="single" w:sz="4" w:space="0" w:color="auto"/>
              <w:left w:val="single" w:sz="4" w:space="0" w:color="auto"/>
              <w:bottom w:val="single" w:sz="4" w:space="0" w:color="auto"/>
              <w:right w:val="single" w:sz="4" w:space="0" w:color="auto"/>
            </w:tcBorders>
            <w:noWrap/>
            <w:vAlign w:val="center"/>
            <w:hideMark/>
          </w:tcPr>
          <w:p w14:paraId="3741D44F" w14:textId="77777777" w:rsidR="005466E8" w:rsidRPr="005466E8" w:rsidRDefault="005466E8" w:rsidP="005466E8">
            <w:pPr>
              <w:spacing w:after="0" w:line="240" w:lineRule="auto"/>
              <w:jc w:val="center"/>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ANN</w:t>
            </w:r>
          </w:p>
        </w:tc>
        <w:tc>
          <w:tcPr>
            <w:tcW w:w="2360" w:type="dxa"/>
            <w:tcBorders>
              <w:top w:val="single" w:sz="4" w:space="0" w:color="auto"/>
              <w:left w:val="nil"/>
              <w:bottom w:val="single" w:sz="4" w:space="0" w:color="auto"/>
              <w:right w:val="single" w:sz="4" w:space="0" w:color="auto"/>
            </w:tcBorders>
            <w:noWrap/>
            <w:vAlign w:val="bottom"/>
            <w:hideMark/>
          </w:tcPr>
          <w:p w14:paraId="737AA5C6"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loss</w:t>
            </w:r>
          </w:p>
        </w:tc>
        <w:tc>
          <w:tcPr>
            <w:tcW w:w="4040" w:type="dxa"/>
            <w:tcBorders>
              <w:top w:val="single" w:sz="4" w:space="0" w:color="auto"/>
              <w:left w:val="nil"/>
              <w:bottom w:val="single" w:sz="4" w:space="0" w:color="auto"/>
              <w:right w:val="single" w:sz="4" w:space="0" w:color="auto"/>
            </w:tcBorders>
            <w:noWrap/>
            <w:vAlign w:val="bottom"/>
            <w:hideMark/>
          </w:tcPr>
          <w:p w14:paraId="43369D48" w14:textId="77777777" w:rsidR="005466E8" w:rsidRPr="005466E8" w:rsidRDefault="005466E8" w:rsidP="005466E8">
            <w:pPr>
              <w:spacing w:after="0" w:line="240" w:lineRule="auto"/>
              <w:jc w:val="center"/>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MAE</w:t>
            </w:r>
          </w:p>
        </w:tc>
      </w:tr>
      <w:tr w:rsidR="005466E8" w:rsidRPr="005466E8" w14:paraId="38D9C2AA" w14:textId="77777777" w:rsidTr="005466E8">
        <w:trPr>
          <w:trHeight w:val="288"/>
        </w:trPr>
        <w:tc>
          <w:tcPr>
            <w:tcW w:w="2480" w:type="dxa"/>
            <w:vMerge/>
            <w:tcBorders>
              <w:top w:val="single" w:sz="4" w:space="0" w:color="auto"/>
              <w:left w:val="single" w:sz="4" w:space="0" w:color="auto"/>
              <w:bottom w:val="single" w:sz="4" w:space="0" w:color="auto"/>
              <w:right w:val="single" w:sz="4" w:space="0" w:color="auto"/>
            </w:tcBorders>
            <w:vAlign w:val="center"/>
            <w:hideMark/>
          </w:tcPr>
          <w:p w14:paraId="30A5BA39"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p>
        </w:tc>
        <w:tc>
          <w:tcPr>
            <w:tcW w:w="2360" w:type="dxa"/>
            <w:tcBorders>
              <w:top w:val="nil"/>
              <w:left w:val="nil"/>
              <w:bottom w:val="single" w:sz="4" w:space="0" w:color="auto"/>
              <w:right w:val="single" w:sz="4" w:space="0" w:color="auto"/>
            </w:tcBorders>
            <w:noWrap/>
            <w:vAlign w:val="bottom"/>
            <w:hideMark/>
          </w:tcPr>
          <w:p w14:paraId="60E5E78F"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 xml:space="preserve">activation function </w:t>
            </w:r>
          </w:p>
        </w:tc>
        <w:tc>
          <w:tcPr>
            <w:tcW w:w="4040" w:type="dxa"/>
            <w:tcBorders>
              <w:top w:val="nil"/>
              <w:left w:val="nil"/>
              <w:bottom w:val="single" w:sz="4" w:space="0" w:color="auto"/>
              <w:right w:val="single" w:sz="4" w:space="0" w:color="auto"/>
            </w:tcBorders>
            <w:noWrap/>
            <w:vAlign w:val="bottom"/>
            <w:hideMark/>
          </w:tcPr>
          <w:p w14:paraId="6EF14465" w14:textId="77777777" w:rsidR="005466E8" w:rsidRPr="005466E8" w:rsidRDefault="005466E8" w:rsidP="005466E8">
            <w:pPr>
              <w:spacing w:after="0" w:line="240" w:lineRule="auto"/>
              <w:jc w:val="center"/>
              <w:rPr>
                <w:rFonts w:ascii="Arial" w:eastAsia="Times New Roman" w:hAnsi="Arial" w:cs="Arial"/>
                <w:color w:val="202122"/>
                <w:kern w:val="0"/>
                <w:sz w:val="20"/>
                <w:szCs w:val="20"/>
                <w:highlight w:val="yellow"/>
                <w14:ligatures w14:val="none"/>
              </w:rPr>
            </w:pPr>
            <w:r w:rsidRPr="005466E8">
              <w:rPr>
                <w:rFonts w:ascii="Arial" w:eastAsia="Times New Roman" w:hAnsi="Arial" w:cs="Arial"/>
                <w:color w:val="202122"/>
                <w:kern w:val="0"/>
                <w:sz w:val="20"/>
                <w:szCs w:val="20"/>
                <w:highlight w:val="yellow"/>
                <w14:ligatures w14:val="none"/>
              </w:rPr>
              <w:t>Rectified linear unit (</w:t>
            </w:r>
            <w:proofErr w:type="spellStart"/>
            <w:r w:rsidRPr="005466E8">
              <w:rPr>
                <w:rFonts w:ascii="Arial" w:eastAsia="Times New Roman" w:hAnsi="Arial" w:cs="Arial"/>
                <w:color w:val="202122"/>
                <w:kern w:val="0"/>
                <w:sz w:val="20"/>
                <w:szCs w:val="20"/>
                <w:highlight w:val="yellow"/>
                <w14:ligatures w14:val="none"/>
              </w:rPr>
              <w:t>ReLU</w:t>
            </w:r>
            <w:proofErr w:type="spellEnd"/>
            <w:r w:rsidRPr="005466E8">
              <w:rPr>
                <w:rFonts w:ascii="Arial" w:eastAsia="Times New Roman" w:hAnsi="Arial" w:cs="Arial"/>
                <w:color w:val="202122"/>
                <w:kern w:val="0"/>
                <w:sz w:val="20"/>
                <w:szCs w:val="20"/>
                <w:highlight w:val="yellow"/>
                <w14:ligatures w14:val="none"/>
              </w:rPr>
              <w:t>)</w:t>
            </w:r>
          </w:p>
        </w:tc>
      </w:tr>
      <w:tr w:rsidR="005466E8" w:rsidRPr="005466E8" w14:paraId="7C6C0D3A" w14:textId="77777777" w:rsidTr="005466E8">
        <w:trPr>
          <w:trHeight w:val="288"/>
        </w:trPr>
        <w:tc>
          <w:tcPr>
            <w:tcW w:w="2480" w:type="dxa"/>
            <w:vMerge/>
            <w:tcBorders>
              <w:top w:val="single" w:sz="4" w:space="0" w:color="auto"/>
              <w:left w:val="single" w:sz="4" w:space="0" w:color="auto"/>
              <w:bottom w:val="single" w:sz="4" w:space="0" w:color="auto"/>
              <w:right w:val="single" w:sz="4" w:space="0" w:color="auto"/>
            </w:tcBorders>
            <w:vAlign w:val="center"/>
            <w:hideMark/>
          </w:tcPr>
          <w:p w14:paraId="150DC3DC"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p>
        </w:tc>
        <w:tc>
          <w:tcPr>
            <w:tcW w:w="2360" w:type="dxa"/>
            <w:tcBorders>
              <w:top w:val="nil"/>
              <w:left w:val="nil"/>
              <w:bottom w:val="single" w:sz="4" w:space="0" w:color="auto"/>
              <w:right w:val="single" w:sz="4" w:space="0" w:color="auto"/>
            </w:tcBorders>
            <w:noWrap/>
            <w:vAlign w:val="bottom"/>
            <w:hideMark/>
          </w:tcPr>
          <w:p w14:paraId="4C1F8911"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 xml:space="preserve">optimizer </w:t>
            </w:r>
          </w:p>
        </w:tc>
        <w:tc>
          <w:tcPr>
            <w:tcW w:w="4040" w:type="dxa"/>
            <w:tcBorders>
              <w:top w:val="nil"/>
              <w:left w:val="nil"/>
              <w:bottom w:val="single" w:sz="4" w:space="0" w:color="auto"/>
              <w:right w:val="single" w:sz="4" w:space="0" w:color="auto"/>
            </w:tcBorders>
            <w:noWrap/>
            <w:vAlign w:val="bottom"/>
            <w:hideMark/>
          </w:tcPr>
          <w:p w14:paraId="70DA2937" w14:textId="77777777" w:rsidR="005466E8" w:rsidRPr="005466E8" w:rsidRDefault="005466E8" w:rsidP="005466E8">
            <w:pPr>
              <w:spacing w:after="0" w:line="240" w:lineRule="auto"/>
              <w:jc w:val="center"/>
              <w:rPr>
                <w:rFonts w:ascii="Aptos Narrow" w:eastAsia="Times New Roman" w:hAnsi="Aptos Narrow" w:cs="Times New Roman"/>
                <w:color w:val="000000"/>
                <w:kern w:val="0"/>
                <w:sz w:val="22"/>
                <w:szCs w:val="22"/>
                <w:highlight w:val="yellow"/>
                <w14:ligatures w14:val="none"/>
              </w:rPr>
            </w:pPr>
            <w:proofErr w:type="spellStart"/>
            <w:r w:rsidRPr="005466E8">
              <w:rPr>
                <w:rFonts w:ascii="Aptos Narrow" w:eastAsia="Times New Roman" w:hAnsi="Aptos Narrow" w:cs="Times New Roman"/>
                <w:color w:val="000000"/>
                <w:kern w:val="0"/>
                <w:sz w:val="22"/>
                <w:szCs w:val="22"/>
                <w:highlight w:val="yellow"/>
                <w14:ligatures w14:val="none"/>
              </w:rPr>
              <w:t>nadam</w:t>
            </w:r>
            <w:proofErr w:type="spellEnd"/>
          </w:p>
        </w:tc>
      </w:tr>
      <w:tr w:rsidR="005466E8" w:rsidRPr="005466E8" w14:paraId="7AED7C3F" w14:textId="77777777" w:rsidTr="005466E8">
        <w:trPr>
          <w:trHeight w:val="288"/>
        </w:trPr>
        <w:tc>
          <w:tcPr>
            <w:tcW w:w="2480" w:type="dxa"/>
            <w:vMerge/>
            <w:tcBorders>
              <w:top w:val="single" w:sz="4" w:space="0" w:color="auto"/>
              <w:left w:val="single" w:sz="4" w:space="0" w:color="auto"/>
              <w:bottom w:val="single" w:sz="4" w:space="0" w:color="auto"/>
              <w:right w:val="single" w:sz="4" w:space="0" w:color="auto"/>
            </w:tcBorders>
            <w:vAlign w:val="center"/>
            <w:hideMark/>
          </w:tcPr>
          <w:p w14:paraId="584459CA"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p>
        </w:tc>
        <w:tc>
          <w:tcPr>
            <w:tcW w:w="2360" w:type="dxa"/>
            <w:tcBorders>
              <w:top w:val="nil"/>
              <w:left w:val="nil"/>
              <w:bottom w:val="single" w:sz="4" w:space="0" w:color="auto"/>
              <w:right w:val="single" w:sz="4" w:space="0" w:color="auto"/>
            </w:tcBorders>
            <w:noWrap/>
            <w:vAlign w:val="bottom"/>
            <w:hideMark/>
          </w:tcPr>
          <w:p w14:paraId="51356DA1"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 xml:space="preserve">learning rate </w:t>
            </w:r>
          </w:p>
        </w:tc>
        <w:tc>
          <w:tcPr>
            <w:tcW w:w="4040" w:type="dxa"/>
            <w:tcBorders>
              <w:top w:val="nil"/>
              <w:left w:val="nil"/>
              <w:bottom w:val="single" w:sz="4" w:space="0" w:color="auto"/>
              <w:right w:val="single" w:sz="4" w:space="0" w:color="auto"/>
            </w:tcBorders>
            <w:noWrap/>
            <w:vAlign w:val="bottom"/>
            <w:hideMark/>
          </w:tcPr>
          <w:p w14:paraId="09BB8BC3" w14:textId="77777777" w:rsidR="005466E8" w:rsidRPr="005466E8" w:rsidRDefault="005466E8" w:rsidP="005466E8">
            <w:pPr>
              <w:spacing w:after="0" w:line="240" w:lineRule="auto"/>
              <w:jc w:val="center"/>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0.001</w:t>
            </w:r>
          </w:p>
        </w:tc>
      </w:tr>
      <w:tr w:rsidR="005466E8" w:rsidRPr="005466E8" w14:paraId="06F4A439" w14:textId="77777777" w:rsidTr="005466E8">
        <w:trPr>
          <w:trHeight w:val="288"/>
        </w:trPr>
        <w:tc>
          <w:tcPr>
            <w:tcW w:w="2480" w:type="dxa"/>
            <w:vMerge/>
            <w:tcBorders>
              <w:top w:val="single" w:sz="4" w:space="0" w:color="auto"/>
              <w:left w:val="single" w:sz="4" w:space="0" w:color="auto"/>
              <w:bottom w:val="single" w:sz="4" w:space="0" w:color="auto"/>
              <w:right w:val="single" w:sz="4" w:space="0" w:color="auto"/>
            </w:tcBorders>
            <w:vAlign w:val="center"/>
            <w:hideMark/>
          </w:tcPr>
          <w:p w14:paraId="03C476E0"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p>
        </w:tc>
        <w:tc>
          <w:tcPr>
            <w:tcW w:w="2360" w:type="dxa"/>
            <w:tcBorders>
              <w:top w:val="nil"/>
              <w:left w:val="nil"/>
              <w:bottom w:val="single" w:sz="4" w:space="0" w:color="auto"/>
              <w:right w:val="single" w:sz="4" w:space="0" w:color="auto"/>
            </w:tcBorders>
            <w:noWrap/>
            <w:vAlign w:val="bottom"/>
            <w:hideMark/>
          </w:tcPr>
          <w:p w14:paraId="231117C3"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epochs</w:t>
            </w:r>
          </w:p>
        </w:tc>
        <w:tc>
          <w:tcPr>
            <w:tcW w:w="4040" w:type="dxa"/>
            <w:tcBorders>
              <w:top w:val="nil"/>
              <w:left w:val="nil"/>
              <w:bottom w:val="single" w:sz="4" w:space="0" w:color="auto"/>
              <w:right w:val="single" w:sz="4" w:space="0" w:color="auto"/>
            </w:tcBorders>
            <w:noWrap/>
            <w:vAlign w:val="bottom"/>
            <w:hideMark/>
          </w:tcPr>
          <w:p w14:paraId="61C96A01" w14:textId="77777777" w:rsidR="005466E8" w:rsidRPr="005466E8" w:rsidRDefault="005466E8" w:rsidP="005466E8">
            <w:pPr>
              <w:spacing w:after="0" w:line="240" w:lineRule="auto"/>
              <w:jc w:val="center"/>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300</w:t>
            </w:r>
          </w:p>
        </w:tc>
      </w:tr>
      <w:tr w:rsidR="005466E8" w:rsidRPr="005466E8" w14:paraId="3016588C" w14:textId="77777777" w:rsidTr="005466E8">
        <w:trPr>
          <w:trHeight w:val="288"/>
        </w:trPr>
        <w:tc>
          <w:tcPr>
            <w:tcW w:w="2480" w:type="dxa"/>
            <w:vMerge/>
            <w:tcBorders>
              <w:top w:val="single" w:sz="4" w:space="0" w:color="auto"/>
              <w:left w:val="single" w:sz="4" w:space="0" w:color="auto"/>
              <w:bottom w:val="single" w:sz="4" w:space="0" w:color="auto"/>
              <w:right w:val="single" w:sz="4" w:space="0" w:color="auto"/>
            </w:tcBorders>
            <w:vAlign w:val="center"/>
            <w:hideMark/>
          </w:tcPr>
          <w:p w14:paraId="724CDBD9"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p>
        </w:tc>
        <w:tc>
          <w:tcPr>
            <w:tcW w:w="2360" w:type="dxa"/>
            <w:tcBorders>
              <w:top w:val="nil"/>
              <w:left w:val="nil"/>
              <w:bottom w:val="single" w:sz="4" w:space="0" w:color="auto"/>
              <w:right w:val="single" w:sz="4" w:space="0" w:color="auto"/>
            </w:tcBorders>
            <w:noWrap/>
            <w:vAlign w:val="bottom"/>
            <w:hideMark/>
          </w:tcPr>
          <w:p w14:paraId="099AF611"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architecture</w:t>
            </w:r>
          </w:p>
        </w:tc>
        <w:tc>
          <w:tcPr>
            <w:tcW w:w="4040" w:type="dxa"/>
            <w:tcBorders>
              <w:top w:val="nil"/>
              <w:left w:val="nil"/>
              <w:bottom w:val="single" w:sz="4" w:space="0" w:color="auto"/>
              <w:right w:val="single" w:sz="4" w:space="0" w:color="auto"/>
            </w:tcBorders>
            <w:noWrap/>
            <w:vAlign w:val="bottom"/>
            <w:hideMark/>
          </w:tcPr>
          <w:p w14:paraId="18DEA2C0" w14:textId="77777777" w:rsidR="005466E8" w:rsidRPr="005466E8" w:rsidRDefault="005466E8" w:rsidP="005466E8">
            <w:pPr>
              <w:spacing w:after="0" w:line="240" w:lineRule="auto"/>
              <w:jc w:val="center"/>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 xml:space="preserve">Input -&gt; (Dense - </w:t>
            </w:r>
            <w:proofErr w:type="gramStart"/>
            <w:r w:rsidRPr="005466E8">
              <w:rPr>
                <w:rFonts w:ascii="Aptos Narrow" w:eastAsia="Times New Roman" w:hAnsi="Aptos Narrow" w:cs="Times New Roman"/>
                <w:color w:val="000000"/>
                <w:kern w:val="0"/>
                <w:sz w:val="22"/>
                <w:szCs w:val="22"/>
                <w:highlight w:val="yellow"/>
                <w14:ligatures w14:val="none"/>
              </w:rPr>
              <w:t>Dropout)x</w:t>
            </w:r>
            <w:proofErr w:type="gramEnd"/>
            <w:r w:rsidRPr="005466E8">
              <w:rPr>
                <w:rFonts w:ascii="Aptos Narrow" w:eastAsia="Times New Roman" w:hAnsi="Aptos Narrow" w:cs="Times New Roman"/>
                <w:color w:val="000000"/>
                <w:kern w:val="0"/>
                <w:sz w:val="22"/>
                <w:szCs w:val="22"/>
                <w:highlight w:val="yellow"/>
                <w14:ligatures w14:val="none"/>
              </w:rPr>
              <w:t xml:space="preserve"> layer -&gt; Output</w:t>
            </w:r>
          </w:p>
        </w:tc>
      </w:tr>
      <w:tr w:rsidR="005466E8" w:rsidRPr="005466E8" w14:paraId="28E65240" w14:textId="77777777" w:rsidTr="005466E8">
        <w:trPr>
          <w:trHeight w:val="288"/>
        </w:trPr>
        <w:tc>
          <w:tcPr>
            <w:tcW w:w="2480" w:type="dxa"/>
            <w:vMerge/>
            <w:tcBorders>
              <w:top w:val="single" w:sz="4" w:space="0" w:color="auto"/>
              <w:left w:val="single" w:sz="4" w:space="0" w:color="auto"/>
              <w:bottom w:val="single" w:sz="4" w:space="0" w:color="auto"/>
              <w:right w:val="single" w:sz="4" w:space="0" w:color="auto"/>
            </w:tcBorders>
            <w:vAlign w:val="center"/>
            <w:hideMark/>
          </w:tcPr>
          <w:p w14:paraId="644FC08F"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p>
        </w:tc>
        <w:tc>
          <w:tcPr>
            <w:tcW w:w="2360" w:type="dxa"/>
            <w:tcBorders>
              <w:top w:val="nil"/>
              <w:left w:val="nil"/>
              <w:bottom w:val="single" w:sz="4" w:space="0" w:color="auto"/>
              <w:right w:val="single" w:sz="4" w:space="0" w:color="auto"/>
            </w:tcBorders>
            <w:noWrap/>
            <w:vAlign w:val="bottom"/>
            <w:hideMark/>
          </w:tcPr>
          <w:p w14:paraId="629B15A6"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 xml:space="preserve">early </w:t>
            </w:r>
            <w:proofErr w:type="spellStart"/>
            <w:r w:rsidRPr="005466E8">
              <w:rPr>
                <w:rFonts w:ascii="Aptos Narrow" w:eastAsia="Times New Roman" w:hAnsi="Aptos Narrow" w:cs="Times New Roman"/>
                <w:color w:val="000000"/>
                <w:kern w:val="0"/>
                <w:sz w:val="22"/>
                <w:szCs w:val="22"/>
                <w:highlight w:val="yellow"/>
                <w14:ligatures w14:val="none"/>
              </w:rPr>
              <w:t>stoping</w:t>
            </w:r>
            <w:proofErr w:type="spellEnd"/>
            <w:r w:rsidRPr="005466E8">
              <w:rPr>
                <w:rFonts w:ascii="Aptos Narrow" w:eastAsia="Times New Roman" w:hAnsi="Aptos Narrow" w:cs="Times New Roman"/>
                <w:color w:val="000000"/>
                <w:kern w:val="0"/>
                <w:sz w:val="22"/>
                <w:szCs w:val="22"/>
                <w:highlight w:val="yellow"/>
                <w14:ligatures w14:val="none"/>
              </w:rPr>
              <w:t xml:space="preserve"> </w:t>
            </w:r>
          </w:p>
        </w:tc>
        <w:tc>
          <w:tcPr>
            <w:tcW w:w="4040" w:type="dxa"/>
            <w:tcBorders>
              <w:top w:val="nil"/>
              <w:left w:val="nil"/>
              <w:bottom w:val="single" w:sz="4" w:space="0" w:color="auto"/>
              <w:right w:val="single" w:sz="4" w:space="0" w:color="auto"/>
            </w:tcBorders>
            <w:noWrap/>
            <w:vAlign w:val="bottom"/>
            <w:hideMark/>
          </w:tcPr>
          <w:p w14:paraId="729A6A20" w14:textId="77777777" w:rsidR="005466E8" w:rsidRPr="005466E8" w:rsidRDefault="005466E8" w:rsidP="005466E8">
            <w:pPr>
              <w:spacing w:after="0" w:line="240" w:lineRule="auto"/>
              <w:jc w:val="center"/>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monitor "</w:t>
            </w:r>
            <w:proofErr w:type="spellStart"/>
            <w:r w:rsidRPr="005466E8">
              <w:rPr>
                <w:rFonts w:ascii="Aptos Narrow" w:eastAsia="Times New Roman" w:hAnsi="Aptos Narrow" w:cs="Times New Roman"/>
                <w:color w:val="000000"/>
                <w:kern w:val="0"/>
                <w:sz w:val="22"/>
                <w:szCs w:val="22"/>
                <w:highlight w:val="yellow"/>
                <w14:ligatures w14:val="none"/>
              </w:rPr>
              <w:t>val_loss</w:t>
            </w:r>
            <w:proofErr w:type="spellEnd"/>
            <w:r w:rsidRPr="005466E8">
              <w:rPr>
                <w:rFonts w:ascii="Aptos Narrow" w:eastAsia="Times New Roman" w:hAnsi="Aptos Narrow" w:cs="Times New Roman"/>
                <w:color w:val="000000"/>
                <w:kern w:val="0"/>
                <w:sz w:val="22"/>
                <w:szCs w:val="22"/>
                <w:highlight w:val="yellow"/>
                <w14:ligatures w14:val="none"/>
              </w:rPr>
              <w:t>"</w:t>
            </w:r>
          </w:p>
        </w:tc>
      </w:tr>
      <w:tr w:rsidR="005466E8" w:rsidRPr="005466E8" w14:paraId="3FD467F4" w14:textId="77777777" w:rsidTr="005466E8">
        <w:trPr>
          <w:trHeight w:val="288"/>
        </w:trPr>
        <w:tc>
          <w:tcPr>
            <w:tcW w:w="2480" w:type="dxa"/>
            <w:vMerge/>
            <w:tcBorders>
              <w:top w:val="single" w:sz="4" w:space="0" w:color="auto"/>
              <w:left w:val="single" w:sz="4" w:space="0" w:color="auto"/>
              <w:bottom w:val="single" w:sz="4" w:space="0" w:color="auto"/>
              <w:right w:val="single" w:sz="4" w:space="0" w:color="auto"/>
            </w:tcBorders>
            <w:vAlign w:val="center"/>
            <w:hideMark/>
          </w:tcPr>
          <w:p w14:paraId="26EE2835"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p>
        </w:tc>
        <w:tc>
          <w:tcPr>
            <w:tcW w:w="2360" w:type="dxa"/>
            <w:tcBorders>
              <w:top w:val="nil"/>
              <w:left w:val="nil"/>
              <w:bottom w:val="single" w:sz="4" w:space="0" w:color="auto"/>
              <w:right w:val="single" w:sz="4" w:space="0" w:color="auto"/>
            </w:tcBorders>
            <w:noWrap/>
            <w:vAlign w:val="bottom"/>
            <w:hideMark/>
          </w:tcPr>
          <w:p w14:paraId="1989539F" w14:textId="77777777" w:rsidR="005466E8" w:rsidRPr="005466E8" w:rsidRDefault="005466E8" w:rsidP="005466E8">
            <w:pPr>
              <w:spacing w:after="0" w:line="240" w:lineRule="auto"/>
              <w:rPr>
                <w:rFonts w:ascii="Aptos Narrow" w:eastAsia="Times New Roman" w:hAnsi="Aptos Narrow" w:cs="Times New Roman"/>
                <w:color w:val="000000"/>
                <w:kern w:val="0"/>
                <w:sz w:val="22"/>
                <w:szCs w:val="22"/>
                <w:highlight w:val="yellow"/>
                <w14:ligatures w14:val="none"/>
              </w:rPr>
            </w:pPr>
            <w:r w:rsidRPr="005466E8">
              <w:rPr>
                <w:rFonts w:ascii="Aptos Narrow" w:eastAsia="Times New Roman" w:hAnsi="Aptos Narrow" w:cs="Times New Roman"/>
                <w:color w:val="000000"/>
                <w:kern w:val="0"/>
                <w:sz w:val="22"/>
                <w:szCs w:val="22"/>
                <w:highlight w:val="yellow"/>
                <w14:ligatures w14:val="none"/>
              </w:rPr>
              <w:t>Regularization</w:t>
            </w:r>
          </w:p>
        </w:tc>
        <w:tc>
          <w:tcPr>
            <w:tcW w:w="4040" w:type="dxa"/>
            <w:tcBorders>
              <w:top w:val="nil"/>
              <w:left w:val="nil"/>
              <w:bottom w:val="single" w:sz="4" w:space="0" w:color="auto"/>
              <w:right w:val="single" w:sz="4" w:space="0" w:color="auto"/>
            </w:tcBorders>
            <w:noWrap/>
            <w:vAlign w:val="bottom"/>
            <w:hideMark/>
          </w:tcPr>
          <w:p w14:paraId="4459B07C" w14:textId="77777777" w:rsidR="005466E8" w:rsidRPr="005466E8" w:rsidRDefault="005466E8" w:rsidP="005466E8">
            <w:pPr>
              <w:spacing w:after="0" w:line="240" w:lineRule="auto"/>
              <w:jc w:val="center"/>
              <w:rPr>
                <w:rFonts w:ascii="Aptos Narrow" w:eastAsia="Times New Roman" w:hAnsi="Aptos Narrow" w:cs="Times New Roman"/>
                <w:color w:val="000000"/>
                <w:kern w:val="0"/>
                <w:sz w:val="22"/>
                <w:szCs w:val="22"/>
                <w14:ligatures w14:val="none"/>
              </w:rPr>
            </w:pPr>
            <w:proofErr w:type="gramStart"/>
            <w:r w:rsidRPr="005466E8">
              <w:rPr>
                <w:rFonts w:ascii="Aptos Narrow" w:eastAsia="Times New Roman" w:hAnsi="Aptos Narrow" w:cs="Times New Roman"/>
                <w:color w:val="000000"/>
                <w:kern w:val="0"/>
                <w:sz w:val="22"/>
                <w:szCs w:val="22"/>
                <w:highlight w:val="yellow"/>
                <w14:ligatures w14:val="none"/>
              </w:rPr>
              <w:t>Dropout(</w:t>
            </w:r>
            <w:proofErr w:type="gramEnd"/>
            <w:r w:rsidRPr="005466E8">
              <w:rPr>
                <w:rFonts w:ascii="Aptos Narrow" w:eastAsia="Times New Roman" w:hAnsi="Aptos Narrow" w:cs="Times New Roman"/>
                <w:color w:val="000000"/>
                <w:kern w:val="0"/>
                <w:sz w:val="22"/>
                <w:szCs w:val="22"/>
                <w:highlight w:val="yellow"/>
                <w14:ligatures w14:val="none"/>
              </w:rPr>
              <w:t>0.1)</w:t>
            </w:r>
          </w:p>
        </w:tc>
      </w:tr>
    </w:tbl>
    <w:p w14:paraId="063FB3BB" w14:textId="77777777" w:rsidR="00842D79" w:rsidRDefault="00361936">
      <w:r w:rsidRPr="00361936">
        <w:br/>
      </w:r>
      <w:r w:rsidRPr="00361936">
        <w:br/>
        <w:t xml:space="preserve">Hyperparameter tuning: GridSearchCV with 10-fold may mix time or pond identities. Use nested, time-blocked CV or rolling origin. State how scalers were fit on train only to avoid </w:t>
      </w:r>
      <w:proofErr w:type="gramStart"/>
      <w:r w:rsidRPr="00361936">
        <w:t>leakage .</w:t>
      </w:r>
      <w:proofErr w:type="gramEnd"/>
      <w:r w:rsidR="005466E8">
        <w:br/>
      </w:r>
      <w:proofErr w:type="spellStart"/>
      <w:r w:rsidR="005466E8" w:rsidRPr="00842D79">
        <w:rPr>
          <w:highlight w:val="yellow"/>
        </w:rPr>
        <w:t>Thuận</w:t>
      </w:r>
      <w:proofErr w:type="spellEnd"/>
      <w:r w:rsidR="005466E8" w:rsidRPr="00842D79">
        <w:rPr>
          <w:highlight w:val="yellow"/>
        </w:rPr>
        <w:t xml:space="preserve">: </w:t>
      </w:r>
      <w:proofErr w:type="spellStart"/>
      <w:r w:rsidR="005466E8" w:rsidRPr="00842D79">
        <w:rPr>
          <w:highlight w:val="yellow"/>
        </w:rPr>
        <w:t>tương</w:t>
      </w:r>
      <w:proofErr w:type="spellEnd"/>
      <w:r w:rsidR="005466E8" w:rsidRPr="00842D79">
        <w:rPr>
          <w:highlight w:val="yellow"/>
        </w:rPr>
        <w:t xml:space="preserve"> </w:t>
      </w:r>
      <w:proofErr w:type="spellStart"/>
      <w:r w:rsidR="005466E8" w:rsidRPr="00842D79">
        <w:rPr>
          <w:highlight w:val="yellow"/>
        </w:rPr>
        <w:t>tự</w:t>
      </w:r>
      <w:proofErr w:type="spellEnd"/>
      <w:r w:rsidR="005466E8" w:rsidRPr="00842D79">
        <w:rPr>
          <w:highlight w:val="yellow"/>
        </w:rPr>
        <w:t xml:space="preserve"> </w:t>
      </w:r>
      <w:proofErr w:type="spellStart"/>
      <w:r w:rsidR="005466E8" w:rsidRPr="00842D79">
        <w:rPr>
          <w:highlight w:val="yellow"/>
        </w:rPr>
        <w:t>như</w:t>
      </w:r>
      <w:proofErr w:type="spellEnd"/>
      <w:r w:rsidR="005466E8" w:rsidRPr="00842D79">
        <w:rPr>
          <w:highlight w:val="yellow"/>
        </w:rPr>
        <w:t xml:space="preserve"> </w:t>
      </w:r>
      <w:proofErr w:type="spellStart"/>
      <w:r w:rsidR="005466E8" w:rsidRPr="00842D79">
        <w:rPr>
          <w:highlight w:val="yellow"/>
        </w:rPr>
        <w:t>trên</w:t>
      </w:r>
      <w:proofErr w:type="spellEnd"/>
      <w:r w:rsidRPr="00361936">
        <w:br/>
      </w:r>
      <w:r w:rsidRPr="00361936">
        <w:br/>
        <w:t xml:space="preserve">Next-day task: clearly state lag features used and whether the previous-day alkalinity is included; explain operational availability at prediction </w:t>
      </w:r>
      <w:proofErr w:type="gramStart"/>
      <w:r w:rsidRPr="00361936">
        <w:t>time .</w:t>
      </w:r>
      <w:proofErr w:type="gramEnd"/>
    </w:p>
    <w:p w14:paraId="7CF209BD" w14:textId="77777777" w:rsidR="00842D79" w:rsidRPr="00842D79" w:rsidRDefault="00842D79">
      <w:pPr>
        <w:rPr>
          <w:highlight w:val="yellow"/>
        </w:rPr>
      </w:pPr>
      <w:proofErr w:type="spellStart"/>
      <w:r w:rsidRPr="00842D79">
        <w:rPr>
          <w:highlight w:val="yellow"/>
        </w:rPr>
        <w:t>Thuận</w:t>
      </w:r>
      <w:proofErr w:type="spellEnd"/>
      <w:r w:rsidRPr="00842D79">
        <w:rPr>
          <w:highlight w:val="yellow"/>
        </w:rPr>
        <w:t xml:space="preserve">: </w:t>
      </w:r>
    </w:p>
    <w:p w14:paraId="7730B528" w14:textId="77777777" w:rsidR="00842D79" w:rsidRPr="00842D79" w:rsidRDefault="00842D79">
      <w:pPr>
        <w:rPr>
          <w:highlight w:val="yellow"/>
        </w:rPr>
      </w:pPr>
      <w:proofErr w:type="spellStart"/>
      <w:r w:rsidRPr="00842D79">
        <w:rPr>
          <w:highlight w:val="yellow"/>
        </w:rPr>
        <w:t>Tạo</w:t>
      </w:r>
      <w:proofErr w:type="spellEnd"/>
      <w:r w:rsidRPr="00842D79">
        <w:rPr>
          <w:highlight w:val="yellow"/>
        </w:rPr>
        <w:t xml:space="preserve"> lag feature:  Group </w:t>
      </w:r>
      <w:proofErr w:type="spellStart"/>
      <w:r w:rsidRPr="00842D79">
        <w:rPr>
          <w:highlight w:val="yellow"/>
        </w:rPr>
        <w:t>theo</w:t>
      </w:r>
      <w:proofErr w:type="spellEnd"/>
      <w:r w:rsidRPr="00842D79">
        <w:rPr>
          <w:highlight w:val="yellow"/>
        </w:rPr>
        <w:t xml:space="preserve"> pond (</w:t>
      </w:r>
      <w:proofErr w:type="spellStart"/>
      <w:r w:rsidRPr="00842D79">
        <w:rPr>
          <w:highlight w:val="yellow"/>
        </w:rPr>
        <w:t>ao</w:t>
      </w:r>
      <w:proofErr w:type="spellEnd"/>
      <w:r w:rsidRPr="00842D79">
        <w:rPr>
          <w:highlight w:val="yellow"/>
        </w:rPr>
        <w:t xml:space="preserve">) -&gt; sort </w:t>
      </w:r>
      <w:proofErr w:type="spellStart"/>
      <w:r w:rsidRPr="00842D79">
        <w:rPr>
          <w:highlight w:val="yellow"/>
        </w:rPr>
        <w:t>theo</w:t>
      </w:r>
      <w:proofErr w:type="spellEnd"/>
      <w:r w:rsidRPr="00842D79">
        <w:rPr>
          <w:highlight w:val="yellow"/>
        </w:rPr>
        <w:t xml:space="preserve"> </w:t>
      </w:r>
      <w:proofErr w:type="spellStart"/>
      <w:r w:rsidRPr="00842D79">
        <w:rPr>
          <w:highlight w:val="yellow"/>
        </w:rPr>
        <w:t>thời</w:t>
      </w:r>
      <w:proofErr w:type="spellEnd"/>
      <w:r w:rsidRPr="00842D79">
        <w:rPr>
          <w:highlight w:val="yellow"/>
        </w:rPr>
        <w:t xml:space="preserve"> </w:t>
      </w:r>
      <w:proofErr w:type="spellStart"/>
      <w:r w:rsidRPr="00842D79">
        <w:rPr>
          <w:highlight w:val="yellow"/>
        </w:rPr>
        <w:t>gian</w:t>
      </w:r>
      <w:proofErr w:type="spellEnd"/>
      <w:r w:rsidRPr="00842D79">
        <w:rPr>
          <w:highlight w:val="yellow"/>
        </w:rPr>
        <w:t xml:space="preserve">, </w:t>
      </w:r>
      <w:proofErr w:type="spellStart"/>
      <w:r w:rsidRPr="00842D79">
        <w:rPr>
          <w:highlight w:val="yellow"/>
        </w:rPr>
        <w:t>với</w:t>
      </w:r>
      <w:proofErr w:type="spellEnd"/>
      <w:r w:rsidRPr="00842D79">
        <w:rPr>
          <w:highlight w:val="yellow"/>
        </w:rPr>
        <w:t xml:space="preserve"> </w:t>
      </w:r>
      <w:proofErr w:type="spellStart"/>
      <w:r w:rsidRPr="00842D79">
        <w:rPr>
          <w:highlight w:val="yellow"/>
        </w:rPr>
        <w:t>mỗi</w:t>
      </w:r>
      <w:proofErr w:type="spellEnd"/>
      <w:r w:rsidRPr="00842D79">
        <w:rPr>
          <w:highlight w:val="yellow"/>
        </w:rPr>
        <w:t xml:space="preserve"> record, </w:t>
      </w:r>
      <w:proofErr w:type="spellStart"/>
      <w:r w:rsidRPr="00842D79">
        <w:rPr>
          <w:highlight w:val="yellow"/>
        </w:rPr>
        <w:t>thêm</w:t>
      </w:r>
      <w:proofErr w:type="spellEnd"/>
      <w:r w:rsidRPr="00842D79">
        <w:rPr>
          <w:highlight w:val="yellow"/>
        </w:rPr>
        <w:t xml:space="preserve"> </w:t>
      </w:r>
      <w:proofErr w:type="spellStart"/>
      <w:r w:rsidRPr="00842D79">
        <w:rPr>
          <w:highlight w:val="yellow"/>
        </w:rPr>
        <w:t>vào</w:t>
      </w:r>
      <w:proofErr w:type="spellEnd"/>
      <w:r w:rsidRPr="00842D79">
        <w:rPr>
          <w:highlight w:val="yellow"/>
        </w:rPr>
        <w:t xml:space="preserve"> lag feature </w:t>
      </w:r>
      <w:proofErr w:type="spellStart"/>
      <w:r w:rsidRPr="00842D79">
        <w:rPr>
          <w:highlight w:val="yellow"/>
        </w:rPr>
        <w:t>của</w:t>
      </w:r>
      <w:proofErr w:type="spellEnd"/>
      <w:r w:rsidRPr="00842D79">
        <w:rPr>
          <w:highlight w:val="yellow"/>
        </w:rPr>
        <w:t xml:space="preserve"> </w:t>
      </w:r>
      <w:proofErr w:type="spellStart"/>
      <w:r w:rsidRPr="00842D79">
        <w:rPr>
          <w:highlight w:val="yellow"/>
        </w:rPr>
        <w:t>ngày</w:t>
      </w:r>
      <w:proofErr w:type="spellEnd"/>
      <w:r w:rsidRPr="00842D79">
        <w:rPr>
          <w:highlight w:val="yellow"/>
        </w:rPr>
        <w:t xml:space="preserve"> </w:t>
      </w:r>
      <w:proofErr w:type="spellStart"/>
      <w:r w:rsidRPr="00842D79">
        <w:rPr>
          <w:highlight w:val="yellow"/>
        </w:rPr>
        <w:t>hôm</w:t>
      </w:r>
      <w:proofErr w:type="spellEnd"/>
      <w:r w:rsidRPr="00842D79">
        <w:rPr>
          <w:highlight w:val="yellow"/>
        </w:rPr>
        <w:t xml:space="preserve"> </w:t>
      </w:r>
      <w:proofErr w:type="spellStart"/>
      <w:r w:rsidRPr="00842D79">
        <w:rPr>
          <w:highlight w:val="yellow"/>
        </w:rPr>
        <w:t>trước</w:t>
      </w:r>
      <w:proofErr w:type="spellEnd"/>
      <w:r w:rsidRPr="00842D79">
        <w:rPr>
          <w:highlight w:val="yellow"/>
        </w:rPr>
        <w:t>.</w:t>
      </w:r>
    </w:p>
    <w:p w14:paraId="3FB288FC" w14:textId="77777777" w:rsidR="00174960" w:rsidRDefault="00842D79">
      <w:proofErr w:type="spellStart"/>
      <w:r w:rsidRPr="00842D79">
        <w:rPr>
          <w:highlight w:val="yellow"/>
        </w:rPr>
        <w:t>Về</w:t>
      </w:r>
      <w:proofErr w:type="spellEnd"/>
      <w:r w:rsidRPr="00842D79">
        <w:rPr>
          <w:highlight w:val="yellow"/>
        </w:rPr>
        <w:t xml:space="preserve"> </w:t>
      </w:r>
      <w:r w:rsidRPr="00842D79">
        <w:rPr>
          <w:highlight w:val="yellow"/>
        </w:rPr>
        <w:t>previous-day alkalinity</w:t>
      </w:r>
      <w:r w:rsidRPr="00842D79">
        <w:rPr>
          <w:highlight w:val="yellow"/>
        </w:rPr>
        <w:t xml:space="preserve">: </w:t>
      </w:r>
      <w:proofErr w:type="spellStart"/>
      <w:r w:rsidRPr="00842D79">
        <w:rPr>
          <w:highlight w:val="yellow"/>
        </w:rPr>
        <w:t>mình</w:t>
      </w:r>
      <w:proofErr w:type="spellEnd"/>
      <w:r w:rsidRPr="00842D79">
        <w:rPr>
          <w:highlight w:val="yellow"/>
        </w:rPr>
        <w:t xml:space="preserve"> </w:t>
      </w:r>
      <w:proofErr w:type="spellStart"/>
      <w:r w:rsidRPr="00842D79">
        <w:rPr>
          <w:highlight w:val="yellow"/>
        </w:rPr>
        <w:t>đã</w:t>
      </w:r>
      <w:proofErr w:type="spellEnd"/>
      <w:r w:rsidRPr="00842D79">
        <w:rPr>
          <w:highlight w:val="yellow"/>
        </w:rPr>
        <w:t xml:space="preserve"> chia </w:t>
      </w:r>
      <w:proofErr w:type="spellStart"/>
      <w:r w:rsidRPr="00842D79">
        <w:rPr>
          <w:highlight w:val="yellow"/>
        </w:rPr>
        <w:t>làm</w:t>
      </w:r>
      <w:proofErr w:type="spellEnd"/>
      <w:r w:rsidRPr="00842D79">
        <w:rPr>
          <w:highlight w:val="yellow"/>
        </w:rPr>
        <w:t xml:space="preserve"> 2 </w:t>
      </w:r>
      <w:proofErr w:type="spellStart"/>
      <w:r w:rsidRPr="00842D79">
        <w:rPr>
          <w:highlight w:val="yellow"/>
        </w:rPr>
        <w:t>trường</w:t>
      </w:r>
      <w:proofErr w:type="spellEnd"/>
      <w:r w:rsidRPr="00842D79">
        <w:rPr>
          <w:highlight w:val="yellow"/>
        </w:rPr>
        <w:t xml:space="preserve"> </w:t>
      </w:r>
      <w:proofErr w:type="spellStart"/>
      <w:r w:rsidRPr="00842D79">
        <w:rPr>
          <w:highlight w:val="yellow"/>
        </w:rPr>
        <w:t>hợp</w:t>
      </w:r>
      <w:proofErr w:type="spellEnd"/>
      <w:r w:rsidRPr="00842D79">
        <w:rPr>
          <w:highlight w:val="yellow"/>
        </w:rPr>
        <w:t xml:space="preserve">: </w:t>
      </w:r>
      <w:proofErr w:type="spellStart"/>
      <w:r w:rsidRPr="00842D79">
        <w:rPr>
          <w:highlight w:val="yellow"/>
        </w:rPr>
        <w:t>dùng</w:t>
      </w:r>
      <w:proofErr w:type="spellEnd"/>
      <w:r w:rsidRPr="00842D79">
        <w:rPr>
          <w:highlight w:val="yellow"/>
        </w:rPr>
        <w:t xml:space="preserve"> </w:t>
      </w:r>
      <w:proofErr w:type="spellStart"/>
      <w:r w:rsidRPr="00842D79">
        <w:rPr>
          <w:highlight w:val="yellow"/>
        </w:rPr>
        <w:t>số</w:t>
      </w:r>
      <w:proofErr w:type="spellEnd"/>
      <w:r w:rsidRPr="00842D79">
        <w:rPr>
          <w:highlight w:val="yellow"/>
        </w:rPr>
        <w:t xml:space="preserve"> </w:t>
      </w:r>
      <w:proofErr w:type="spellStart"/>
      <w:r w:rsidRPr="00842D79">
        <w:rPr>
          <w:highlight w:val="yellow"/>
        </w:rPr>
        <w:t>thực</w:t>
      </w:r>
      <w:proofErr w:type="spellEnd"/>
      <w:r w:rsidRPr="00842D79">
        <w:rPr>
          <w:highlight w:val="yellow"/>
        </w:rPr>
        <w:t xml:space="preserve"> (</w:t>
      </w:r>
      <w:proofErr w:type="spellStart"/>
      <w:r w:rsidRPr="00842D79">
        <w:rPr>
          <w:highlight w:val="yellow"/>
        </w:rPr>
        <w:t>đã</w:t>
      </w:r>
      <w:proofErr w:type="spellEnd"/>
      <w:r w:rsidRPr="00842D79">
        <w:rPr>
          <w:highlight w:val="yellow"/>
        </w:rPr>
        <w:t xml:space="preserve"> </w:t>
      </w:r>
      <w:proofErr w:type="spellStart"/>
      <w:r w:rsidRPr="00842D79">
        <w:rPr>
          <w:highlight w:val="yellow"/>
        </w:rPr>
        <w:t>đo</w:t>
      </w:r>
      <w:proofErr w:type="spellEnd"/>
      <w:r w:rsidRPr="00842D79">
        <w:rPr>
          <w:highlight w:val="yellow"/>
        </w:rPr>
        <w:t xml:space="preserve">) </w:t>
      </w:r>
      <w:proofErr w:type="spellStart"/>
      <w:r w:rsidRPr="00842D79">
        <w:rPr>
          <w:highlight w:val="yellow"/>
        </w:rPr>
        <w:t>và</w:t>
      </w:r>
      <w:proofErr w:type="spellEnd"/>
      <w:r w:rsidRPr="00842D79">
        <w:rPr>
          <w:highlight w:val="yellow"/>
        </w:rPr>
        <w:t xml:space="preserve"> </w:t>
      </w:r>
      <w:proofErr w:type="spellStart"/>
      <w:r w:rsidRPr="00842D79">
        <w:rPr>
          <w:highlight w:val="yellow"/>
        </w:rPr>
        <w:t>số</w:t>
      </w:r>
      <w:proofErr w:type="spellEnd"/>
      <w:r w:rsidRPr="00842D79">
        <w:rPr>
          <w:highlight w:val="yellow"/>
        </w:rPr>
        <w:t xml:space="preserve"> </w:t>
      </w:r>
      <w:proofErr w:type="spellStart"/>
      <w:r w:rsidRPr="00842D79">
        <w:rPr>
          <w:highlight w:val="yellow"/>
        </w:rPr>
        <w:t>dự</w:t>
      </w:r>
      <w:proofErr w:type="spellEnd"/>
      <w:r w:rsidRPr="00842D79">
        <w:rPr>
          <w:highlight w:val="yellow"/>
        </w:rPr>
        <w:t xml:space="preserve"> </w:t>
      </w:r>
      <w:proofErr w:type="spellStart"/>
      <w:r w:rsidRPr="00842D79">
        <w:rPr>
          <w:highlight w:val="yellow"/>
        </w:rPr>
        <w:t>đoán</w:t>
      </w:r>
      <w:proofErr w:type="spellEnd"/>
      <w:r w:rsidRPr="00842D79">
        <w:rPr>
          <w:highlight w:val="yellow"/>
        </w:rPr>
        <w:t xml:space="preserve"> (</w:t>
      </w:r>
      <w:proofErr w:type="spellStart"/>
      <w:r w:rsidRPr="00842D79">
        <w:rPr>
          <w:highlight w:val="yellow"/>
        </w:rPr>
        <w:t>từ</w:t>
      </w:r>
      <w:proofErr w:type="spellEnd"/>
      <w:r w:rsidRPr="00842D79">
        <w:rPr>
          <w:highlight w:val="yellow"/>
        </w:rPr>
        <w:t xml:space="preserve"> model </w:t>
      </w:r>
      <w:proofErr w:type="spellStart"/>
      <w:r w:rsidRPr="00842D79">
        <w:rPr>
          <w:highlight w:val="yellow"/>
        </w:rPr>
        <w:t>dự</w:t>
      </w:r>
      <w:proofErr w:type="spellEnd"/>
      <w:r w:rsidRPr="00842D79">
        <w:rPr>
          <w:highlight w:val="yellow"/>
        </w:rPr>
        <w:t xml:space="preserve"> </w:t>
      </w:r>
      <w:proofErr w:type="spellStart"/>
      <w:r w:rsidRPr="00842D79">
        <w:rPr>
          <w:highlight w:val="yellow"/>
        </w:rPr>
        <w:t>đoán</w:t>
      </w:r>
      <w:proofErr w:type="spellEnd"/>
      <w:r w:rsidRPr="00842D79">
        <w:rPr>
          <w:highlight w:val="yellow"/>
        </w:rPr>
        <w:t>)</w:t>
      </w:r>
      <w:r w:rsidR="00361936" w:rsidRPr="00361936">
        <w:br/>
      </w:r>
      <w:r w:rsidR="00361936" w:rsidRPr="00361936">
        <w:br/>
        <w:t>External validation: specify farm counts, periods, and any domain shift. Quantify drop at extremes with calibration plots, not only scatter; discuss remedial feature additions .</w:t>
      </w:r>
      <w:r w:rsidR="00361936" w:rsidRPr="00361936">
        <w:br/>
      </w:r>
      <w:r w:rsidR="00361936" w:rsidRPr="00361936">
        <w:br/>
        <w:t>add MAE and bias for practical interpretability; include prediction interval coverage to support decision thresholds for management actions .</w:t>
      </w:r>
      <w:r w:rsidR="00361936" w:rsidRPr="00361936">
        <w:br/>
      </w:r>
      <w:r w:rsidR="00361936" w:rsidRPr="00361936">
        <w:br/>
        <w:t>ensure alkalinity units are mg CaCO₃ per L everywhere; fix species naming consistency (Litopenaeus vannamei). Replace "lime" with "alkalinity" in figure caption .</w:t>
      </w:r>
      <w:r w:rsidR="00361936" w:rsidRPr="00361936">
        <w:br/>
      </w:r>
      <w:r w:rsidR="00361936" w:rsidRPr="00361936">
        <w:br/>
        <w:t>unify decimal separators and significant figures. Example: Table 4 shows "12,414"; use "12.414" .</w:t>
      </w:r>
      <w:r w:rsidR="00361936" w:rsidRPr="00361936">
        <w:br/>
      </w:r>
      <w:r w:rsidR="00361936" w:rsidRPr="00361936">
        <w:br/>
        <w:t>Typos and phrasing: fix "water lever," "zcore," "hectares source seawater," "Evaluation the R-square," etc. A careful language pass is needed .</w:t>
      </w:r>
      <w:r w:rsidR="00361936" w:rsidRPr="00361936">
        <w:br/>
      </w:r>
      <w:r w:rsidR="00361936" w:rsidRPr="00361936">
        <w:br/>
        <w:t>measurements use benchtop spectrophotometer for alkalinity; temper claims or outline sensor pathway for real deployment .</w:t>
      </w:r>
      <w:r w:rsidR="00361936" w:rsidRPr="00361936">
        <w:br/>
      </w:r>
      <w:r w:rsidR="00361936" w:rsidRPr="00361936">
        <w:br/>
      </w:r>
      <w:r w:rsidR="00361936" w:rsidRPr="00361936">
        <w:lastRenderedPageBreak/>
        <w:t>You can enhance the credibility using the following studies. Methods 2.4.2 paragraph on model interpretation: Abekoon et al., 2025 for agriculture ML with SHAP and LIME DOI: 10.1016/j.atech.2025.100879 to justify explainability in agri-monitoring .Discussion paragraph on water quality plus XAI: Makumbura et al., 2024 for SHAP in water quality modeling DOI: 10.1016/j.rineng.2024.102831 to connect alkalinity prediction with interpretable WQ pipelines .</w:t>
      </w:r>
      <w:r w:rsidR="00361936" w:rsidRPr="00361936">
        <w:br/>
      </w:r>
      <w:r w:rsidR="00361936" w:rsidRPr="00361936">
        <w:br/>
        <w:t>Figures: ensure axes have units, include 1:1 line with RMSE bands, and place farm identifiers or seasons via color or facet for Figure 6 to show domain generalization .</w:t>
      </w:r>
      <w:r w:rsidR="00361936" w:rsidRPr="00361936">
        <w:br/>
      </w:r>
      <w:r w:rsidR="00361936" w:rsidRPr="00361936">
        <w:br/>
        <w:t>Practical guidance box: add an actionable table mapping predicted alkalinity ranges to farm actions and costs, sourced from your SOPs or literature, to increase practitioner value.</w:t>
      </w:r>
      <w:r w:rsidR="00361936" w:rsidRPr="00361936">
        <w:br/>
      </w:r>
      <w:r w:rsidR="00361936" w:rsidRPr="00361936">
        <w:br/>
        <w:t>Conclusion: quantify effect size in operations. For example, the expected reduction in manual titrations or fewer lime additions per crop if using the RFR predictor, and restate limitations at extremes with a plan to improve .</w:t>
      </w:r>
      <w:r w:rsidR="00361936" w:rsidRPr="00361936">
        <w:br/>
      </w:r>
      <w:r w:rsidR="00361936" w:rsidRPr="00361936">
        <w:br/>
      </w:r>
      <w:r w:rsidR="00361936" w:rsidRPr="00361936">
        <w:br/>
      </w:r>
      <w:r w:rsidR="00361936" w:rsidRPr="00361936">
        <w:br/>
      </w:r>
      <w:r w:rsidR="00361936" w:rsidRPr="00361936">
        <w:br/>
        <w:t>Reviewer #2: Its a good work can be followed by a major revision</w:t>
      </w:r>
      <w:r w:rsidR="00361936" w:rsidRPr="00361936">
        <w:br/>
      </w:r>
      <w:r w:rsidR="00361936" w:rsidRPr="00361936">
        <w:br/>
        <w:t>Why the figure 6 shows so much off predictions ?</w:t>
      </w:r>
      <w:r w:rsidR="00361936" w:rsidRPr="00361936">
        <w:br/>
        <w:t>Kindly put the training and testing accuracies in a table</w:t>
      </w:r>
      <w:r w:rsidR="00361936" w:rsidRPr="00361936">
        <w:br/>
        <w:t>Why several text are highlighted ?</w:t>
      </w:r>
      <w:r w:rsidR="00361936" w:rsidRPr="00361936">
        <w:br/>
        <w:t>Results and discussion needs to be elaborated considering latest studies</w:t>
      </w:r>
      <w:r w:rsidR="00361936" w:rsidRPr="00361936">
        <w:br/>
        <w:t>May be the authors can do a comparison with similar studies</w:t>
      </w:r>
      <w:r w:rsidR="00361936" w:rsidRPr="00361936">
        <w:br/>
        <w:t>You may provide recent work that used classical ML like RF, SVM, ANN to strengthen your model selection</w:t>
      </w:r>
      <w:r w:rsidR="00361936" w:rsidRPr="00361936">
        <w:br/>
        <w:t>https://www.sciencedirect.com/science/article/pii/S0167610522001313</w:t>
      </w:r>
      <w:r w:rsidR="00361936" w:rsidRPr="00361936">
        <w:br/>
      </w:r>
      <w:r w:rsidR="00361936" w:rsidRPr="00361936">
        <w:rPr>
          <w:rFonts w:ascii="Arial" w:hAnsi="Arial" w:cs="Arial"/>
        </w:rPr>
        <w:t> </w:t>
      </w:r>
      <w:r w:rsidR="00361936" w:rsidRPr="00361936">
        <w:br/>
      </w:r>
      <w:r w:rsidR="00361936" w:rsidRPr="00361936">
        <w:rPr>
          <w:rFonts w:ascii="Arial" w:hAnsi="Arial" w:cs="Arial"/>
        </w:rPr>
        <w:t> </w:t>
      </w:r>
      <w:r w:rsidR="00361936" w:rsidRPr="00361936">
        <w:br/>
      </w:r>
    </w:p>
    <w:p w14:paraId="61DB7158" w14:textId="2DFC360E" w:rsidR="007B76D0" w:rsidRDefault="00361936">
      <w:r w:rsidRPr="00361936">
        <w:br/>
      </w:r>
      <w:r w:rsidRPr="00361936">
        <w:br/>
      </w:r>
      <w:r w:rsidRPr="00361936">
        <w:br/>
      </w:r>
      <w:r w:rsidRPr="00361936">
        <w:rPr>
          <w:rFonts w:ascii="Arial" w:hAnsi="Arial" w:cs="Arial"/>
        </w:rPr>
        <w:t> </w:t>
      </w:r>
      <w:r w:rsidRPr="00361936">
        <w:t xml:space="preserve"> </w:t>
      </w:r>
      <w:r w:rsidRPr="00361936">
        <w:rPr>
          <w:rFonts w:ascii="Arial" w:hAnsi="Arial" w:cs="Arial"/>
        </w:rPr>
        <w:t> </w:t>
      </w:r>
      <w:r w:rsidRPr="00361936">
        <w:br/>
      </w:r>
      <w:r w:rsidRPr="00361936">
        <w:lastRenderedPageBreak/>
        <w:t>More information and support</w:t>
      </w:r>
      <w:r w:rsidRPr="00361936">
        <w:rPr>
          <w:rFonts w:ascii="Arial" w:hAnsi="Arial" w:cs="Arial"/>
        </w:rPr>
        <w:t> </w:t>
      </w:r>
      <w:r w:rsidRPr="00361936">
        <w:br/>
      </w:r>
      <w:r w:rsidRPr="00361936">
        <w:br/>
        <w:t>FAQ: How do I revise my submission in Editorial Manager?</w:t>
      </w:r>
      <w:r w:rsidRPr="00361936">
        <w:br/>
      </w:r>
      <w:r w:rsidRPr="00361936">
        <w:br/>
        <w:t>https://service.elsevier.com/app/answers/detail/a_id/28463/supporthub/publishing/</w:t>
      </w:r>
      <w:r w:rsidRPr="00361936">
        <w:br/>
        <w:t>FAQ: How can I reset a forgotten password?</w:t>
      </w:r>
      <w:r w:rsidRPr="00361936">
        <w:br/>
        <w:t>https://service.elsevier.com/app/answers/detail/a_id/28452/supporthub/publishing/</w:t>
      </w:r>
      <w:r w:rsidRPr="00361936">
        <w:br/>
        <w:t>For further assistance, please visit our customer service site: https://service.elsevier.com/app/home/supporthub/publishing/</w:t>
      </w:r>
      <w:r w:rsidRPr="00361936">
        <w:br/>
        <w:t>Here you can search for solutions on a range of topics, find answers to frequently asked questions, and learn more about Editorial Manager via interactive tutorials. You can also talk 24/7 to our customer support team by phone and 24/7 by live chat and email</w:t>
      </w:r>
      <w:r w:rsidRPr="00361936">
        <w:br/>
      </w:r>
      <w:r w:rsidRPr="00361936">
        <w:br/>
      </w:r>
      <w:r w:rsidRPr="00361936">
        <w:br/>
      </w:r>
      <w:r w:rsidRPr="00361936">
        <w:b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(https://www.elsevier.com/connect/authors-update/seven-top-tips-on-stopping-apc-scams ) that you may find helpful, including a short video on Identifying fake acceptance letters (https://www.youtube.com/watch?v=o5l8thD9XtE ). Please remember that you can contact Elsevier s Researcher Support team (https://service.elsevier.com/app/home/supporthub/publishing/) at any time if you have questions about your manuscript, and you can log into Editorial Manager to check the status of your manuscript (https://service.elsevier.com/app/answers/detail/a_id/29155/c/10530/supporthub/publishing/kw/status/).</w:t>
      </w:r>
      <w:r w:rsidRPr="00361936">
        <w:br/>
      </w:r>
      <w:r w:rsidRPr="00361936">
        <w:br/>
        <w:t>#AU_ATECH#</w:t>
      </w:r>
      <w:r w:rsidRPr="00361936">
        <w:br/>
      </w:r>
      <w:r w:rsidRPr="00361936">
        <w:br/>
        <w:t>To ensure this email reaches the intended recipient, please do not delete the above code</w:t>
      </w:r>
    </w:p>
    <w:sectPr w:rsidR="007B7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36"/>
    <w:rsid w:val="00174960"/>
    <w:rsid w:val="00361936"/>
    <w:rsid w:val="003C7E70"/>
    <w:rsid w:val="005466E8"/>
    <w:rsid w:val="005A7E70"/>
    <w:rsid w:val="005C1DE5"/>
    <w:rsid w:val="00706583"/>
    <w:rsid w:val="007B76D0"/>
    <w:rsid w:val="00842D79"/>
    <w:rsid w:val="008E61E4"/>
    <w:rsid w:val="00BB6C9C"/>
    <w:rsid w:val="00D1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CAF9"/>
  <w15:chartTrackingRefBased/>
  <w15:docId w15:val="{3C2F28E3-DF04-4A04-BF24-A3ED11A0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936"/>
    <w:rPr>
      <w:rFonts w:eastAsiaTheme="majorEastAsia" w:cstheme="majorBidi"/>
      <w:color w:val="272727" w:themeColor="text1" w:themeTint="D8"/>
    </w:rPr>
  </w:style>
  <w:style w:type="paragraph" w:styleId="Title">
    <w:name w:val="Title"/>
    <w:basedOn w:val="Normal"/>
    <w:next w:val="Normal"/>
    <w:link w:val="TitleChar"/>
    <w:uiPriority w:val="10"/>
    <w:qFormat/>
    <w:rsid w:val="00361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936"/>
    <w:pPr>
      <w:spacing w:before="160"/>
      <w:jc w:val="center"/>
    </w:pPr>
    <w:rPr>
      <w:i/>
      <w:iCs/>
      <w:color w:val="404040" w:themeColor="text1" w:themeTint="BF"/>
    </w:rPr>
  </w:style>
  <w:style w:type="character" w:customStyle="1" w:styleId="QuoteChar">
    <w:name w:val="Quote Char"/>
    <w:basedOn w:val="DefaultParagraphFont"/>
    <w:link w:val="Quote"/>
    <w:uiPriority w:val="29"/>
    <w:rsid w:val="00361936"/>
    <w:rPr>
      <w:i/>
      <w:iCs/>
      <w:color w:val="404040" w:themeColor="text1" w:themeTint="BF"/>
    </w:rPr>
  </w:style>
  <w:style w:type="paragraph" w:styleId="ListParagraph">
    <w:name w:val="List Paragraph"/>
    <w:basedOn w:val="Normal"/>
    <w:uiPriority w:val="34"/>
    <w:qFormat/>
    <w:rsid w:val="00361936"/>
    <w:pPr>
      <w:ind w:left="720"/>
      <w:contextualSpacing/>
    </w:pPr>
  </w:style>
  <w:style w:type="character" w:styleId="IntenseEmphasis">
    <w:name w:val="Intense Emphasis"/>
    <w:basedOn w:val="DefaultParagraphFont"/>
    <w:uiPriority w:val="21"/>
    <w:qFormat/>
    <w:rsid w:val="00361936"/>
    <w:rPr>
      <w:i/>
      <w:iCs/>
      <w:color w:val="0F4761" w:themeColor="accent1" w:themeShade="BF"/>
    </w:rPr>
  </w:style>
  <w:style w:type="paragraph" w:styleId="IntenseQuote">
    <w:name w:val="Intense Quote"/>
    <w:basedOn w:val="Normal"/>
    <w:next w:val="Normal"/>
    <w:link w:val="IntenseQuoteChar"/>
    <w:uiPriority w:val="30"/>
    <w:qFormat/>
    <w:rsid w:val="00361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936"/>
    <w:rPr>
      <w:i/>
      <w:iCs/>
      <w:color w:val="0F4761" w:themeColor="accent1" w:themeShade="BF"/>
    </w:rPr>
  </w:style>
  <w:style w:type="character" w:styleId="IntenseReference">
    <w:name w:val="Intense Reference"/>
    <w:basedOn w:val="DefaultParagraphFont"/>
    <w:uiPriority w:val="32"/>
    <w:qFormat/>
    <w:rsid w:val="00361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Doãn Dung</dc:creator>
  <cp:keywords/>
  <dc:description/>
  <cp:lastModifiedBy>Thuan Nguyen</cp:lastModifiedBy>
  <cp:revision>2</cp:revision>
  <dcterms:created xsi:type="dcterms:W3CDTF">2025-09-13T04:37:00Z</dcterms:created>
  <dcterms:modified xsi:type="dcterms:W3CDTF">2025-09-13T04:37:00Z</dcterms:modified>
</cp:coreProperties>
</file>