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1: Bản thiết kế phân quyền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Đối Tượng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Quyền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Nhân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Trưởng phòng nhân sự và trưởng phòng bộ phận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Commenter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Ứng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Viewer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Phần 2: Kịch bản sử lí sự cố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Bước 1 : Thu hồi quyền của ứng viên bên ngoài . Chuyển quyền của ứng viên từ editor xuống thành none 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Bước 2 : Kiểm tra nhật ký truy cập xem ứng cử viên có chỉnh sửa gì không 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Bước 3 : Khắc phục sự cố và tăng cường lại bảo mật 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