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3"/>
              <w:ind w:left="0"/>
              <w:rPr>
                <w:rFonts w:ascii="Times New Roman"/>
                <w:sz w:val="23"/>
              </w:rPr>
            </w:pPr>
          </w:p>
          <w:p>
            <w:pPr>
              <w:pStyle w:val="TableParagraph"/>
              <w:spacing w:line="360" w:lineRule="auto" w:before="0"/>
              <w:ind w:left="160" w:right="40" w:firstLine="878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Operating Procedure Ensuring</w:t>
            </w:r>
            <w:r>
              <w:rPr>
                <w:b/>
                <w:spacing w:val="-11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Quality</w:t>
            </w:r>
            <w:r>
              <w:rPr>
                <w:b/>
                <w:spacing w:val="-11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</w:t>
            </w:r>
            <w:r>
              <w:rPr>
                <w:b/>
                <w:spacing w:val="-11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Biostatistical</w:t>
            </w:r>
            <w:r>
              <w:rPr>
                <w:b/>
                <w:spacing w:val="-11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Deliverables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CS_OP_BS0216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10"/>
                <w:sz w:val="20"/>
              </w:rPr>
              <w:t>5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Sharon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Rossouw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Armand</w:t>
            </w:r>
            <w:r>
              <w:rPr>
                <w:spacing w:val="-4"/>
                <w:sz w:val="20"/>
              </w:rPr>
              <w:t> Stone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259"/>
      </w:pPr>
      <w:r>
        <w:rPr/>
        <w:t>To</w:t>
      </w:r>
      <w:r>
        <w:rPr>
          <w:spacing w:val="-2"/>
        </w:rPr>
        <w:t> </w:t>
      </w:r>
      <w:r>
        <w:rPr/>
        <w:t>describe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responsibilities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Global</w:t>
      </w:r>
      <w:r>
        <w:rPr>
          <w:spacing w:val="-4"/>
        </w:rPr>
        <w:t> </w:t>
      </w:r>
      <w:r>
        <w:rPr/>
        <w:t>Biostatistics</w:t>
      </w:r>
      <w:r>
        <w:rPr>
          <w:spacing w:val="-3"/>
        </w:rPr>
        <w:t> </w:t>
      </w:r>
      <w:r>
        <w:rPr/>
        <w:t>staff</w:t>
      </w:r>
      <w:r>
        <w:rPr>
          <w:spacing w:val="-3"/>
        </w:rPr>
        <w:t> </w:t>
      </w:r>
      <w:r>
        <w:rPr/>
        <w:t>to</w:t>
      </w:r>
      <w:r>
        <w:rPr>
          <w:spacing w:val="-6"/>
        </w:rPr>
        <w:t> </w:t>
      </w:r>
      <w:r>
        <w:rPr/>
        <w:t>plan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deliver</w:t>
      </w:r>
      <w:r>
        <w:rPr>
          <w:spacing w:val="-4"/>
        </w:rPr>
        <w:t> </w:t>
      </w:r>
      <w:r>
        <w:rPr/>
        <w:t>quality </w:t>
      </w:r>
      <w:bookmarkStart w:name="SCOPE" w:id="2"/>
      <w:bookmarkEnd w:id="2"/>
      <w:r>
        <w:rPr/>
        <w:t>Biostatistica</w:t>
      </w:r>
      <w:r>
        <w:rPr/>
        <w:t>l deliverables.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r>
        <w:rPr>
          <w:spacing w:val="-2"/>
        </w:rPr>
        <w:t>SCOPE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1204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2"/>
          <w:sz w:val="22"/>
        </w:rPr>
        <w:t> </w:t>
      </w:r>
      <w:r>
        <w:rPr>
          <w:sz w:val="22"/>
        </w:rPr>
        <w:t>operating</w:t>
      </w:r>
      <w:r>
        <w:rPr>
          <w:spacing w:val="-3"/>
          <w:sz w:val="22"/>
        </w:rPr>
        <w:t> </w:t>
      </w:r>
      <w:r>
        <w:rPr>
          <w:sz w:val="22"/>
        </w:rPr>
        <w:t>procedure</w:t>
      </w:r>
      <w:r>
        <w:rPr>
          <w:spacing w:val="-3"/>
          <w:sz w:val="22"/>
        </w:rPr>
        <w:t> </w:t>
      </w:r>
      <w:r>
        <w:rPr>
          <w:sz w:val="22"/>
        </w:rPr>
        <w:t>(OP)</w:t>
      </w:r>
      <w:r>
        <w:rPr>
          <w:spacing w:val="-7"/>
          <w:sz w:val="22"/>
        </w:rPr>
        <w:t> </w:t>
      </w:r>
      <w:r>
        <w:rPr>
          <w:sz w:val="22"/>
        </w:rPr>
        <w:t>applies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projects</w:t>
      </w:r>
      <w:r>
        <w:rPr>
          <w:spacing w:val="-3"/>
          <w:sz w:val="22"/>
        </w:rPr>
        <w:t> </w:t>
      </w:r>
      <w:r>
        <w:rPr>
          <w:sz w:val="22"/>
        </w:rPr>
        <w:t>which</w:t>
      </w:r>
      <w:r>
        <w:rPr>
          <w:spacing w:val="-3"/>
          <w:sz w:val="22"/>
        </w:rPr>
        <w:t> </w:t>
      </w:r>
      <w:r>
        <w:rPr>
          <w:sz w:val="22"/>
        </w:rPr>
        <w:t>include</w:t>
      </w:r>
      <w:r>
        <w:rPr>
          <w:spacing w:val="-3"/>
          <w:sz w:val="22"/>
        </w:rPr>
        <w:t> </w:t>
      </w:r>
      <w:r>
        <w:rPr>
          <w:sz w:val="22"/>
        </w:rPr>
        <w:t>any</w:t>
      </w:r>
      <w:r>
        <w:rPr>
          <w:spacing w:val="-1"/>
          <w:sz w:val="22"/>
        </w:rPr>
        <w:t> </w:t>
      </w:r>
      <w:r>
        <w:rPr>
          <w:sz w:val="22"/>
        </w:rPr>
        <w:t>IQVIA Global Biostatistics scope for internal or external customers.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6"/>
        <w:ind w:left="1260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7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6"/>
        </w:rPr>
        <w:t> </w:t>
      </w:r>
      <w:r>
        <w:rPr>
          <w:spacing w:val="-5"/>
        </w:rPr>
        <w:t>OP:</w:t>
      </w:r>
    </w:p>
    <w:p>
      <w:pPr>
        <w:pStyle w:val="BodyText"/>
        <w:spacing w:before="2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84"/>
        <w:gridCol w:w="4224"/>
      </w:tblGrid>
      <w:tr>
        <w:trPr>
          <w:trHeight w:val="335" w:hRule="atLeast"/>
        </w:trPr>
        <w:tc>
          <w:tcPr>
            <w:tcW w:w="458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422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4584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(BPTM)</w:t>
            </w:r>
          </w:p>
        </w:tc>
        <w:tc>
          <w:tcPr>
            <w:tcW w:w="4224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1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6.6,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6.7,</w:t>
            </w:r>
            <w:r>
              <w:rPr>
                <w:spacing w:val="3"/>
                <w:sz w:val="22"/>
              </w:rPr>
              <w:t> </w:t>
            </w:r>
            <w:r>
              <w:rPr>
                <w:spacing w:val="-5"/>
                <w:sz w:val="22"/>
              </w:rPr>
              <w:t>6.9</w:t>
            </w:r>
          </w:p>
        </w:tc>
      </w:tr>
      <w:tr>
        <w:trPr>
          <w:trHeight w:val="335" w:hRule="atLeast"/>
        </w:trPr>
        <w:tc>
          <w:tcPr>
            <w:tcW w:w="4584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(STL)</w:t>
            </w:r>
          </w:p>
        </w:tc>
        <w:tc>
          <w:tcPr>
            <w:tcW w:w="4224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1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6.7,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6.8</w:t>
            </w:r>
          </w:p>
        </w:tc>
      </w:tr>
      <w:tr>
        <w:trPr>
          <w:trHeight w:val="330" w:hRule="atLeast"/>
        </w:trPr>
        <w:tc>
          <w:tcPr>
            <w:tcW w:w="4584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Line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(LM)</w:t>
            </w:r>
          </w:p>
        </w:tc>
        <w:tc>
          <w:tcPr>
            <w:tcW w:w="4224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 </w:t>
            </w:r>
            <w:r>
              <w:rPr>
                <w:spacing w:val="-5"/>
                <w:sz w:val="22"/>
              </w:rPr>
              <w:t>6.6</w:t>
            </w:r>
          </w:p>
        </w:tc>
      </w:tr>
    </w:tbl>
    <w:p>
      <w:pPr>
        <w:pStyle w:val="BodyText"/>
        <w:spacing w:before="7"/>
        <w:rPr>
          <w:sz w:val="20"/>
        </w:rPr>
      </w:pPr>
    </w:p>
    <w:p>
      <w:pPr>
        <w:pStyle w:val="BodyText"/>
        <w:spacing w:line="242" w:lineRule="auto"/>
        <w:ind w:left="1260" w:right="858"/>
      </w:pPr>
      <w:bookmarkStart w:name="Note: The STL responsibilities within th" w:id="4"/>
      <w:bookmarkEnd w:id="4"/>
      <w:r>
        <w:rPr/>
      </w:r>
      <w:r>
        <w:rPr>
          <w:b/>
        </w:rPr>
        <w:t>Note: </w:t>
      </w:r>
      <w:r>
        <w:rPr/>
        <w:t>The</w:t>
      </w:r>
      <w:r>
        <w:rPr>
          <w:spacing w:val="-4"/>
        </w:rPr>
        <w:t> </w:t>
      </w:r>
      <w:r>
        <w:rPr/>
        <w:t>STL</w:t>
      </w:r>
      <w:r>
        <w:rPr>
          <w:spacing w:val="-2"/>
        </w:rPr>
        <w:t> </w:t>
      </w:r>
      <w:r>
        <w:rPr/>
        <w:t>responsibilities</w:t>
      </w:r>
      <w:r>
        <w:rPr>
          <w:spacing w:val="-2"/>
        </w:rPr>
        <w:t> </w:t>
      </w:r>
      <w:r>
        <w:rPr/>
        <w:t>within</w:t>
      </w:r>
      <w:r>
        <w:rPr>
          <w:spacing w:val="-4"/>
        </w:rPr>
        <w:t> </w:t>
      </w:r>
      <w:r>
        <w:rPr/>
        <w:t>this</w:t>
      </w:r>
      <w:r>
        <w:rPr>
          <w:spacing w:val="-7"/>
        </w:rPr>
        <w:t> </w:t>
      </w:r>
      <w:r>
        <w:rPr/>
        <w:t>operating</w:t>
      </w:r>
      <w:r>
        <w:rPr>
          <w:spacing w:val="-4"/>
        </w:rPr>
        <w:t> </w:t>
      </w:r>
      <w:r>
        <w:rPr/>
        <w:t>procedure</w:t>
      </w:r>
      <w:r>
        <w:rPr>
          <w:spacing w:val="-2"/>
        </w:rPr>
        <w:t> </w:t>
      </w:r>
      <w:r>
        <w:rPr/>
        <w:t>will</w:t>
      </w:r>
      <w:r>
        <w:rPr>
          <w:spacing w:val="-3"/>
        </w:rPr>
        <w:t> </w:t>
      </w:r>
      <w:r>
        <w:rPr/>
        <w:t>be</w:t>
      </w:r>
      <w:r>
        <w:rPr>
          <w:spacing w:val="-5"/>
        </w:rPr>
        <w:t> </w:t>
      </w:r>
      <w:r>
        <w:rPr/>
        <w:t>performed</w:t>
      </w:r>
      <w:r>
        <w:rPr>
          <w:spacing w:val="-4"/>
        </w:rPr>
        <w:t> </w:t>
      </w:r>
      <w:r>
        <w:rPr/>
        <w:t>by</w:t>
      </w:r>
      <w:r>
        <w:rPr>
          <w:spacing w:val="-2"/>
        </w:rPr>
        <w:t> </w:t>
      </w:r>
      <w:r>
        <w:rPr/>
        <w:t>the Biostatistics Project Lead responsible for the delivery of the Biostatistics scope even if there are no statistical analysis </w:t>
      </w:r>
      <w:r>
        <w:rPr>
          <w:i/>
        </w:rPr>
        <w:t>per se</w:t>
      </w:r>
      <w:r>
        <w:rPr/>
        <w:t>, being delivered, e.g. Study Data Tabulation Model (SDTM) deliveries.</w:t>
      </w:r>
    </w:p>
    <w:p>
      <w:pPr>
        <w:pStyle w:val="BodyText"/>
        <w:spacing w:before="1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DEFINITIONS" w:id="5"/>
      <w:bookmarkEnd w:id="5"/>
      <w:r>
        <w:rPr>
          <w:spacing w:val="-2"/>
        </w:rPr>
        <w:t>DEFINITIONS</w:t>
      </w:r>
    </w:p>
    <w:p>
      <w:pPr>
        <w:pStyle w:val="BodyText"/>
        <w:spacing w:before="122"/>
        <w:ind w:left="1260" w:right="858"/>
      </w:pPr>
      <w:r>
        <w:rPr>
          <w:b/>
        </w:rPr>
        <w:t>Quality:</w:t>
      </w:r>
      <w:r>
        <w:rPr>
          <w:b/>
          <w:spacing w:val="40"/>
        </w:rPr>
        <w:t> </w:t>
      </w:r>
      <w:r>
        <w:rPr/>
        <w:t>For</w:t>
      </w:r>
      <w:r>
        <w:rPr>
          <w:spacing w:val="-2"/>
        </w:rPr>
        <w:t> </w:t>
      </w:r>
      <w:r>
        <w:rPr/>
        <w:t>the</w:t>
      </w:r>
      <w:r>
        <w:rPr>
          <w:spacing w:val="-4"/>
        </w:rPr>
        <w:t> </w:t>
      </w:r>
      <w:r>
        <w:rPr/>
        <w:t>purpose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operating</w:t>
      </w:r>
      <w:r>
        <w:rPr>
          <w:spacing w:val="-4"/>
        </w:rPr>
        <w:t> </w:t>
      </w:r>
      <w:r>
        <w:rPr/>
        <w:t>procedure,</w:t>
      </w:r>
      <w:r>
        <w:rPr>
          <w:spacing w:val="-4"/>
        </w:rPr>
        <w:t> </w:t>
      </w:r>
      <w:r>
        <w:rPr/>
        <w:t>quality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defined</w:t>
      </w:r>
      <w:r>
        <w:rPr>
          <w:spacing w:val="-4"/>
        </w:rPr>
        <w:t> </w:t>
      </w:r>
      <w:r>
        <w:rPr/>
        <w:t>as</w:t>
      </w:r>
      <w:r>
        <w:rPr>
          <w:spacing w:val="-4"/>
        </w:rPr>
        <w:t> </w:t>
      </w:r>
      <w:r>
        <w:rPr/>
        <w:t>developing, delivering and managing service(s) and/or product(s) in compliance with corporate standards, regulatory expectations, and customer requirements, which incorporate:</w:t>
      </w:r>
    </w:p>
    <w:p>
      <w:pPr>
        <w:pStyle w:val="ListParagraph"/>
        <w:numPr>
          <w:ilvl w:val="0"/>
          <w:numId w:val="2"/>
        </w:numPr>
        <w:tabs>
          <w:tab w:pos="2162" w:val="left" w:leader="none"/>
          <w:tab w:pos="2163" w:val="left" w:leader="none"/>
        </w:tabs>
        <w:spacing w:line="269" w:lineRule="exact" w:before="123" w:after="0"/>
        <w:ind w:left="2162" w:right="0" w:hanging="543"/>
        <w:jc w:val="left"/>
        <w:rPr>
          <w:sz w:val="22"/>
        </w:rPr>
      </w:pPr>
      <w:r>
        <w:rPr>
          <w:sz w:val="22"/>
        </w:rPr>
        <w:t>consistent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transparent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standards,</w:t>
      </w:r>
    </w:p>
    <w:p>
      <w:pPr>
        <w:pStyle w:val="ListParagraph"/>
        <w:numPr>
          <w:ilvl w:val="0"/>
          <w:numId w:val="2"/>
        </w:numPr>
        <w:tabs>
          <w:tab w:pos="2162" w:val="left" w:leader="none"/>
          <w:tab w:pos="2163" w:val="left" w:leader="none"/>
        </w:tabs>
        <w:spacing w:line="266" w:lineRule="exact" w:before="0" w:after="0"/>
        <w:ind w:left="2162" w:right="0" w:hanging="543"/>
        <w:jc w:val="left"/>
        <w:rPr>
          <w:sz w:val="22"/>
        </w:rPr>
      </w:pPr>
      <w:r>
        <w:rPr>
          <w:sz w:val="22"/>
        </w:rPr>
        <w:t>compliance</w:t>
      </w:r>
      <w:r>
        <w:rPr>
          <w:spacing w:val="-8"/>
          <w:sz w:val="22"/>
        </w:rPr>
        <w:t> </w:t>
      </w:r>
      <w:r>
        <w:rPr>
          <w:sz w:val="22"/>
        </w:rPr>
        <w:t>with</w:t>
      </w:r>
      <w:r>
        <w:rPr>
          <w:spacing w:val="-8"/>
          <w:sz w:val="22"/>
        </w:rPr>
        <w:t> </w:t>
      </w:r>
      <w:r>
        <w:rPr>
          <w:sz w:val="22"/>
        </w:rPr>
        <w:t>relevant</w:t>
      </w:r>
      <w:r>
        <w:rPr>
          <w:spacing w:val="-8"/>
          <w:sz w:val="22"/>
        </w:rPr>
        <w:t> </w:t>
      </w:r>
      <w:r>
        <w:rPr>
          <w:sz w:val="22"/>
        </w:rPr>
        <w:t>international,</w:t>
      </w:r>
      <w:r>
        <w:rPr>
          <w:spacing w:val="-5"/>
          <w:sz w:val="22"/>
        </w:rPr>
        <w:t> </w:t>
      </w:r>
      <w:r>
        <w:rPr>
          <w:sz w:val="22"/>
        </w:rPr>
        <w:t>regional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local</w:t>
      </w:r>
      <w:r>
        <w:rPr>
          <w:spacing w:val="-8"/>
          <w:sz w:val="22"/>
        </w:rPr>
        <w:t> </w:t>
      </w:r>
      <w:r>
        <w:rPr>
          <w:sz w:val="22"/>
        </w:rPr>
        <w:t>regulatory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standards,</w:t>
      </w:r>
    </w:p>
    <w:p>
      <w:pPr>
        <w:pStyle w:val="ListParagraph"/>
        <w:numPr>
          <w:ilvl w:val="0"/>
          <w:numId w:val="2"/>
        </w:numPr>
        <w:tabs>
          <w:tab w:pos="2162" w:val="left" w:leader="none"/>
          <w:tab w:pos="2163" w:val="left" w:leader="none"/>
        </w:tabs>
        <w:spacing w:line="266" w:lineRule="exact" w:before="0" w:after="0"/>
        <w:ind w:left="2162" w:right="0" w:hanging="543"/>
        <w:jc w:val="left"/>
        <w:rPr>
          <w:sz w:val="22"/>
        </w:rPr>
      </w:pPr>
      <w:r>
        <w:rPr>
          <w:sz w:val="22"/>
        </w:rPr>
        <w:t>compliance</w:t>
      </w:r>
      <w:r>
        <w:rPr>
          <w:spacing w:val="-8"/>
          <w:sz w:val="22"/>
        </w:rPr>
        <w:t> </w:t>
      </w:r>
      <w:r>
        <w:rPr>
          <w:sz w:val="22"/>
        </w:rPr>
        <w:t>with</w:t>
      </w:r>
      <w:r>
        <w:rPr>
          <w:spacing w:val="-8"/>
          <w:sz w:val="22"/>
        </w:rPr>
        <w:t> </w:t>
      </w:r>
      <w:r>
        <w:rPr>
          <w:sz w:val="22"/>
        </w:rPr>
        <w:t>standard</w:t>
      </w:r>
      <w:r>
        <w:rPr>
          <w:spacing w:val="-8"/>
          <w:sz w:val="22"/>
        </w:rPr>
        <w:t> </w:t>
      </w:r>
      <w:r>
        <w:rPr>
          <w:sz w:val="22"/>
        </w:rPr>
        <w:t>operating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procedures,</w:t>
      </w:r>
    </w:p>
    <w:p>
      <w:pPr>
        <w:pStyle w:val="ListParagraph"/>
        <w:numPr>
          <w:ilvl w:val="0"/>
          <w:numId w:val="2"/>
        </w:numPr>
        <w:tabs>
          <w:tab w:pos="2162" w:val="left" w:leader="none"/>
          <w:tab w:pos="2163" w:val="left" w:leader="none"/>
        </w:tabs>
        <w:spacing w:line="269" w:lineRule="exact" w:before="0" w:after="0"/>
        <w:ind w:left="2162" w:right="0" w:hanging="543"/>
        <w:jc w:val="left"/>
        <w:rPr>
          <w:sz w:val="22"/>
        </w:rPr>
      </w:pPr>
      <w:r>
        <w:rPr>
          <w:sz w:val="22"/>
        </w:rPr>
        <w:t>compliance</w:t>
      </w:r>
      <w:r>
        <w:rPr>
          <w:spacing w:val="-7"/>
          <w:sz w:val="22"/>
        </w:rPr>
        <w:t> </w:t>
      </w:r>
      <w:r>
        <w:rPr>
          <w:sz w:val="22"/>
        </w:rPr>
        <w:t>with</w:t>
      </w:r>
      <w:r>
        <w:rPr>
          <w:spacing w:val="-7"/>
          <w:sz w:val="22"/>
        </w:rPr>
        <w:t> </w:t>
      </w:r>
      <w:r>
        <w:rPr>
          <w:sz w:val="22"/>
        </w:rPr>
        <w:t>written</w:t>
      </w:r>
      <w:r>
        <w:rPr>
          <w:spacing w:val="-7"/>
          <w:sz w:val="22"/>
        </w:rPr>
        <w:t> </w:t>
      </w:r>
      <w:r>
        <w:rPr>
          <w:sz w:val="22"/>
        </w:rPr>
        <w:t>commitments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customers,</w:t>
      </w:r>
    </w:p>
    <w:p>
      <w:pPr>
        <w:pStyle w:val="ListParagraph"/>
        <w:numPr>
          <w:ilvl w:val="0"/>
          <w:numId w:val="2"/>
        </w:numPr>
        <w:tabs>
          <w:tab w:pos="2162" w:val="left" w:leader="none"/>
          <w:tab w:pos="2163" w:val="left" w:leader="none"/>
        </w:tabs>
        <w:spacing w:line="269" w:lineRule="exact" w:before="0" w:after="0"/>
        <w:ind w:left="2162" w:right="0" w:hanging="543"/>
        <w:jc w:val="left"/>
        <w:rPr>
          <w:sz w:val="22"/>
        </w:rPr>
      </w:pPr>
      <w:r>
        <w:rPr>
          <w:sz w:val="22"/>
        </w:rPr>
        <w:t>integrity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final</w:t>
      </w:r>
      <w:r>
        <w:rPr>
          <w:spacing w:val="-5"/>
          <w:sz w:val="22"/>
        </w:rPr>
        <w:t> </w:t>
      </w:r>
      <w:r>
        <w:rPr>
          <w:sz w:val="22"/>
        </w:rPr>
        <w:t>data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results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produced,</w:t>
      </w:r>
    </w:p>
    <w:p>
      <w:pPr>
        <w:pStyle w:val="ListParagraph"/>
        <w:numPr>
          <w:ilvl w:val="0"/>
          <w:numId w:val="2"/>
        </w:numPr>
        <w:tabs>
          <w:tab w:pos="2162" w:val="left" w:leader="none"/>
          <w:tab w:pos="2163" w:val="left" w:leader="none"/>
        </w:tabs>
        <w:spacing w:line="269" w:lineRule="exact" w:before="0" w:after="0"/>
        <w:ind w:left="2162" w:right="0" w:hanging="543"/>
        <w:jc w:val="left"/>
        <w:rPr>
          <w:sz w:val="22"/>
        </w:rPr>
      </w:pPr>
      <w:bookmarkStart w:name="MATERIAL AND EQUIPMENT" w:id="6"/>
      <w:bookmarkEnd w:id="6"/>
      <w:r>
        <w:rPr>
          <w:sz w:val="22"/>
        </w:rPr>
        <w:t>th</w:t>
      </w:r>
      <w:r>
        <w:rPr>
          <w:sz w:val="22"/>
        </w:rPr>
        <w:t>e</w:t>
      </w:r>
      <w:r>
        <w:rPr>
          <w:spacing w:val="-7"/>
          <w:sz w:val="22"/>
        </w:rPr>
        <w:t> </w:t>
      </w:r>
      <w:r>
        <w:rPr>
          <w:sz w:val="22"/>
        </w:rPr>
        <w:t>ability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reconstruct</w:t>
      </w:r>
      <w:r>
        <w:rPr>
          <w:spacing w:val="-6"/>
          <w:sz w:val="22"/>
        </w:rPr>
        <w:t> </w:t>
      </w:r>
      <w:r>
        <w:rPr>
          <w:sz w:val="22"/>
        </w:rPr>
        <w:t>products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delivered.</w:t>
      </w: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231" w:after="0"/>
        <w:ind w:left="1260" w:right="0" w:hanging="720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PROCEDURE" w:id="7"/>
      <w:bookmarkEnd w:id="7"/>
      <w:r>
        <w:rPr>
          <w:spacing w:val="-2"/>
        </w:rPr>
        <w:t>PROCEDURE</w:t>
      </w:r>
    </w:p>
    <w:p>
      <w:pPr>
        <w:pStyle w:val="BodyText"/>
        <w:spacing w:line="237" w:lineRule="auto" w:before="9"/>
        <w:ind w:left="1260" w:right="858"/>
      </w:pPr>
      <w:r>
        <w:rPr/>
        <w:t>At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time</w:t>
      </w:r>
      <w:r>
        <w:rPr>
          <w:spacing w:val="-3"/>
        </w:rPr>
        <w:t> </w:t>
      </w:r>
      <w:r>
        <w:rPr/>
        <w:t>shall</w:t>
      </w:r>
      <w:r>
        <w:rPr>
          <w:spacing w:val="-3"/>
        </w:rPr>
        <w:t> </w:t>
      </w:r>
      <w:r>
        <w:rPr/>
        <w:t>quality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compromised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accommodate</w:t>
      </w:r>
      <w:r>
        <w:rPr>
          <w:spacing w:val="-4"/>
        </w:rPr>
        <w:t> </w:t>
      </w:r>
      <w:r>
        <w:rPr/>
        <w:t>timelines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financial </w:t>
      </w:r>
      <w:r>
        <w:rPr>
          <w:spacing w:val="-2"/>
        </w:rPr>
        <w:t>constraints.</w:t>
      </w:r>
    </w:p>
    <w:p>
      <w:pPr>
        <w:spacing w:after="0" w:line="237" w:lineRule="auto"/>
        <w:sectPr>
          <w:footerReference w:type="default" r:id="rId5"/>
          <w:type w:val="continuous"/>
          <w:pgSz w:w="12240" w:h="15840"/>
          <w:pgMar w:footer="957" w:header="0" w:top="700" w:bottom="1140" w:left="900" w:right="620"/>
          <w:pgNumType w:start="1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Plan for and deliver Quality" w:id="8"/>
      <w:bookmarkEnd w:id="8"/>
      <w:r>
        <w:rPr>
          <w:b/>
          <w:sz w:val="22"/>
        </w:rPr>
        <w:t>P</w:t>
      </w:r>
      <w:r>
        <w:rPr>
          <w:b/>
          <w:sz w:val="22"/>
        </w:rPr>
        <w:t>lan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deliver</w:t>
      </w:r>
      <w:r>
        <w:rPr>
          <w:b/>
          <w:spacing w:val="-3"/>
          <w:sz w:val="22"/>
        </w:rPr>
        <w:t> </w:t>
      </w:r>
      <w:r>
        <w:rPr>
          <w:b/>
          <w:spacing w:val="-2"/>
          <w:sz w:val="22"/>
        </w:rPr>
        <w:t>Quality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32"/>
        <w:gridCol w:w="6234"/>
        <w:gridCol w:w="1842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2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34" w:type="dxa"/>
            <w:shd w:val="clear" w:color="auto" w:fill="D9D9D9"/>
          </w:tcPr>
          <w:p>
            <w:pPr>
              <w:pStyle w:val="TableParagraph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2" w:type="dxa"/>
            <w:shd w:val="clear" w:color="auto" w:fill="D9D9D9"/>
          </w:tcPr>
          <w:p>
            <w:pPr>
              <w:pStyle w:val="TableParagraph"/>
              <w:ind w:left="11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165" w:hRule="atLeast"/>
        </w:trPr>
        <w:tc>
          <w:tcPr>
            <w:tcW w:w="854" w:type="dxa"/>
          </w:tcPr>
          <w:p>
            <w:pPr>
              <w:pStyle w:val="TableParagraph"/>
              <w:ind w:left="14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32" w:type="dxa"/>
          </w:tcPr>
          <w:p>
            <w:pPr>
              <w:pStyle w:val="TableParagraph"/>
              <w:ind w:left="115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34" w:type="dxa"/>
          </w:tcPr>
          <w:p>
            <w:pPr>
              <w:pStyle w:val="TableParagraph"/>
              <w:spacing w:before="0"/>
              <w:ind w:left="116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 projects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describing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how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 achieved.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This plan may utilize the default approach or be customized to accommodate specific project and customer requirements. Please refer to: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36" w:val="left" w:leader="none"/>
                <w:tab w:pos="837" w:val="left" w:leader="none"/>
              </w:tabs>
              <w:spacing w:line="224" w:lineRule="exact" w:before="2" w:after="0"/>
              <w:ind w:left="836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</w:tc>
        <w:tc>
          <w:tcPr>
            <w:tcW w:w="1842" w:type="dxa"/>
          </w:tcPr>
          <w:p>
            <w:pPr>
              <w:pStyle w:val="TableParagraph"/>
              <w:spacing w:before="38"/>
              <w:ind w:left="117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537" w:hRule="atLeast"/>
        </w:trPr>
        <w:tc>
          <w:tcPr>
            <w:tcW w:w="854" w:type="dxa"/>
          </w:tcPr>
          <w:p>
            <w:pPr>
              <w:pStyle w:val="TableParagraph"/>
              <w:ind w:left="14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32" w:type="dxa"/>
          </w:tcPr>
          <w:p>
            <w:pPr>
              <w:pStyle w:val="TableParagraph"/>
              <w:ind w:left="115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34" w:type="dxa"/>
          </w:tcPr>
          <w:p>
            <w:pPr>
              <w:pStyle w:val="TableParagraph"/>
              <w:spacing w:line="229" w:lineRule="exact" w:before="0"/>
              <w:ind w:left="116"/>
              <w:rPr>
                <w:sz w:val="20"/>
              </w:rPr>
            </w:pPr>
            <w:r>
              <w:rPr>
                <w:sz w:val="20"/>
              </w:rPr>
              <w:t>Reads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project.</w:t>
            </w:r>
          </w:p>
        </w:tc>
        <w:tc>
          <w:tcPr>
            <w:tcW w:w="1842" w:type="dxa"/>
          </w:tcPr>
          <w:p>
            <w:pPr>
              <w:pStyle w:val="TableParagraph"/>
              <w:spacing w:before="38"/>
              <w:ind w:left="117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Complete and record training" w:id="9"/>
      <w:bookmarkEnd w:id="9"/>
      <w:r>
        <w:rPr>
          <w:b/>
          <w:sz w:val="22"/>
        </w:rPr>
        <w:t>C</w:t>
      </w:r>
      <w:r>
        <w:rPr>
          <w:b/>
          <w:sz w:val="22"/>
        </w:rPr>
        <w:t>omplete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record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training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32"/>
        <w:gridCol w:w="6234"/>
        <w:gridCol w:w="1842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34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2" w:type="dxa"/>
            <w:shd w:val="clear" w:color="auto" w:fill="D9D9D9"/>
          </w:tcPr>
          <w:p>
            <w:pPr>
              <w:pStyle w:val="TableParagraph"/>
              <w:spacing w:before="38"/>
              <w:ind w:left="11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685" w:hRule="atLeast"/>
        </w:trPr>
        <w:tc>
          <w:tcPr>
            <w:tcW w:w="854" w:type="dxa"/>
          </w:tcPr>
          <w:p>
            <w:pPr>
              <w:pStyle w:val="TableParagraph"/>
              <w:ind w:left="14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3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34" w:type="dxa"/>
          </w:tcPr>
          <w:p>
            <w:pPr>
              <w:pStyle w:val="TableParagraph"/>
              <w:spacing w:line="229" w:lineRule="exact" w:before="0"/>
              <w:ind w:left="106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records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Planning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and</w:t>
            </w:r>
          </w:p>
          <w:p>
            <w:pPr>
              <w:pStyle w:val="TableParagraph"/>
              <w:spacing w:line="226" w:lineRule="exact" w:before="0"/>
              <w:ind w:left="106"/>
              <w:rPr>
                <w:sz w:val="20"/>
              </w:rPr>
            </w:pPr>
            <w:r>
              <w:rPr>
                <w:sz w:val="20"/>
              </w:rPr>
              <w:t>Recording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Staff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(CS_OP_TR001)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Biostatistics Training Management (CS_WI_BS0240).</w:t>
            </w:r>
          </w:p>
        </w:tc>
        <w:tc>
          <w:tcPr>
            <w:tcW w:w="1842" w:type="dxa"/>
          </w:tcPr>
          <w:p>
            <w:pPr>
              <w:pStyle w:val="TableParagraph"/>
              <w:spacing w:before="38"/>
              <w:ind w:left="112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542" w:hRule="atLeast"/>
        </w:trPr>
        <w:tc>
          <w:tcPr>
            <w:tcW w:w="854" w:type="dxa"/>
          </w:tcPr>
          <w:p>
            <w:pPr>
              <w:pStyle w:val="TableParagraph"/>
              <w:spacing w:before="47"/>
              <w:ind w:left="14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3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34" w:type="dxa"/>
          </w:tcPr>
          <w:p>
            <w:pPr>
              <w:pStyle w:val="TableParagraph"/>
              <w:spacing w:before="0"/>
              <w:ind w:left="106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compliance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Training Management (CS_WI_BS0240).</w:t>
            </w:r>
          </w:p>
        </w:tc>
        <w:tc>
          <w:tcPr>
            <w:tcW w:w="1842" w:type="dxa"/>
          </w:tcPr>
          <w:p>
            <w:pPr>
              <w:pStyle w:val="TableParagraph"/>
              <w:ind w:left="112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Quality Issue Reporting" w:id="10"/>
      <w:bookmarkEnd w:id="10"/>
      <w:r>
        <w:rPr>
          <w:b/>
          <w:sz w:val="22"/>
        </w:rPr>
        <w:t>Qualit</w:t>
      </w:r>
      <w:r>
        <w:rPr>
          <w:b/>
          <w:sz w:val="22"/>
        </w:rPr>
        <w:t>y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Issue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Reporting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32"/>
        <w:gridCol w:w="6234"/>
        <w:gridCol w:w="1842"/>
      </w:tblGrid>
      <w:tr>
        <w:trPr>
          <w:trHeight w:val="306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3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34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2" w:type="dxa"/>
            <w:shd w:val="clear" w:color="auto" w:fill="D9D9D9"/>
          </w:tcPr>
          <w:p>
            <w:pPr>
              <w:pStyle w:val="TableParagraph"/>
              <w:spacing w:before="38"/>
              <w:ind w:left="11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1" w:hRule="atLeast"/>
        </w:trPr>
        <w:tc>
          <w:tcPr>
            <w:tcW w:w="854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3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34" w:type="dxa"/>
          </w:tcPr>
          <w:p>
            <w:pPr>
              <w:pStyle w:val="TableParagraph"/>
              <w:spacing w:before="47"/>
              <w:ind w:left="106"/>
              <w:rPr>
                <w:sz w:val="20"/>
              </w:rPr>
            </w:pPr>
            <w:r>
              <w:rPr>
                <w:sz w:val="20"/>
              </w:rPr>
              <w:t>Takes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responsibility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diligent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about</w:t>
            </w:r>
            <w:r>
              <w:rPr>
                <w:spacing w:val="-2"/>
                <w:sz w:val="20"/>
              </w:rPr>
              <w:t> quality.</w:t>
            </w:r>
          </w:p>
        </w:tc>
        <w:tc>
          <w:tcPr>
            <w:tcW w:w="1842" w:type="dxa"/>
          </w:tcPr>
          <w:p>
            <w:pPr>
              <w:pStyle w:val="TableParagraph"/>
              <w:ind w:left="112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542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3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34" w:type="dxa"/>
          </w:tcPr>
          <w:p>
            <w:pPr>
              <w:pStyle w:val="TableParagraph"/>
              <w:spacing w:before="38"/>
              <w:ind w:left="106"/>
              <w:rPr>
                <w:sz w:val="20"/>
              </w:rPr>
            </w:pPr>
            <w:r>
              <w:rPr>
                <w:sz w:val="20"/>
              </w:rPr>
              <w:t>Will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deliver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known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without highlighting them to the customer.</w:t>
            </w:r>
          </w:p>
        </w:tc>
        <w:tc>
          <w:tcPr>
            <w:tcW w:w="1842" w:type="dxa"/>
          </w:tcPr>
          <w:p>
            <w:pPr>
              <w:pStyle w:val="TableParagraph"/>
              <w:spacing w:before="38"/>
              <w:ind w:left="112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537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3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34" w:type="dxa"/>
          </w:tcPr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t>Points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team.</w:t>
            </w:r>
          </w:p>
        </w:tc>
        <w:tc>
          <w:tcPr>
            <w:tcW w:w="1842" w:type="dxa"/>
          </w:tcPr>
          <w:p>
            <w:pPr>
              <w:pStyle w:val="TableParagraph"/>
              <w:spacing w:before="38"/>
              <w:ind w:left="112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2769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3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34" w:type="dxa"/>
          </w:tcPr>
          <w:p>
            <w:pPr>
              <w:pStyle w:val="TableParagraph"/>
              <w:spacing w:before="38"/>
              <w:ind w:left="106" w:right="131"/>
              <w:rPr>
                <w:sz w:val="20"/>
              </w:rPr>
            </w:pPr>
            <w:r>
              <w:rPr>
                <w:sz w:val="20"/>
              </w:rPr>
              <w:t>If a quality issue (either single or systematic) meets any of the following,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immediately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escalates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LM,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Leader and the Biostatistics Quality Manager: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6" w:val="left" w:leader="none"/>
                <w:tab w:pos="827" w:val="left" w:leader="none"/>
              </w:tabs>
              <w:spacing w:line="240" w:lineRule="auto" w:before="59" w:after="0"/>
              <w:ind w:left="826" w:right="0" w:hanging="361"/>
              <w:jc w:val="left"/>
              <w:rPr>
                <w:sz w:val="20"/>
              </w:rPr>
            </w:pPr>
            <w:bookmarkStart w:name="Compromises patient safety" w:id="11"/>
            <w:bookmarkEnd w:id="11"/>
            <w:r>
              <w:rPr>
                <w:sz w:val="20"/>
              </w:rPr>
              <w:t>Compromise</w:t>
            </w:r>
            <w:r>
              <w:rPr>
                <w:sz w:val="20"/>
              </w:rPr>
              <w:t>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safety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6" w:val="left" w:leader="none"/>
                <w:tab w:pos="827" w:val="left" w:leader="none"/>
              </w:tabs>
              <w:spacing w:line="240" w:lineRule="auto" w:before="58" w:after="0"/>
              <w:ind w:left="826" w:right="0" w:hanging="361"/>
              <w:jc w:val="left"/>
              <w:rPr>
                <w:sz w:val="20"/>
              </w:rPr>
            </w:pPr>
            <w:bookmarkStart w:name="Compromises the integrity of project res" w:id="12"/>
            <w:bookmarkEnd w:id="12"/>
            <w:r>
              <w:rPr>
                <w:sz w:val="20"/>
              </w:rPr>
              <w:t>Compromise</w:t>
            </w:r>
            <w:r>
              <w:rPr>
                <w:sz w:val="20"/>
              </w:rPr>
              <w:t>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integrity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results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6" w:val="left" w:leader="none"/>
                <w:tab w:pos="827" w:val="left" w:leader="none"/>
              </w:tabs>
              <w:spacing w:line="232" w:lineRule="auto" w:before="68" w:after="0"/>
              <w:ind w:left="826" w:right="240" w:hanging="360"/>
              <w:jc w:val="left"/>
              <w:rPr>
                <w:sz w:val="20"/>
              </w:rPr>
            </w:pPr>
            <w:bookmarkStart w:name="Requires withdrawal or modification of a" w:id="13"/>
            <w:bookmarkEnd w:id="13"/>
            <w:r>
              <w:rPr>
                <w:sz w:val="20"/>
              </w:rPr>
              <w:t>Require</w:t>
            </w:r>
            <w:r>
              <w:rPr>
                <w:sz w:val="20"/>
              </w:rPr>
              <w:t>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withdrawal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modification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previously submitted to a regulatory authority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6" w:val="left" w:leader="none"/>
                <w:tab w:pos="827" w:val="left" w:leader="none"/>
              </w:tabs>
              <w:spacing w:line="232" w:lineRule="auto" w:before="72" w:after="0"/>
              <w:ind w:left="826" w:right="472" w:hanging="360"/>
              <w:jc w:val="left"/>
              <w:rPr>
                <w:sz w:val="20"/>
              </w:rPr>
            </w:pPr>
            <w:bookmarkStart w:name="Is misconduct or may be the result of wi" w:id="14"/>
            <w:bookmarkEnd w:id="14"/>
            <w:r>
              <w:rPr>
                <w:sz w:val="20"/>
              </w:rPr>
              <w:t>I</w:t>
            </w:r>
            <w:r>
              <w:rPr>
                <w:sz w:val="20"/>
              </w:rPr>
              <w:t>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misconduct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result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willful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disregard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procedure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6" w:val="left" w:leader="none"/>
                <w:tab w:pos="827" w:val="left" w:leader="none"/>
              </w:tabs>
              <w:spacing w:line="240" w:lineRule="auto" w:before="66" w:after="0"/>
              <w:ind w:left="826" w:right="0" w:hanging="361"/>
              <w:jc w:val="left"/>
              <w:rPr>
                <w:sz w:val="20"/>
              </w:rPr>
            </w:pPr>
            <w:bookmarkStart w:name="Results in escalation to management by t" w:id="15"/>
            <w:bookmarkEnd w:id="15"/>
            <w:r>
              <w:rPr>
                <w:sz w:val="20"/>
              </w:rPr>
              <w:t>Result</w:t>
            </w:r>
            <w:r>
              <w:rPr>
                <w:sz w:val="20"/>
              </w:rPr>
              <w:t>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escalation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customer</w:t>
            </w:r>
          </w:p>
        </w:tc>
        <w:tc>
          <w:tcPr>
            <w:tcW w:w="1842" w:type="dxa"/>
          </w:tcPr>
          <w:p>
            <w:pPr>
              <w:pStyle w:val="TableParagraph"/>
              <w:spacing w:line="244" w:lineRule="auto" w:before="38"/>
              <w:ind w:left="112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767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13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34" w:type="dxa"/>
          </w:tcPr>
          <w:p>
            <w:pPr>
              <w:pStyle w:val="TableParagraph"/>
              <w:spacing w:before="38"/>
              <w:ind w:left="106" w:right="131"/>
              <w:rPr>
                <w:sz w:val="20"/>
              </w:rPr>
            </w:pPr>
            <w:r>
              <w:rPr>
                <w:sz w:val="20"/>
              </w:rPr>
              <w:t>Immediately escalates any information incidents (e.g. breach of subject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confidentiality,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breach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confidentiality)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 their LM, Project Leader and the Biostatistics Quality Manager.</w:t>
            </w:r>
          </w:p>
        </w:tc>
        <w:tc>
          <w:tcPr>
            <w:tcW w:w="1842" w:type="dxa"/>
          </w:tcPr>
          <w:p>
            <w:pPr>
              <w:pStyle w:val="TableParagraph"/>
              <w:spacing w:before="38"/>
              <w:ind w:left="112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772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6.3.6</w:t>
            </w:r>
          </w:p>
        </w:tc>
        <w:tc>
          <w:tcPr>
            <w:tcW w:w="113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34" w:type="dxa"/>
          </w:tcPr>
          <w:p>
            <w:pPr>
              <w:pStyle w:val="TableParagraph"/>
              <w:spacing w:line="242" w:lineRule="auto" w:before="38"/>
              <w:ind w:left="106"/>
              <w:rPr>
                <w:sz w:val="20"/>
              </w:rPr>
            </w:pPr>
            <w:r>
              <w:rPr>
                <w:sz w:val="20"/>
              </w:rPr>
              <w:t>Manages quality issues per Quality Issue Management (CS_OP_QA002)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Protection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Personally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Identifiable Information (QCP_CP_IGP0003).</w:t>
            </w:r>
          </w:p>
        </w:tc>
        <w:tc>
          <w:tcPr>
            <w:tcW w:w="1842" w:type="dxa"/>
          </w:tcPr>
          <w:p>
            <w:pPr>
              <w:pStyle w:val="TableParagraph"/>
              <w:spacing w:line="244" w:lineRule="auto" w:before="38"/>
              <w:ind w:left="112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</w:tbl>
    <w:p>
      <w:pPr>
        <w:spacing w:after="0" w:line="244" w:lineRule="auto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872" w:top="2520" w:bottom="1060" w:left="900" w:right="62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SOPs and Project Instructions" w:id="16"/>
      <w:bookmarkEnd w:id="16"/>
      <w:r>
        <w:rPr>
          <w:b/>
          <w:sz w:val="22"/>
        </w:rPr>
        <w:t>SOP</w:t>
      </w:r>
      <w:r>
        <w:rPr>
          <w:b/>
          <w:sz w:val="22"/>
        </w:rPr>
        <w:t>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Project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Instructions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04"/>
        <w:gridCol w:w="6264"/>
        <w:gridCol w:w="1843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0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1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right="143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SOPs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Instructions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all projects unless otherwise required by the customer.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1689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right="143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instructions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outlined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Applying SOPs and Project Instructions to the Project (CS_WI_PL0022) to document planned deviations from processes which would otherwise be applicable to a given project or set of projects, to document a process that is not described in an existing SOP, or to document additional instructions not found in an existing SOP to facilitate a task associated with a process.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541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timely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instructions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 project team members.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Project Documentation" w:id="17"/>
      <w:bookmarkEnd w:id="17"/>
      <w:r>
        <w:rPr>
          <w:b/>
          <w:sz w:val="22"/>
        </w:rPr>
        <w:t>Project</w:t>
      </w:r>
      <w:r>
        <w:rPr>
          <w:b/>
          <w:spacing w:val="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7"/>
        <w:rPr>
          <w:b/>
          <w:sz w:val="10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04"/>
        <w:gridCol w:w="6264"/>
        <w:gridCol w:w="1843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0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495" w:hRule="atLeast"/>
        </w:trPr>
        <w:tc>
          <w:tcPr>
            <w:tcW w:w="854" w:type="dxa"/>
          </w:tcPr>
          <w:p>
            <w:pPr>
              <w:pStyle w:val="TableParagraph"/>
              <w:ind w:left="13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right="243"/>
              <w:rPr>
                <w:sz w:val="20"/>
              </w:rPr>
            </w:pPr>
            <w:r>
              <w:rPr>
                <w:sz w:val="20"/>
              </w:rPr>
              <w:t>Applies good documentation practices to all electronic and paper documents used. For guidance, see General and Trial Master File (TMF)-Specific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Good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Practices (CS_WI_RM0284), paying attention to: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0" w:lineRule="auto" w:before="59" w:after="0"/>
              <w:ind w:left="825" w:right="0" w:hanging="361"/>
              <w:jc w:val="left"/>
              <w:rPr>
                <w:sz w:val="20"/>
              </w:rPr>
            </w:pPr>
            <w:bookmarkStart w:name="The use of initials in place of signatur" w:id="18"/>
            <w:bookmarkEnd w:id="18"/>
            <w:r>
              <w:rPr>
                <w:sz w:val="20"/>
              </w:rPr>
              <w:t>Th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initials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place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signatures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0" w:lineRule="auto" w:before="53" w:after="0"/>
              <w:ind w:left="825" w:right="0" w:hanging="361"/>
              <w:jc w:val="left"/>
              <w:rPr>
                <w:sz w:val="20"/>
              </w:rPr>
            </w:pPr>
            <w:bookmarkStart w:name="Correcting entries" w:id="19"/>
            <w:bookmarkEnd w:id="19"/>
            <w:r>
              <w:rPr>
                <w:sz w:val="20"/>
              </w:rPr>
              <w:t>Correctin</w:t>
            </w:r>
            <w:r>
              <w:rPr>
                <w:sz w:val="20"/>
              </w:rPr>
              <w:t>g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entries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0" w:lineRule="auto" w:before="62" w:after="0"/>
              <w:ind w:left="825" w:right="0" w:hanging="361"/>
              <w:jc w:val="left"/>
              <w:rPr>
                <w:sz w:val="20"/>
              </w:rPr>
            </w:pPr>
            <w:bookmarkStart w:name="The need for a four-digit year in all ca" w:id="20"/>
            <w:bookmarkEnd w:id="20"/>
            <w:r>
              <w:rPr>
                <w:sz w:val="20"/>
              </w:rPr>
              <w:t>Th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four-digit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year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cases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0" w:lineRule="auto" w:before="57" w:after="0"/>
              <w:ind w:left="825" w:right="0" w:hanging="361"/>
              <w:jc w:val="left"/>
              <w:rPr>
                <w:sz w:val="20"/>
              </w:rPr>
            </w:pPr>
            <w:bookmarkStart w:name="Document headers and footers" w:id="21"/>
            <w:bookmarkEnd w:id="21"/>
            <w:r>
              <w:rPr>
                <w:sz w:val="20"/>
              </w:rPr>
              <w:t>Documen</w:t>
            </w:r>
            <w:r>
              <w:rPr>
                <w:sz w:val="20"/>
              </w:rPr>
              <w:t>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headers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footers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5" w:val="left" w:leader="none"/>
                <w:tab w:pos="826" w:val="left" w:leader="none"/>
              </w:tabs>
              <w:spacing w:line="240" w:lineRule="auto" w:before="58" w:after="0"/>
              <w:ind w:left="825" w:right="0" w:hanging="361"/>
              <w:jc w:val="left"/>
              <w:rPr>
                <w:sz w:val="20"/>
              </w:rPr>
            </w:pPr>
            <w:bookmarkStart w:name="Backdating (not permitted)" w:id="22"/>
            <w:bookmarkEnd w:id="22"/>
            <w:r>
              <w:rPr>
                <w:sz w:val="20"/>
              </w:rPr>
              <w:t>Backdatin</w:t>
            </w:r>
            <w:r>
              <w:rPr>
                <w:sz w:val="20"/>
              </w:rPr>
              <w:t>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(not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permitted)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1881" w:hRule="atLeast"/>
        </w:trPr>
        <w:tc>
          <w:tcPr>
            <w:tcW w:w="854" w:type="dxa"/>
          </w:tcPr>
          <w:p>
            <w:pPr>
              <w:pStyle w:val="TableParagraph"/>
              <w:ind w:left="13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right="143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outlined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Biostatistics Documentation (CS_WI_BS0237) to: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88" w:val="left" w:leader="none"/>
                <w:tab w:pos="889" w:val="left" w:leader="none"/>
              </w:tabs>
              <w:spacing w:line="240" w:lineRule="auto" w:before="1" w:after="0"/>
              <w:ind w:left="888" w:right="227" w:hanging="360"/>
              <w:jc w:val="left"/>
              <w:rPr>
                <w:sz w:val="20"/>
              </w:rPr>
            </w:pPr>
            <w:r>
              <w:rPr>
                <w:sz w:val="20"/>
              </w:rPr>
              <w:t>Submit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Master File (eTMF) within 30 days of finalization or receipt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88" w:val="left" w:leader="none"/>
                <w:tab w:pos="889" w:val="left" w:leader="none"/>
              </w:tabs>
              <w:spacing w:line="240" w:lineRule="auto" w:before="0" w:after="0"/>
              <w:ind w:left="888" w:right="789" w:hanging="360"/>
              <w:jc w:val="left"/>
              <w:rPr>
                <w:sz w:val="20"/>
              </w:rPr>
            </w:pPr>
            <w:r>
              <w:rPr>
                <w:sz w:val="20"/>
              </w:rPr>
              <w:t>Perform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eTMF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annually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unless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otherwise </w:t>
            </w:r>
            <w:r>
              <w:rPr>
                <w:spacing w:val="-2"/>
                <w:sz w:val="20"/>
              </w:rPr>
              <w:t>specified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88" w:val="left" w:leader="none"/>
                <w:tab w:pos="889" w:val="left" w:leader="none"/>
              </w:tabs>
              <w:spacing w:line="230" w:lineRule="exact" w:before="0" w:after="0"/>
              <w:ind w:left="888" w:right="174" w:hanging="360"/>
              <w:jc w:val="left"/>
              <w:rPr>
                <w:sz w:val="20"/>
              </w:rPr>
            </w:pPr>
            <w:r>
              <w:rPr>
                <w:sz w:val="20"/>
              </w:rPr>
              <w:t>File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communications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conducts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 stored </w:t>
            </w:r>
            <w:r>
              <w:rPr>
                <w:spacing w:val="-2"/>
                <w:sz w:val="20"/>
              </w:rPr>
              <w:t>communications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Use of 3rd party vendors" w:id="23"/>
      <w:bookmarkEnd w:id="23"/>
      <w:r>
        <w:rPr>
          <w:b/>
          <w:sz w:val="22"/>
        </w:rPr>
        <w:t>Us</w:t>
      </w:r>
      <w:r>
        <w:rPr>
          <w:b/>
          <w:sz w:val="22"/>
        </w:rPr>
        <w:t>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3</w:t>
      </w:r>
      <w:r>
        <w:rPr>
          <w:b/>
          <w:sz w:val="22"/>
          <w:vertAlign w:val="superscript"/>
        </w:rPr>
        <w:t>rd</w:t>
      </w:r>
      <w:r>
        <w:rPr>
          <w:b/>
          <w:spacing w:val="-1"/>
          <w:sz w:val="22"/>
          <w:vertAlign w:val="baseline"/>
        </w:rPr>
        <w:t> </w:t>
      </w:r>
      <w:r>
        <w:rPr>
          <w:b/>
          <w:sz w:val="22"/>
          <w:vertAlign w:val="baseline"/>
        </w:rPr>
        <w:t>party</w:t>
      </w:r>
      <w:r>
        <w:rPr>
          <w:b/>
          <w:spacing w:val="-3"/>
          <w:sz w:val="22"/>
          <w:vertAlign w:val="baseline"/>
        </w:rPr>
        <w:t> </w:t>
      </w:r>
      <w:r>
        <w:rPr>
          <w:b/>
          <w:spacing w:val="-2"/>
          <w:sz w:val="22"/>
          <w:vertAlign w:val="baseline"/>
        </w:rPr>
        <w:t>vendors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04"/>
        <w:gridCol w:w="6264"/>
        <w:gridCol w:w="1843"/>
      </w:tblGrid>
      <w:tr>
        <w:trPr>
          <w:trHeight w:val="306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0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690" w:hRule="atLeast"/>
        </w:trPr>
        <w:tc>
          <w:tcPr>
            <w:tcW w:w="854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04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 w:before="0"/>
              <w:rPr>
                <w:sz w:val="20"/>
              </w:rPr>
            </w:pPr>
            <w:r>
              <w:rPr>
                <w:sz w:val="20"/>
              </w:rPr>
              <w:t>Verifies that 3</w:t>
            </w:r>
            <w:r>
              <w:rPr>
                <w:sz w:val="20"/>
                <w:vertAlign w:val="superscript"/>
              </w:rPr>
              <w:t>rd</w:t>
            </w:r>
            <w:r>
              <w:rPr>
                <w:sz w:val="20"/>
                <w:vertAlign w:val="baseline"/>
              </w:rPr>
              <w:t> party vendors, including contractors and vendors providing contractors, are suitably qualified and assessed as described</w:t>
            </w:r>
            <w:r>
              <w:rPr>
                <w:spacing w:val="-8"/>
                <w:sz w:val="20"/>
                <w:vertAlign w:val="baseline"/>
              </w:rPr>
              <w:t> </w:t>
            </w:r>
            <w:r>
              <w:rPr>
                <w:sz w:val="20"/>
                <w:vertAlign w:val="baseline"/>
              </w:rPr>
              <w:t>in</w:t>
            </w:r>
            <w:r>
              <w:rPr>
                <w:spacing w:val="-8"/>
                <w:sz w:val="20"/>
                <w:vertAlign w:val="baseline"/>
              </w:rPr>
              <w:t> </w:t>
            </w:r>
            <w:r>
              <w:rPr>
                <w:sz w:val="20"/>
                <w:vertAlign w:val="baseline"/>
              </w:rPr>
              <w:t>Vendor</w:t>
            </w:r>
            <w:r>
              <w:rPr>
                <w:spacing w:val="-8"/>
                <w:sz w:val="20"/>
                <w:vertAlign w:val="baseline"/>
              </w:rPr>
              <w:t> </w:t>
            </w:r>
            <w:r>
              <w:rPr>
                <w:sz w:val="20"/>
                <w:vertAlign w:val="baseline"/>
              </w:rPr>
              <w:t>Management</w:t>
            </w:r>
            <w:r>
              <w:rPr>
                <w:spacing w:val="-8"/>
                <w:sz w:val="20"/>
                <w:vertAlign w:val="baseline"/>
              </w:rPr>
              <w:t> </w:t>
            </w:r>
            <w:r>
              <w:rPr>
                <w:sz w:val="20"/>
                <w:vertAlign w:val="baseline"/>
              </w:rPr>
              <w:t>Program</w:t>
            </w:r>
            <w:r>
              <w:rPr>
                <w:spacing w:val="-5"/>
                <w:sz w:val="20"/>
                <w:vertAlign w:val="baseline"/>
              </w:rPr>
              <w:t> </w:t>
            </w:r>
            <w:r>
              <w:rPr>
                <w:sz w:val="20"/>
                <w:vertAlign w:val="baseline"/>
              </w:rPr>
              <w:t>(QG_OP_GBO0002).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541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right="143"/>
              <w:rPr>
                <w:sz w:val="20"/>
              </w:rPr>
            </w:pPr>
            <w:r>
              <w:rPr>
                <w:sz w:val="20"/>
              </w:rPr>
              <w:t>Notifies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LM,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Leader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Quality Manager of any vendor performance concerns.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</w:tbl>
    <w:p>
      <w:pPr>
        <w:spacing w:after="0" w:line="244" w:lineRule="auto"/>
        <w:rPr>
          <w:sz w:val="20"/>
        </w:rPr>
        <w:sectPr>
          <w:pgSz w:w="12240" w:h="15840"/>
          <w:pgMar w:header="725" w:footer="872" w:top="2520" w:bottom="1140" w:left="900" w:right="62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Audits/Inspections" w:id="24"/>
      <w:bookmarkEnd w:id="24"/>
      <w:r>
        <w:rPr>
          <w:b/>
          <w:spacing w:val="-2"/>
          <w:sz w:val="22"/>
        </w:rPr>
        <w:t>Audit</w:t>
      </w:r>
      <w:r>
        <w:rPr>
          <w:b/>
          <w:spacing w:val="-2"/>
          <w:sz w:val="22"/>
        </w:rPr>
        <w:t>s/Inspections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04"/>
        <w:gridCol w:w="6264"/>
        <w:gridCol w:w="1843"/>
      </w:tblGrid>
      <w:tr>
        <w:trPr>
          <w:trHeight w:val="474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0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16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Maintains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audit/inspection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ready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status. Internal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 audit procedures are described in Audit Management</w:t>
            </w:r>
          </w:p>
          <w:p>
            <w:pPr>
              <w:pStyle w:val="TableParagraph"/>
              <w:spacing w:line="226" w:lineRule="exact" w:before="0"/>
              <w:rPr>
                <w:sz w:val="20"/>
              </w:rPr>
            </w:pPr>
            <w:r>
              <w:rPr>
                <w:sz w:val="20"/>
              </w:rPr>
              <w:t>(CS_OP_QA003)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Audits: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Preparation,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Hosting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 Response (CS_OP_QA011), respectively.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1842" w:hRule="atLeast"/>
        </w:trPr>
        <w:tc>
          <w:tcPr>
            <w:tcW w:w="854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6.7.2</w:t>
            </w:r>
          </w:p>
        </w:tc>
        <w:tc>
          <w:tcPr>
            <w:tcW w:w="1104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 w:before="0"/>
              <w:ind w:right="143"/>
              <w:rPr>
                <w:sz w:val="20"/>
              </w:rPr>
            </w:pPr>
            <w:r>
              <w:rPr>
                <w:sz w:val="20"/>
              </w:rPr>
              <w:t>If notified of any customer audit or regulatory authority inspection, notifies their line manager immediately.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Follows the process as described in CS_OP_QA011 (Customer Audits: Preparation, Hosting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Response),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CS_OP_QA004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(Coordinating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Regulatory Inspections of IQVIA Facilities) and CS_OP_QA0254 (Regulatory Inspections at an Investigator Site, Sponsor/Vendor Facility) for notifying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Assurance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(QA)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audits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regulatory </w:t>
            </w:r>
            <w:r>
              <w:rPr>
                <w:spacing w:val="-2"/>
                <w:sz w:val="20"/>
              </w:rPr>
              <w:t>inspections.</w:t>
            </w:r>
          </w:p>
        </w:tc>
        <w:tc>
          <w:tcPr>
            <w:tcW w:w="1843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690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6.7.3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 w:before="0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participate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scheduled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audits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Audit Workbook (CS_TP_QA0342) and Process Audit and Process Scorecard Workbook (CS_TP_QA0320).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1146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6.7.4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ind w:right="143"/>
              <w:rPr>
                <w:sz w:val="20"/>
              </w:rPr>
            </w:pPr>
            <w:r>
              <w:rPr>
                <w:sz w:val="20"/>
              </w:rPr>
              <w:t>May participate in Root Cause Analysis (RCA) to identify and evaluate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reason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behind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non-conformance,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undesirable condition, etc., when necessary and develop corrective and/or preventive actions as per Process for Root Cause Analysis</w:t>
            </w:r>
          </w:p>
          <w:p>
            <w:pPr>
              <w:pStyle w:val="TableParagraph"/>
              <w:spacing w:line="211" w:lineRule="exact" w:before="4"/>
              <w:rPr>
                <w:sz w:val="20"/>
              </w:rPr>
            </w:pPr>
            <w:r>
              <w:rPr>
                <w:spacing w:val="-2"/>
                <w:sz w:val="20"/>
              </w:rPr>
              <w:t>(CS_WI_QA0289).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</w:tbl>
    <w:p>
      <w:pPr>
        <w:pStyle w:val="BodyText"/>
        <w:spacing w:before="8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Computer Systems" w:id="25"/>
      <w:bookmarkEnd w:id="25"/>
      <w:r>
        <w:rPr>
          <w:b/>
          <w:sz w:val="22"/>
        </w:rPr>
        <w:t>Compute</w:t>
      </w:r>
      <w:r>
        <w:rPr>
          <w:b/>
          <w:sz w:val="22"/>
        </w:rPr>
        <w:t>r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Systems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04"/>
        <w:gridCol w:w="6264"/>
        <w:gridCol w:w="1843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0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690" w:hRule="atLeast"/>
        </w:trPr>
        <w:tc>
          <w:tcPr>
            <w:tcW w:w="854" w:type="dxa"/>
          </w:tcPr>
          <w:p>
            <w:pPr>
              <w:pStyle w:val="TableParagraph"/>
              <w:ind w:left="0" w:right="235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6.8.1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 w:before="0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validated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computer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systems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applications shall be used in the provision of service(s) and/or </w:t>
            </w:r>
            <w:r>
              <w:rPr>
                <w:spacing w:val="-2"/>
                <w:sz w:val="20"/>
              </w:rPr>
              <w:t>product(s).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686" w:hRule="atLeast"/>
        </w:trPr>
        <w:tc>
          <w:tcPr>
            <w:tcW w:w="854" w:type="dxa"/>
          </w:tcPr>
          <w:p>
            <w:pPr>
              <w:pStyle w:val="TableParagraph"/>
              <w:ind w:left="0" w:right="235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6.8.2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5" w:lineRule="auto" w:before="3"/>
              <w:rPr>
                <w:sz w:val="20"/>
              </w:rPr>
            </w:pPr>
            <w:r>
              <w:rPr>
                <w:sz w:val="20"/>
              </w:rPr>
              <w:t>Verifies that all IQVIA computer systems, environments, and associated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secured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Control (QFP_FAP_</w:t>
            </w:r>
          </w:p>
          <w:p>
            <w:pPr>
              <w:pStyle w:val="TableParagraph"/>
              <w:spacing w:line="211" w:lineRule="exact" w:before="1"/>
              <w:rPr>
                <w:sz w:val="20"/>
              </w:rPr>
            </w:pPr>
            <w:r>
              <w:rPr>
                <w:spacing w:val="-2"/>
                <w:sz w:val="20"/>
              </w:rPr>
              <w:t>IT0001).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  <w:tr>
        <w:trPr>
          <w:trHeight w:val="921" w:hRule="atLeast"/>
        </w:trPr>
        <w:tc>
          <w:tcPr>
            <w:tcW w:w="854" w:type="dxa"/>
          </w:tcPr>
          <w:p>
            <w:pPr>
              <w:pStyle w:val="TableParagraph"/>
              <w:ind w:left="0" w:right="235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6.8.3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30" w:lineRule="exact" w:before="0"/>
              <w:ind w:right="104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macros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intended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Global Biostatistics personnel in both production and Quality Control (QC) roles within the same project for the same output are validated in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line with SAS Macro Validation (CS_WI_BS0222).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Privacy Awareness" w:id="26"/>
      <w:bookmarkEnd w:id="26"/>
      <w:r>
        <w:rPr>
          <w:b/>
          <w:sz w:val="22"/>
        </w:rPr>
        <w:t>Privac</w:t>
      </w:r>
      <w:r>
        <w:rPr>
          <w:b/>
          <w:sz w:val="22"/>
        </w:rPr>
        <w:t>y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Awareness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04"/>
        <w:gridCol w:w="6264"/>
        <w:gridCol w:w="1843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0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146" w:hRule="atLeast"/>
        </w:trPr>
        <w:tc>
          <w:tcPr>
            <w:tcW w:w="854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6.9.1</w:t>
            </w:r>
          </w:p>
        </w:tc>
        <w:tc>
          <w:tcPr>
            <w:tcW w:w="110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Confidential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IQVIA/customer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only shared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authorized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personnel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compliance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Confidentiality (QCP_CP_IGP0002), privacy laws, regulations and best practices around the world and also for compliance with our customers’</w:t>
            </w:r>
          </w:p>
          <w:p>
            <w:pPr>
              <w:pStyle w:val="TableParagraph"/>
              <w:spacing w:line="211" w:lineRule="exact" w:before="4"/>
              <w:rPr>
                <w:sz w:val="20"/>
              </w:rPr>
            </w:pPr>
            <w:r>
              <w:rPr>
                <w:spacing w:val="-2"/>
                <w:sz w:val="20"/>
              </w:rPr>
              <w:t>expectations.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10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project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lifecycle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72" w:top="2520" w:bottom="1140" w:left="900" w:right="62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6"/>
        <w:ind w:left="1260" w:right="0" w:hanging="720"/>
        <w:jc w:val="left"/>
        <w:rPr>
          <w:b/>
          <w:sz w:val="22"/>
        </w:rPr>
      </w:pPr>
      <w:bookmarkStart w:name="SUPPORTING DOCUMENTATION" w:id="27"/>
      <w:bookmarkEnd w:id="27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58"/>
        <w:gridCol w:w="5808"/>
      </w:tblGrid>
      <w:tr>
        <w:trPr>
          <w:trHeight w:val="321" w:hRule="atLeast"/>
        </w:trPr>
        <w:tc>
          <w:tcPr>
            <w:tcW w:w="425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808" w:type="dxa"/>
            <w:shd w:val="clear" w:color="auto" w:fill="D9D9D9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425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5808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CS_OP_QA002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Issue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Management</w:t>
            </w:r>
          </w:p>
        </w:tc>
      </w:tr>
      <w:tr>
        <w:trPr>
          <w:trHeight w:val="335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43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CS_OP_QA003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Audit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Management</w:t>
            </w:r>
          </w:p>
        </w:tc>
      </w:tr>
      <w:tr>
        <w:trPr>
          <w:trHeight w:val="330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CS_OP_QA004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Coordinating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Inspections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IQVIA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Facilities</w:t>
            </w:r>
          </w:p>
        </w:tc>
      </w:tr>
      <w:tr>
        <w:trPr>
          <w:trHeight w:val="335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CS_OP_QA011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Customer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Audits: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Preparation,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Hosting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Response</w:t>
            </w:r>
          </w:p>
        </w:tc>
      </w:tr>
      <w:tr>
        <w:trPr>
          <w:trHeight w:val="561" w:hRule="atLeast"/>
        </w:trPr>
        <w:tc>
          <w:tcPr>
            <w:tcW w:w="4258" w:type="dxa"/>
          </w:tcPr>
          <w:p>
            <w:pPr>
              <w:pStyle w:val="TableParagraph"/>
              <w:spacing w:before="10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tabs>
                <w:tab w:pos="1554" w:val="left" w:leader="none"/>
              </w:tabs>
              <w:spacing w:before="1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CS_OP_QA0254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Inspections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Investigator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Site, Sponsor/Vendor Facility</w:t>
            </w:r>
          </w:p>
        </w:tc>
      </w:tr>
      <w:tr>
        <w:trPr>
          <w:trHeight w:val="330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CS_OP_TR001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Planning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Recording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Staff</w:t>
            </w:r>
          </w:p>
        </w:tc>
      </w:tr>
      <w:tr>
        <w:trPr>
          <w:trHeight w:val="330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7.7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CS_TP_QA0320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Process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Audit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Scorecard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Workbook</w:t>
            </w:r>
          </w:p>
        </w:tc>
      </w:tr>
      <w:tr>
        <w:trPr>
          <w:trHeight w:val="335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43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7.8</w:t>
            </w:r>
            <w:r>
              <w:rPr>
                <w:b/>
                <w:sz w:val="22"/>
              </w:rPr>
              <w:tab/>
            </w:r>
            <w:hyperlink r:id="rId16">
              <w:r>
                <w:rPr>
                  <w:color w:val="0000FF"/>
                  <w:spacing w:val="-2"/>
                  <w:sz w:val="22"/>
                  <w:u w:val="single" w:color="0000FF"/>
                </w:rPr>
                <w:t>CS_TP_QA0342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Audit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Workbook</w:t>
            </w:r>
          </w:p>
        </w:tc>
      </w:tr>
      <w:tr>
        <w:trPr>
          <w:trHeight w:val="330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7.9</w:t>
            </w:r>
            <w:r>
              <w:rPr>
                <w:b/>
                <w:sz w:val="22"/>
              </w:rPr>
              <w:tab/>
            </w:r>
            <w:hyperlink r:id="rId17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CS_WI_BS015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QC</w:t>
            </w:r>
          </w:p>
        </w:tc>
      </w:tr>
      <w:tr>
        <w:trPr>
          <w:trHeight w:val="335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7.10</w:t>
            </w:r>
            <w:r>
              <w:rPr>
                <w:b/>
                <w:sz w:val="22"/>
              </w:rPr>
              <w:tab/>
            </w:r>
            <w:hyperlink r:id="rId18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CS_WI_BS0222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SAS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Macro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Validation</w:t>
            </w:r>
          </w:p>
        </w:tc>
      </w:tr>
      <w:tr>
        <w:trPr>
          <w:trHeight w:val="330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7.11</w:t>
            </w:r>
            <w:r>
              <w:rPr>
                <w:b/>
                <w:sz w:val="22"/>
              </w:rPr>
              <w:tab/>
            </w:r>
            <w:hyperlink r:id="rId19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CS_WI_BS0237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335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7.12</w:t>
            </w:r>
            <w:r>
              <w:rPr>
                <w:b/>
                <w:sz w:val="22"/>
              </w:rPr>
              <w:tab/>
            </w:r>
            <w:hyperlink r:id="rId20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CS_WI_BS0240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Management</w:t>
            </w:r>
          </w:p>
        </w:tc>
      </w:tr>
      <w:tr>
        <w:trPr>
          <w:trHeight w:val="330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7.13</w:t>
            </w:r>
            <w:r>
              <w:rPr>
                <w:b/>
                <w:sz w:val="22"/>
              </w:rPr>
              <w:tab/>
            </w:r>
            <w:hyperlink r:id="rId21">
              <w:r>
                <w:rPr>
                  <w:color w:val="0000FF"/>
                  <w:spacing w:val="-2"/>
                  <w:sz w:val="22"/>
                  <w:u w:val="single" w:color="0000FF"/>
                </w:rPr>
                <w:t>CS_WI_PL0022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Applying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SOPs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Instructions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Project</w:t>
            </w:r>
          </w:p>
        </w:tc>
      </w:tr>
      <w:tr>
        <w:trPr>
          <w:trHeight w:val="335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7.14</w:t>
            </w:r>
            <w:r>
              <w:rPr>
                <w:b/>
                <w:sz w:val="22"/>
              </w:rPr>
              <w:tab/>
            </w:r>
            <w:hyperlink r:id="rId2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CS_WI_QA0289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Process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Root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Cause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Analysis</w:t>
            </w:r>
          </w:p>
        </w:tc>
      </w:tr>
      <w:tr>
        <w:trPr>
          <w:trHeight w:val="556" w:hRule="atLeast"/>
        </w:trPr>
        <w:tc>
          <w:tcPr>
            <w:tcW w:w="4258" w:type="dxa"/>
          </w:tcPr>
          <w:p>
            <w:pPr>
              <w:pStyle w:val="TableParagraph"/>
              <w:spacing w:before="10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tabs>
                <w:tab w:pos="1554" w:val="left" w:leader="none"/>
              </w:tabs>
              <w:spacing w:before="1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7.15</w:t>
            </w:r>
            <w:r>
              <w:rPr>
                <w:b/>
                <w:sz w:val="22"/>
              </w:rPr>
              <w:tab/>
            </w:r>
            <w:hyperlink r:id="rId23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CS_WI_RM0284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General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(TMF)-Specific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Document Quality - Good Documentation Practices</w:t>
            </w:r>
          </w:p>
        </w:tc>
      </w:tr>
      <w:tr>
        <w:trPr>
          <w:trHeight w:val="335" w:hRule="atLeast"/>
        </w:trPr>
        <w:tc>
          <w:tcPr>
            <w:tcW w:w="4258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left="0" w:right="791"/>
              <w:jc w:val="right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7.16</w:t>
            </w:r>
            <w:r>
              <w:rPr>
                <w:b/>
                <w:sz w:val="22"/>
              </w:rPr>
              <w:tab/>
            </w:r>
            <w:hyperlink r:id="rId24">
              <w:r>
                <w:rPr>
                  <w:color w:val="0000FF"/>
                  <w:spacing w:val="-2"/>
                  <w:sz w:val="22"/>
                  <w:u w:val="single" w:color="0000FF"/>
                </w:rPr>
                <w:t>QCP_CP_IGP0002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Confidentiality</w:t>
            </w:r>
          </w:p>
        </w:tc>
      </w:tr>
      <w:tr>
        <w:trPr>
          <w:trHeight w:val="330" w:hRule="atLeast"/>
        </w:trPr>
        <w:tc>
          <w:tcPr>
            <w:tcW w:w="4258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left="0" w:right="791"/>
              <w:jc w:val="right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7.17</w:t>
            </w:r>
            <w:r>
              <w:rPr>
                <w:b/>
                <w:sz w:val="22"/>
              </w:rPr>
              <w:tab/>
            </w:r>
            <w:hyperlink r:id="rId25">
              <w:r>
                <w:rPr>
                  <w:color w:val="0000FF"/>
                  <w:spacing w:val="-2"/>
                  <w:sz w:val="22"/>
                  <w:u w:val="single" w:color="0000FF"/>
                </w:rPr>
                <w:t>QCP_CP_IGP0003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Protection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Personally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Identifiable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Information</w:t>
            </w:r>
          </w:p>
        </w:tc>
      </w:tr>
      <w:tr>
        <w:trPr>
          <w:trHeight w:val="335" w:hRule="atLeast"/>
        </w:trPr>
        <w:tc>
          <w:tcPr>
            <w:tcW w:w="425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7.18</w:t>
            </w:r>
            <w:r>
              <w:rPr>
                <w:b/>
                <w:sz w:val="22"/>
              </w:rPr>
              <w:tab/>
            </w:r>
            <w:hyperlink r:id="rId26">
              <w:r>
                <w:rPr>
                  <w:color w:val="0000FF"/>
                  <w:spacing w:val="-2"/>
                  <w:sz w:val="22"/>
                  <w:u w:val="single" w:color="0000FF"/>
                </w:rPr>
                <w:t>QFP_FAP_IT0001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Access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Control</w:t>
            </w:r>
          </w:p>
        </w:tc>
      </w:tr>
      <w:tr>
        <w:trPr>
          <w:trHeight w:val="330" w:hRule="atLeast"/>
        </w:trPr>
        <w:tc>
          <w:tcPr>
            <w:tcW w:w="4258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left="0" w:right="806"/>
              <w:jc w:val="right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7.19</w:t>
            </w:r>
            <w:r>
              <w:rPr>
                <w:b/>
                <w:sz w:val="22"/>
              </w:rPr>
              <w:tab/>
            </w:r>
            <w:hyperlink r:id="rId27">
              <w:r>
                <w:rPr>
                  <w:color w:val="0000FF"/>
                  <w:spacing w:val="-2"/>
                  <w:sz w:val="22"/>
                  <w:u w:val="single" w:color="0000FF"/>
                </w:rPr>
                <w:t>QG_OP_GBO0002</w:t>
              </w:r>
            </w:hyperlink>
          </w:p>
        </w:tc>
        <w:tc>
          <w:tcPr>
            <w:tcW w:w="580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Vendor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Program</w:t>
            </w:r>
          </w:p>
        </w:tc>
      </w:tr>
    </w:tbl>
    <w:p>
      <w:pPr>
        <w:pStyle w:val="BodyText"/>
        <w:spacing w:before="6"/>
        <w:rPr>
          <w:b/>
          <w:sz w:val="21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7"/>
        <w:ind w:left="1260" w:right="0" w:hanging="720"/>
        <w:jc w:val="left"/>
        <w:rPr>
          <w:b/>
          <w:sz w:val="22"/>
        </w:rPr>
      </w:pPr>
      <w:bookmarkStart w:name="SUPERSEDES" w:id="28"/>
      <w:bookmarkEnd w:id="28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58"/>
        <w:gridCol w:w="3370"/>
        <w:gridCol w:w="2439"/>
      </w:tblGrid>
      <w:tr>
        <w:trPr>
          <w:trHeight w:val="287" w:hRule="atLeast"/>
        </w:trPr>
        <w:tc>
          <w:tcPr>
            <w:tcW w:w="425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10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370" w:type="dxa"/>
            <w:shd w:val="clear" w:color="auto" w:fill="BFBFBF"/>
          </w:tcPr>
          <w:p>
            <w:pPr>
              <w:pStyle w:val="TableParagraph"/>
              <w:spacing w:line="248" w:lineRule="exact" w:before="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439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85" w:hRule="atLeast"/>
        </w:trPr>
        <w:tc>
          <w:tcPr>
            <w:tcW w:w="4258" w:type="dxa"/>
          </w:tcPr>
          <w:p>
            <w:pPr>
              <w:pStyle w:val="TableParagraph"/>
              <w:tabs>
                <w:tab w:pos="1170" w:val="left" w:leader="none"/>
              </w:tabs>
              <w:spacing w:before="0"/>
              <w:ind w:left="633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CS_OP_BS0216</w:t>
            </w:r>
          </w:p>
        </w:tc>
        <w:tc>
          <w:tcPr>
            <w:tcW w:w="3370" w:type="dxa"/>
          </w:tcPr>
          <w:p>
            <w:pPr>
              <w:pStyle w:val="TableParagraph"/>
              <w:spacing w:before="0"/>
              <w:ind w:left="104"/>
              <w:rPr>
                <w:sz w:val="22"/>
              </w:rPr>
            </w:pPr>
            <w:r>
              <w:rPr>
                <w:sz w:val="22"/>
              </w:rPr>
              <w:t>Ensuring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Biostatistical </w:t>
            </w:r>
            <w:r>
              <w:rPr>
                <w:spacing w:val="-2"/>
                <w:sz w:val="22"/>
              </w:rPr>
              <w:t>Deliverables</w:t>
            </w:r>
          </w:p>
        </w:tc>
        <w:tc>
          <w:tcPr>
            <w:tcW w:w="2439" w:type="dxa"/>
          </w:tcPr>
          <w:p>
            <w:pPr>
              <w:pStyle w:val="TableParagraph"/>
              <w:spacing w:before="0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4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7"/>
        <w:ind w:left="1260" w:right="0" w:hanging="720"/>
        <w:jc w:val="left"/>
        <w:rPr>
          <w:b/>
          <w:sz w:val="22"/>
        </w:rPr>
      </w:pPr>
      <w:bookmarkStart w:name="MODIFICATION FROM PREVIOUS REVISION" w:id="29"/>
      <w:bookmarkEnd w:id="29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58"/>
        <w:gridCol w:w="3399"/>
        <w:gridCol w:w="2410"/>
      </w:tblGrid>
      <w:tr>
        <w:trPr>
          <w:trHeight w:val="321" w:hRule="atLeast"/>
        </w:trPr>
        <w:tc>
          <w:tcPr>
            <w:tcW w:w="425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399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2410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762" w:hRule="atLeast"/>
        </w:trPr>
        <w:tc>
          <w:tcPr>
            <w:tcW w:w="425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Owner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Authors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All</w:t>
            </w:r>
          </w:p>
        </w:tc>
        <w:tc>
          <w:tcPr>
            <w:tcW w:w="2410" w:type="dxa"/>
          </w:tcPr>
          <w:p>
            <w:pPr>
              <w:pStyle w:val="TableParagraph"/>
              <w:spacing w:line="254" w:lineRule="exact" w:before="0"/>
              <w:ind w:left="109"/>
              <w:rPr>
                <w:sz w:val="22"/>
              </w:rPr>
            </w:pPr>
            <w:r>
              <w:rPr>
                <w:sz w:val="22"/>
              </w:rPr>
              <w:t>To reflect those responsible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the </w:t>
            </w:r>
            <w:r>
              <w:rPr>
                <w:spacing w:val="-2"/>
                <w:sz w:val="22"/>
              </w:rPr>
              <w:t>document</w:t>
            </w:r>
          </w:p>
        </w:tc>
      </w:tr>
    </w:tbl>
    <w:p>
      <w:pPr>
        <w:spacing w:after="0" w:line="254" w:lineRule="exact"/>
        <w:rPr>
          <w:sz w:val="22"/>
        </w:rPr>
        <w:sectPr>
          <w:pgSz w:w="12240" w:h="15840"/>
          <w:pgMar w:header="725" w:footer="872" w:top="2520" w:bottom="1140" w:left="900" w:right="6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58"/>
        <w:gridCol w:w="3399"/>
        <w:gridCol w:w="2410"/>
      </w:tblGrid>
      <w:tr>
        <w:trPr>
          <w:trHeight w:val="321" w:hRule="atLeast"/>
        </w:trPr>
        <w:tc>
          <w:tcPr>
            <w:tcW w:w="425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399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2410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425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minor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spelling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grammatical </w:t>
            </w:r>
            <w:r>
              <w:rPr>
                <w:spacing w:val="-2"/>
                <w:sz w:val="22"/>
              </w:rPr>
              <w:t>issues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5"/>
                <w:sz w:val="22"/>
              </w:rPr>
              <w:t>All</w:t>
            </w:r>
          </w:p>
        </w:tc>
        <w:tc>
          <w:tcPr>
            <w:tcW w:w="2410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Improve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consistency</w:t>
            </w:r>
          </w:p>
        </w:tc>
      </w:tr>
      <w:tr>
        <w:trPr>
          <w:trHeight w:val="1041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 w:right="101"/>
              <w:rPr>
                <w:sz w:val="22"/>
              </w:rPr>
            </w:pPr>
            <w:r>
              <w:rPr>
                <w:sz w:val="22"/>
              </w:rPr>
              <w:t>Added note that anyone leading a 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required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perform the STL responsibilities listed in </w:t>
            </w:r>
            <w:r>
              <w:rPr>
                <w:spacing w:val="-2"/>
                <w:sz w:val="22"/>
              </w:rPr>
              <w:t>document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3</w:t>
            </w:r>
          </w:p>
        </w:tc>
        <w:tc>
          <w:tcPr>
            <w:tcW w:w="2410" w:type="dxa"/>
          </w:tcPr>
          <w:p>
            <w:pPr>
              <w:pStyle w:val="TableParagraph"/>
              <w:spacing w:line="228" w:lineRule="auto" w:before="34"/>
              <w:ind w:left="109" w:right="134"/>
              <w:rPr>
                <w:sz w:val="22"/>
              </w:rPr>
            </w:pPr>
            <w:r>
              <w:rPr>
                <w:sz w:val="22"/>
              </w:rPr>
              <w:t>Clarification for 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deliveries not including statistical analysis</w:t>
            </w:r>
          </w:p>
        </w:tc>
      </w:tr>
      <w:tr>
        <w:trPr>
          <w:trHeight w:val="1036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QC Plan (CS_TP_BS002)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6.1.1</w:t>
            </w:r>
          </w:p>
        </w:tc>
        <w:tc>
          <w:tcPr>
            <w:tcW w:w="2410" w:type="dxa"/>
          </w:tcPr>
          <w:p>
            <w:pPr>
              <w:pStyle w:val="TableParagraph"/>
              <w:spacing w:line="228" w:lineRule="auto" w:before="34"/>
              <w:ind w:left="109" w:right="134"/>
              <w:rPr>
                <w:sz w:val="22"/>
              </w:rPr>
            </w:pPr>
            <w:r>
              <w:rPr>
                <w:sz w:val="22"/>
              </w:rPr>
              <w:t>The template is covered in Approaches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QC </w:t>
            </w:r>
            <w:r>
              <w:rPr>
                <w:spacing w:val="-2"/>
                <w:sz w:val="22"/>
              </w:rPr>
              <w:t>(CS_WI_BS015)</w:t>
            </w:r>
          </w:p>
        </w:tc>
      </w:tr>
      <w:tr>
        <w:trPr>
          <w:trHeight w:val="1281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 w:right="178"/>
              <w:rPr>
                <w:sz w:val="22"/>
              </w:rPr>
            </w:pPr>
            <w:r>
              <w:rPr>
                <w:sz w:val="22"/>
              </w:rPr>
              <w:t>Added Biostatistics Training Management (CS_WI_BS0240) requirements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removed duplicate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information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covered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work </w:t>
            </w:r>
            <w:r>
              <w:rPr>
                <w:spacing w:val="-2"/>
                <w:sz w:val="22"/>
              </w:rPr>
              <w:t>instruction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  <w:tc>
          <w:tcPr>
            <w:tcW w:w="2410" w:type="dxa"/>
          </w:tcPr>
          <w:p>
            <w:pPr>
              <w:pStyle w:val="TableParagraph"/>
              <w:spacing w:line="230" w:lineRule="auto" w:before="32"/>
              <w:ind w:left="109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Work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Instruction released on training management within </w:t>
            </w:r>
            <w:r>
              <w:rPr>
                <w:spacing w:val="-2"/>
                <w:sz w:val="22"/>
              </w:rPr>
              <w:t>Biostatistics</w:t>
            </w:r>
          </w:p>
        </w:tc>
      </w:tr>
      <w:tr>
        <w:trPr>
          <w:trHeight w:val="1041" w:hRule="atLeast"/>
        </w:trPr>
        <w:tc>
          <w:tcPr>
            <w:tcW w:w="4258" w:type="dxa"/>
          </w:tcPr>
          <w:p>
            <w:pPr>
              <w:pStyle w:val="TableParagraph"/>
              <w:spacing w:line="230" w:lineRule="auto" w:before="32"/>
              <w:ind w:left="110" w:right="178"/>
              <w:rPr>
                <w:sz w:val="22"/>
              </w:rPr>
            </w:pPr>
            <w:r>
              <w:rPr>
                <w:sz w:val="22"/>
              </w:rPr>
              <w:t>Added Project Leader and Biostatistics Quality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additional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parties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 be notified of any quality issues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6.3.4</w:t>
            </w:r>
          </w:p>
        </w:tc>
        <w:tc>
          <w:tcPr>
            <w:tcW w:w="2410" w:type="dxa"/>
          </w:tcPr>
          <w:p>
            <w:pPr>
              <w:pStyle w:val="TableParagraph"/>
              <w:spacing w:line="230" w:lineRule="auto" w:before="32"/>
              <w:ind w:left="109" w:right="134"/>
              <w:rPr>
                <w:sz w:val="22"/>
              </w:rPr>
            </w:pPr>
            <w:r>
              <w:rPr>
                <w:sz w:val="22"/>
              </w:rPr>
              <w:t>Required as per Quality Issue </w:t>
            </w:r>
            <w:r>
              <w:rPr>
                <w:spacing w:val="-2"/>
                <w:sz w:val="22"/>
              </w:rPr>
              <w:t>Management (CS_OP_QA002)</w:t>
            </w:r>
          </w:p>
        </w:tc>
      </w:tr>
      <w:tr>
        <w:trPr>
          <w:trHeight w:val="1041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 w:right="178"/>
              <w:rPr>
                <w:sz w:val="22"/>
              </w:rPr>
            </w:pPr>
            <w:r>
              <w:rPr>
                <w:sz w:val="22"/>
              </w:rPr>
              <w:t>Added Project Leader as one of the parties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notified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information </w:t>
            </w:r>
            <w:r>
              <w:rPr>
                <w:spacing w:val="-2"/>
                <w:sz w:val="22"/>
              </w:rPr>
              <w:t>incidents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6.3.5</w:t>
            </w:r>
          </w:p>
        </w:tc>
        <w:tc>
          <w:tcPr>
            <w:tcW w:w="2410" w:type="dxa"/>
          </w:tcPr>
          <w:p>
            <w:pPr>
              <w:pStyle w:val="TableParagraph"/>
              <w:spacing w:line="228" w:lineRule="auto" w:before="34"/>
              <w:ind w:left="109" w:right="134"/>
              <w:rPr>
                <w:sz w:val="22"/>
              </w:rPr>
            </w:pPr>
            <w:r>
              <w:rPr>
                <w:sz w:val="22"/>
              </w:rPr>
              <w:t>Required as per Quality Issue </w:t>
            </w:r>
            <w:r>
              <w:rPr>
                <w:spacing w:val="-2"/>
                <w:sz w:val="22"/>
              </w:rPr>
              <w:t>Management (CS_OP_QA002)</w:t>
            </w:r>
          </w:p>
        </w:tc>
      </w:tr>
      <w:tr>
        <w:trPr>
          <w:trHeight w:val="1276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Replaced Reporting and Managing Information Incidents (QG_OP_CODP0002)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Protection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of Personally Identifiable Information </w:t>
            </w:r>
            <w:r>
              <w:rPr>
                <w:spacing w:val="-2"/>
                <w:sz w:val="22"/>
              </w:rPr>
              <w:t>(QCP_CP_IGP0003)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6.3.6</w:t>
            </w:r>
          </w:p>
        </w:tc>
        <w:tc>
          <w:tcPr>
            <w:tcW w:w="2410" w:type="dxa"/>
          </w:tcPr>
          <w:p>
            <w:pPr>
              <w:pStyle w:val="TableParagraph"/>
              <w:spacing w:line="246" w:lineRule="exact" w:before="24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QC_OP_CODP0002</w:t>
            </w:r>
          </w:p>
          <w:p>
            <w:pPr>
              <w:pStyle w:val="TableParagraph"/>
              <w:spacing w:line="228" w:lineRule="auto" w:before="3"/>
              <w:ind w:left="109"/>
              <w:rPr>
                <w:sz w:val="22"/>
              </w:rPr>
            </w:pPr>
            <w:r>
              <w:rPr>
                <w:sz w:val="22"/>
              </w:rPr>
              <w:t>made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obsolete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 replaced with </w:t>
            </w:r>
            <w:r>
              <w:rPr>
                <w:spacing w:val="-2"/>
                <w:sz w:val="22"/>
              </w:rPr>
              <w:t>QCP_CP_IGP0003</w:t>
            </w:r>
          </w:p>
        </w:tc>
      </w:tr>
      <w:tr>
        <w:trPr>
          <w:trHeight w:val="801" w:hRule="atLeast"/>
        </w:trPr>
        <w:tc>
          <w:tcPr>
            <w:tcW w:w="425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Instructions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follow together with SOPs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6.4.1</w:t>
            </w:r>
          </w:p>
        </w:tc>
        <w:tc>
          <w:tcPr>
            <w:tcW w:w="2410" w:type="dxa"/>
          </w:tcPr>
          <w:p>
            <w:pPr>
              <w:pStyle w:val="TableParagraph"/>
              <w:spacing w:line="230" w:lineRule="auto" w:before="32"/>
              <w:ind w:left="109" w:right="134"/>
              <w:rPr>
                <w:sz w:val="22"/>
              </w:rPr>
            </w:pPr>
            <w:r>
              <w:rPr>
                <w:sz w:val="22"/>
              </w:rPr>
              <w:t>Consistency with requirements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the rest of section 6.4</w:t>
            </w:r>
          </w:p>
        </w:tc>
      </w:tr>
      <w:tr>
        <w:trPr>
          <w:trHeight w:val="561" w:hRule="atLeast"/>
        </w:trPr>
        <w:tc>
          <w:tcPr>
            <w:tcW w:w="425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Combined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information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6.4.2 and section 6.4.3 into section 6.4.2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6.4.3</w:t>
            </w:r>
          </w:p>
        </w:tc>
        <w:tc>
          <w:tcPr>
            <w:tcW w:w="2410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Improve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of </w:t>
            </w:r>
            <w:r>
              <w:rPr>
                <w:spacing w:val="-2"/>
                <w:sz w:val="22"/>
              </w:rPr>
              <w:t>instruction</w:t>
            </w:r>
          </w:p>
        </w:tc>
      </w:tr>
      <w:tr>
        <w:trPr>
          <w:trHeight w:val="1521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 w:right="108"/>
              <w:rPr>
                <w:sz w:val="22"/>
              </w:rPr>
            </w:pPr>
            <w:r>
              <w:rPr>
                <w:sz w:val="22"/>
              </w:rPr>
              <w:t>Updated title of CS_WI_RM0284 from “Document Quality - Good Documentation Practices” to “General and Trial Master File (TMF)-Specific Document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Good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Documentation </w:t>
            </w:r>
            <w:r>
              <w:rPr>
                <w:spacing w:val="-2"/>
                <w:sz w:val="22"/>
              </w:rPr>
              <w:t>Practices”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6.5.1</w:t>
            </w:r>
          </w:p>
        </w:tc>
        <w:tc>
          <w:tcPr>
            <w:tcW w:w="2410" w:type="dxa"/>
          </w:tcPr>
          <w:p>
            <w:pPr>
              <w:pStyle w:val="TableParagraph"/>
              <w:spacing w:line="228" w:lineRule="auto" w:before="34"/>
              <w:ind w:left="109" w:right="134"/>
              <w:rPr>
                <w:sz w:val="22"/>
              </w:rPr>
            </w:pPr>
            <w:r>
              <w:rPr>
                <w:sz w:val="22"/>
              </w:rPr>
              <w:t>Document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name </w:t>
            </w:r>
            <w:r>
              <w:rPr>
                <w:spacing w:val="-2"/>
                <w:sz w:val="22"/>
              </w:rPr>
              <w:t>change</w:t>
            </w:r>
          </w:p>
        </w:tc>
      </w:tr>
    </w:tbl>
    <w:p>
      <w:pPr>
        <w:spacing w:after="0" w:line="228" w:lineRule="auto"/>
        <w:rPr>
          <w:sz w:val="22"/>
        </w:rPr>
        <w:sectPr>
          <w:pgSz w:w="12240" w:h="15840"/>
          <w:pgMar w:header="725" w:footer="872" w:top="2520" w:bottom="1060" w:left="900" w:right="6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58"/>
        <w:gridCol w:w="3399"/>
        <w:gridCol w:w="2410"/>
      </w:tblGrid>
      <w:tr>
        <w:trPr>
          <w:trHeight w:val="321" w:hRule="atLeast"/>
        </w:trPr>
        <w:tc>
          <w:tcPr>
            <w:tcW w:w="425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399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2410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2001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 w:right="178"/>
              <w:rPr>
                <w:sz w:val="22"/>
              </w:rPr>
            </w:pPr>
            <w:r>
              <w:rPr>
                <w:sz w:val="22"/>
              </w:rPr>
              <w:t>ELVIS Electronic Trial Master File (ELVIS eTMF): Document Submission Process (CS_WI_RM0279) and IQVIA Electronic Trial Master File (eTMF) (Wingspan) Management </w:t>
            </w:r>
            <w:r>
              <w:rPr>
                <w:color w:val="323232"/>
                <w:sz w:val="22"/>
              </w:rPr>
              <w:t>(</w:t>
            </w:r>
            <w:r>
              <w:rPr>
                <w:sz w:val="22"/>
              </w:rPr>
              <w:t>CS_WI_RM0302) replaced by Management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Biostatistics Documentation (CS_WI_BS0237)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6.5.2</w:t>
            </w:r>
          </w:p>
        </w:tc>
        <w:tc>
          <w:tcPr>
            <w:tcW w:w="2410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CS_WI_RM0279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CS_WI_RM0302</w:t>
            </w:r>
          </w:p>
          <w:p>
            <w:pPr>
              <w:pStyle w:val="TableParagraph"/>
              <w:spacing w:line="228" w:lineRule="auto" w:before="0"/>
              <w:ind w:left="109"/>
              <w:rPr>
                <w:sz w:val="22"/>
              </w:rPr>
            </w:pPr>
            <w:r>
              <w:rPr>
                <w:sz w:val="22"/>
              </w:rPr>
              <w:t>made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obsolete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CS_WI_BS0237</w:t>
            </w:r>
          </w:p>
          <w:p>
            <w:pPr>
              <w:pStyle w:val="TableParagraph"/>
              <w:spacing w:line="228" w:lineRule="auto" w:before="0"/>
              <w:ind w:left="109"/>
              <w:rPr>
                <w:sz w:val="22"/>
              </w:rPr>
            </w:pPr>
            <w:r>
              <w:rPr>
                <w:sz w:val="22"/>
              </w:rPr>
              <w:t>released for Biostatistics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filing </w:t>
            </w:r>
            <w:r>
              <w:rPr>
                <w:spacing w:val="-2"/>
                <w:sz w:val="22"/>
              </w:rPr>
              <w:t>activities</w:t>
            </w:r>
          </w:p>
        </w:tc>
      </w:tr>
      <w:tr>
        <w:trPr>
          <w:trHeight w:val="1041" w:hRule="atLeast"/>
        </w:trPr>
        <w:tc>
          <w:tcPr>
            <w:tcW w:w="425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sections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6.5.3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6.5.4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6.5.3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6.5.4</w:t>
            </w:r>
          </w:p>
        </w:tc>
        <w:tc>
          <w:tcPr>
            <w:tcW w:w="2410" w:type="dxa"/>
          </w:tcPr>
          <w:p>
            <w:pPr>
              <w:pStyle w:val="TableParagraph"/>
              <w:spacing w:line="246" w:lineRule="exact" w:before="24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CS_WI_BS0237</w:t>
            </w:r>
          </w:p>
          <w:p>
            <w:pPr>
              <w:pStyle w:val="TableParagraph"/>
              <w:spacing w:line="240" w:lineRule="exact" w:before="0"/>
              <w:ind w:left="109"/>
              <w:rPr>
                <w:sz w:val="22"/>
              </w:rPr>
            </w:pPr>
            <w:r>
              <w:rPr>
                <w:sz w:val="22"/>
              </w:rPr>
              <w:t>referenced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section</w:t>
            </w:r>
          </w:p>
          <w:p>
            <w:pPr>
              <w:pStyle w:val="TableParagraph"/>
              <w:spacing w:line="228" w:lineRule="auto" w:before="3"/>
              <w:ind w:left="109"/>
              <w:rPr>
                <w:sz w:val="22"/>
              </w:rPr>
            </w:pPr>
            <w:r>
              <w:rPr>
                <w:sz w:val="22"/>
              </w:rPr>
              <w:t>6.5.2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already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reflect</w:t>
            </w:r>
            <w:r>
              <w:rPr>
                <w:sz w:val="22"/>
              </w:rPr>
              <w:t>s</w:t>
            </w:r>
            <w:r>
              <w:rPr>
                <w:sz w:val="22"/>
              </w:rPr>
              <w:t> required information</w:t>
            </w:r>
          </w:p>
        </w:tc>
      </w:tr>
      <w:tr>
        <w:trPr>
          <w:trHeight w:val="1036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 w:right="178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Leader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one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 parties to be notified of any vendor performance concerns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6.6.2</w:t>
            </w:r>
          </w:p>
        </w:tc>
        <w:tc>
          <w:tcPr>
            <w:tcW w:w="2410" w:type="dxa"/>
          </w:tcPr>
          <w:p>
            <w:pPr>
              <w:pStyle w:val="TableParagraph"/>
              <w:spacing w:line="228" w:lineRule="auto" w:before="34"/>
              <w:ind w:left="109" w:right="48"/>
              <w:rPr>
                <w:sz w:val="22"/>
              </w:rPr>
            </w:pPr>
            <w:r>
              <w:rPr>
                <w:sz w:val="22"/>
              </w:rPr>
              <w:t>Vendor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/ oversight part of Project Leader </w:t>
            </w:r>
            <w:r>
              <w:rPr>
                <w:spacing w:val="-2"/>
                <w:sz w:val="22"/>
              </w:rPr>
              <w:t>responsibilities</w:t>
            </w:r>
          </w:p>
        </w:tc>
      </w:tr>
      <w:tr>
        <w:trPr>
          <w:trHeight w:val="561" w:hRule="atLeast"/>
        </w:trPr>
        <w:tc>
          <w:tcPr>
            <w:tcW w:w="4258" w:type="dxa"/>
          </w:tcPr>
          <w:p>
            <w:pPr>
              <w:pStyle w:val="TableParagraph"/>
              <w:spacing w:line="232" w:lineRule="auto" w:before="30"/>
              <w:ind w:left="110" w:right="178"/>
              <w:rPr>
                <w:sz w:val="22"/>
              </w:rPr>
            </w:pPr>
            <w:r>
              <w:rPr>
                <w:sz w:val="22"/>
              </w:rPr>
              <w:t>Section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title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updated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include </w:t>
            </w:r>
            <w:r>
              <w:rPr>
                <w:spacing w:val="-2"/>
                <w:sz w:val="22"/>
              </w:rPr>
              <w:t>inspections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5"/>
                <w:sz w:val="22"/>
              </w:rPr>
              <w:t>6.7</w:t>
            </w:r>
          </w:p>
        </w:tc>
        <w:tc>
          <w:tcPr>
            <w:tcW w:w="2410" w:type="dxa"/>
          </w:tcPr>
          <w:p>
            <w:pPr>
              <w:pStyle w:val="TableParagraph"/>
              <w:spacing w:line="232" w:lineRule="auto" w:before="30"/>
              <w:ind w:left="109" w:right="134"/>
              <w:rPr>
                <w:sz w:val="22"/>
              </w:rPr>
            </w:pPr>
            <w:r>
              <w:rPr>
                <w:sz w:val="22"/>
              </w:rPr>
              <w:t>Clarification on content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section</w:t>
            </w:r>
          </w:p>
        </w:tc>
      </w:tr>
      <w:tr>
        <w:trPr>
          <w:trHeight w:val="1281" w:hRule="atLeast"/>
        </w:trPr>
        <w:tc>
          <w:tcPr>
            <w:tcW w:w="425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Changed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Who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BPTM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z w:val="22"/>
              </w:rPr>
              <w:t>6.7.1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6.7.2</w:t>
            </w:r>
          </w:p>
        </w:tc>
        <w:tc>
          <w:tcPr>
            <w:tcW w:w="2410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All Biostatistics staff responsible for </w:t>
            </w:r>
            <w:r>
              <w:rPr>
                <w:spacing w:val="-2"/>
                <w:sz w:val="22"/>
              </w:rPr>
              <w:t>maintaining </w:t>
            </w:r>
            <w:r>
              <w:rPr>
                <w:sz w:val="22"/>
              </w:rPr>
              <w:t>audit/inspection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ready status of projects</w:t>
            </w:r>
          </w:p>
        </w:tc>
      </w:tr>
      <w:tr>
        <w:trPr>
          <w:trHeight w:val="1041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 w:right="108"/>
              <w:rPr>
                <w:sz w:val="22"/>
              </w:rPr>
            </w:pPr>
            <w:r>
              <w:rPr>
                <w:sz w:val="22"/>
              </w:rPr>
              <w:t>CS_OP_QA003 name changed from “Planning, Conducting, Reporting, and Closing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IQVIA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Assurance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Audits” to “Audit Management”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6.7.1</w:t>
            </w:r>
          </w:p>
        </w:tc>
        <w:tc>
          <w:tcPr>
            <w:tcW w:w="2410" w:type="dxa"/>
          </w:tcPr>
          <w:p>
            <w:pPr>
              <w:pStyle w:val="TableParagraph"/>
              <w:spacing w:line="228" w:lineRule="auto" w:before="34"/>
              <w:ind w:left="109" w:right="134"/>
              <w:rPr>
                <w:sz w:val="22"/>
              </w:rPr>
            </w:pPr>
            <w:r>
              <w:rPr>
                <w:sz w:val="22"/>
              </w:rPr>
              <w:t>Document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name </w:t>
            </w:r>
            <w:r>
              <w:rPr>
                <w:spacing w:val="-2"/>
                <w:sz w:val="22"/>
              </w:rPr>
              <w:t>change</w:t>
            </w:r>
          </w:p>
        </w:tc>
      </w:tr>
      <w:tr>
        <w:trPr>
          <w:trHeight w:val="1516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 w:right="178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CS_OP_QA011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(Customer Audits: Preparation, Hosting and Response) and CS_OP_QA0254 (Regulatory Inspections at an Investigator Site, Sponsor/Vendor </w:t>
            </w:r>
            <w:r>
              <w:rPr>
                <w:spacing w:val="-2"/>
                <w:sz w:val="22"/>
              </w:rPr>
              <w:t>Facility)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6.7.2</w:t>
            </w:r>
          </w:p>
        </w:tc>
        <w:tc>
          <w:tcPr>
            <w:tcW w:w="2410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To reflect all current Quality Assurance operating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procedures applicable to </w:t>
            </w:r>
            <w:r>
              <w:rPr>
                <w:spacing w:val="-2"/>
                <w:sz w:val="22"/>
              </w:rPr>
              <w:t>audits/inspections</w:t>
            </w:r>
          </w:p>
        </w:tc>
      </w:tr>
      <w:tr>
        <w:trPr>
          <w:trHeight w:val="1041" w:hRule="atLeast"/>
        </w:trPr>
        <w:tc>
          <w:tcPr>
            <w:tcW w:w="4258" w:type="dxa"/>
          </w:tcPr>
          <w:p>
            <w:pPr>
              <w:pStyle w:val="TableParagraph"/>
              <w:spacing w:line="230" w:lineRule="auto" w:before="32"/>
              <w:ind w:left="110" w:right="526"/>
              <w:jc w:val="both"/>
              <w:rPr>
                <w:sz w:val="22"/>
              </w:rPr>
            </w:pPr>
            <w:r>
              <w:rPr>
                <w:sz w:val="22"/>
              </w:rPr>
              <w:t>Replaced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Computer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System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Security (CS_OP_IT002) with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Access Control </w:t>
            </w:r>
            <w:r>
              <w:rPr>
                <w:spacing w:val="-2"/>
                <w:sz w:val="22"/>
              </w:rPr>
              <w:t>(QFP_FAP_IT0001)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6.8.2</w:t>
            </w:r>
          </w:p>
        </w:tc>
        <w:tc>
          <w:tcPr>
            <w:tcW w:w="2410" w:type="dxa"/>
          </w:tcPr>
          <w:p>
            <w:pPr>
              <w:pStyle w:val="TableParagraph"/>
              <w:spacing w:line="230" w:lineRule="auto" w:before="32"/>
              <w:ind w:left="109" w:right="119"/>
              <w:rPr>
                <w:sz w:val="22"/>
              </w:rPr>
            </w:pPr>
            <w:r>
              <w:rPr>
                <w:sz w:val="22"/>
              </w:rPr>
              <w:t>CS_OP_IT002 made obsolete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replaced </w:t>
            </w:r>
            <w:r>
              <w:rPr>
                <w:spacing w:val="-4"/>
                <w:sz w:val="22"/>
              </w:rPr>
              <w:t>with </w:t>
            </w:r>
            <w:r>
              <w:rPr>
                <w:spacing w:val="-2"/>
                <w:sz w:val="22"/>
              </w:rPr>
              <w:t>QFP_FAP_IT0001</w:t>
            </w:r>
          </w:p>
        </w:tc>
      </w:tr>
      <w:tr>
        <w:trPr>
          <w:trHeight w:val="801" w:hRule="atLeast"/>
        </w:trPr>
        <w:tc>
          <w:tcPr>
            <w:tcW w:w="4258" w:type="dxa"/>
          </w:tcPr>
          <w:p>
            <w:pPr>
              <w:pStyle w:val="TableParagraph"/>
              <w:spacing w:line="230" w:lineRule="auto" w:before="32"/>
              <w:ind w:left="110"/>
              <w:rPr>
                <w:sz w:val="22"/>
              </w:rPr>
            </w:pPr>
            <w:r>
              <w:rPr>
                <w:sz w:val="22"/>
              </w:rPr>
              <w:t>Added clarification when SAS macro validation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would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required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according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 </w:t>
            </w:r>
            <w:r>
              <w:rPr>
                <w:spacing w:val="-2"/>
                <w:sz w:val="22"/>
              </w:rPr>
              <w:t>CS_WI_BS0222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6.8.3</w:t>
            </w:r>
          </w:p>
        </w:tc>
        <w:tc>
          <w:tcPr>
            <w:tcW w:w="2410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clarify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requirement</w:t>
            </w:r>
          </w:p>
        </w:tc>
      </w:tr>
      <w:tr>
        <w:trPr>
          <w:trHeight w:val="561" w:hRule="atLeast"/>
        </w:trPr>
        <w:tc>
          <w:tcPr>
            <w:tcW w:w="4258" w:type="dxa"/>
          </w:tcPr>
          <w:p>
            <w:pPr>
              <w:pStyle w:val="TableParagraph"/>
              <w:spacing w:line="228" w:lineRule="auto" w:before="34"/>
              <w:ind w:left="110" w:right="178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Confidentiality </w:t>
            </w:r>
            <w:r>
              <w:rPr>
                <w:spacing w:val="-2"/>
                <w:sz w:val="22"/>
              </w:rPr>
              <w:t>(QCP_CP_IGP0002)</w:t>
            </w:r>
          </w:p>
        </w:tc>
        <w:tc>
          <w:tcPr>
            <w:tcW w:w="3399" w:type="dxa"/>
          </w:tcPr>
          <w:p>
            <w:pPr>
              <w:pStyle w:val="TableParagraph"/>
              <w:spacing w:before="28"/>
              <w:ind w:left="104"/>
              <w:rPr>
                <w:sz w:val="22"/>
              </w:rPr>
            </w:pPr>
            <w:r>
              <w:rPr>
                <w:spacing w:val="-2"/>
                <w:sz w:val="22"/>
              </w:rPr>
              <w:t>6.9.1</w:t>
            </w:r>
          </w:p>
        </w:tc>
        <w:tc>
          <w:tcPr>
            <w:tcW w:w="2410" w:type="dxa"/>
          </w:tcPr>
          <w:p>
            <w:pPr>
              <w:pStyle w:val="TableParagraph"/>
              <w:spacing w:line="228" w:lineRule="auto" w:before="34"/>
              <w:ind w:left="109" w:right="134"/>
              <w:rPr>
                <w:sz w:val="22"/>
              </w:rPr>
            </w:pPr>
            <w:r>
              <w:rPr>
                <w:sz w:val="22"/>
              </w:rPr>
              <w:t>Global policy applicable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all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staff</w:t>
            </w:r>
          </w:p>
        </w:tc>
      </w:tr>
    </w:tbl>
    <w:p>
      <w:pPr>
        <w:spacing w:after="0" w:line="228" w:lineRule="auto"/>
        <w:rPr>
          <w:sz w:val="22"/>
        </w:rPr>
        <w:sectPr>
          <w:pgSz w:w="12240" w:h="15840"/>
          <w:pgMar w:header="725" w:footer="872" w:top="2520" w:bottom="1060" w:left="900" w:right="62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APPENDICES" w:id="30"/>
      <w:bookmarkEnd w:id="30"/>
      <w:r>
        <w:rPr>
          <w:b/>
          <w:spacing w:val="-2"/>
          <w:sz w:val="22"/>
        </w:rPr>
        <w:t>APPENDICES</w:t>
      </w:r>
    </w:p>
    <w:p>
      <w:pPr>
        <w:pStyle w:val="BodyText"/>
        <w:spacing w:before="126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19"/>
        </w:rPr>
      </w:pPr>
      <w:r>
        <w:rPr/>
        <w:pict>
          <v:rect style="position:absolute;margin-left:66pt;margin-top:12.134658pt;width:475.44pt;height:.24pt;mso-position-horizontal-relative:page;mso-position-vertical-relative:paragraph;z-index:-15727616;mso-wrap-distance-left:0;mso-wrap-distance-right:0" id="docshape8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8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8</w:t>
      </w:r>
    </w:p>
    <w:p>
      <w:pPr>
        <w:spacing w:line="244" w:lineRule="auto" w:before="0"/>
        <w:ind w:left="448" w:right="858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2014,</w:t>
      </w:r>
      <w:r>
        <w:rPr>
          <w:spacing w:val="-2"/>
          <w:sz w:val="16"/>
        </w:rPr>
        <w:t> </w:t>
      </w:r>
      <w:r>
        <w:rPr>
          <w:sz w:val="16"/>
        </w:rPr>
        <w:t>2016,</w:t>
      </w:r>
      <w:r>
        <w:rPr>
          <w:spacing w:val="-2"/>
          <w:sz w:val="16"/>
        </w:rPr>
        <w:t> </w:t>
      </w:r>
      <w:r>
        <w:rPr>
          <w:sz w:val="16"/>
        </w:rPr>
        <w:t>2018,</w:t>
      </w:r>
      <w:r>
        <w:rPr>
          <w:spacing w:val="-2"/>
          <w:sz w:val="16"/>
        </w:rPr>
        <w:t> </w:t>
      </w:r>
      <w:r>
        <w:rPr>
          <w:sz w:val="16"/>
        </w:rPr>
        <w:t>2019,</w:t>
      </w:r>
      <w:r>
        <w:rPr>
          <w:spacing w:val="-2"/>
          <w:sz w:val="16"/>
        </w:rPr>
        <w:t> </w:t>
      </w:r>
      <w:r>
        <w:rPr>
          <w:sz w:val="16"/>
        </w:rPr>
        <w:t>2021</w:t>
      </w:r>
      <w:r>
        <w:rPr>
          <w:spacing w:val="-3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 to</w:t>
      </w:r>
      <w:r>
        <w:rPr>
          <w:spacing w:val="-3"/>
          <w:sz w:val="16"/>
        </w:rPr>
        <w:t> </w:t>
      </w:r>
      <w:r>
        <w:rPr>
          <w:sz w:val="16"/>
        </w:rPr>
        <w:t>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28"/>
          <w:footerReference w:type="default" r:id="rId29"/>
          <w:pgSz w:w="12240" w:h="15840"/>
          <w:pgMar w:header="725" w:footer="268" w:top="2520" w:bottom="460" w:left="900" w:right="620"/>
        </w:sectPr>
      </w:pPr>
    </w:p>
    <w:p>
      <w:pPr>
        <w:spacing w:line="321" w:lineRule="exact" w:before="79"/>
        <w:ind w:left="608" w:right="855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254700260_2_0_sgTemplateFile.pdf" w:id="31"/>
      <w:bookmarkEnd w:id="31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8" w:right="88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8" w:right="88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0" w:right="88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611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Tebbenkamp,</w:t>
      </w:r>
      <w:r>
        <w:rPr>
          <w:spacing w:val="-10"/>
          <w:sz w:val="20"/>
        </w:rPr>
        <w:t> </w:t>
      </w:r>
      <w:r>
        <w:rPr>
          <w:sz w:val="20"/>
        </w:rPr>
        <w:t>Greg</w:t>
      </w:r>
      <w:r>
        <w:rPr>
          <w:spacing w:val="37"/>
          <w:sz w:val="20"/>
        </w:rPr>
        <w:t> </w:t>
      </w:r>
      <w:r>
        <w:rPr>
          <w:sz w:val="20"/>
        </w:rPr>
        <w:t>(q460335)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282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27</w:t>
      </w:r>
      <w:r>
        <w:rPr>
          <w:spacing w:val="-5"/>
          <w:sz w:val="20"/>
        </w:rPr>
        <w:t> </w:t>
      </w:r>
      <w:r>
        <w:rPr>
          <w:sz w:val="20"/>
        </w:rPr>
        <w:t>May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08:27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11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Bickford,</w:t>
      </w:r>
      <w:r>
        <w:rPr>
          <w:spacing w:val="-10"/>
          <w:sz w:val="20"/>
        </w:rPr>
        <w:t> </w:t>
      </w:r>
      <w:r>
        <w:rPr>
          <w:sz w:val="20"/>
        </w:rPr>
        <w:t>Emma</w:t>
      </w:r>
      <w:r>
        <w:rPr>
          <w:spacing w:val="36"/>
          <w:sz w:val="20"/>
        </w:rPr>
        <w:t> </w:t>
      </w:r>
      <w:r>
        <w:rPr>
          <w:sz w:val="20"/>
        </w:rPr>
        <w:t>(q637065)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4282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27</w:t>
      </w:r>
      <w:r>
        <w:rPr>
          <w:spacing w:val="-5"/>
          <w:sz w:val="20"/>
        </w:rPr>
        <w:t> </w:t>
      </w:r>
      <w:r>
        <w:rPr>
          <w:sz w:val="20"/>
        </w:rPr>
        <w:t>May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09:04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30"/>
      <w:footerReference w:type="default" r:id="rId31"/>
      <w:pgSz w:w="12240" w:h="15840"/>
      <w:pgMar w:header="0" w:footer="268" w:top="1360" w:bottom="460" w:left="900" w:right="6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34.159973pt;width:470.88pt;height:.48pt;mso-position-horizontal-relative:page;mso-position-vertical-relative:page;z-index:-16333312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34.870239pt;width:469.25pt;height:49.15pt;mso-position-horizontal-relative:page;mso-position-vertical-relative:page;z-index:-16332800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9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8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2014,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2016,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2021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 to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IQVIA Holdings Inc. and its subsidiaries. Unauthorized use, disclosure or reproduction is strictly prohibited.</w:t>
                </w:r>
              </w:p>
              <w:p>
                <w:pPr>
                  <w:spacing w:before="105"/>
                  <w:ind w:left="814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CS_OP_BS0216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5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15-Jun-2021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34.400024pt;width:475.44pt;height:.24pt;mso-position-horizontal-relative:page;mso-position-vertical-relative:page;z-index:-16331776" id="docshape4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34.870239pt;width:469.25pt;height:49.15pt;mso-position-horizontal-relative:page;mso-position-vertical-relative:page;z-index:-16331264" type="#_x0000_t202" id="docshape5" filled="false" stroked="false">
          <v:textbox inset="0,0,0,0">
            <w:txbxContent>
              <w:p>
                <w:pPr>
                  <w:spacing w:line="183" w:lineRule="exact" w:before="13"/>
                  <w:ind w:left="4335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6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8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2014,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2016,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2021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 to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IQVIA Holdings Inc. and its subsidiaries. Unauthorized use, disclosure or reproduction is strictly prohibited.</w:t>
                </w:r>
              </w:p>
              <w:p>
                <w:pPr>
                  <w:spacing w:before="105"/>
                  <w:ind w:left="905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CS_OP_BS0216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5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15-Jun-2021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0.713989pt;margin-top:767.575989pt;width:390.6pt;height:16.45pt;mso-position-horizontal-relative:page;mso-position-vertical-relative:page;z-index:-16330240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CS_OP_BS0216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5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15-Jun-2021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0.713989pt;margin-top:767.575989pt;width:390.6pt;height:16.45pt;mso-position-horizontal-relative:page;mso-position-vertical-relative:page;z-index:-16329728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CS_OP_BS0216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5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15-Jun-2021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28640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Ensuring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Quality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in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Biostatistical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Deliverables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CS_OP_BS0216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5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984192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29152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b/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Ensuring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Quality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in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Biostatistical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Deliverables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CS_OP_BS0216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5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985728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multiLevelType w:val="hybridMultilevel"/>
    <w:lvl w:ilvl="0">
      <w:start w:val="0"/>
      <w:numFmt w:val="bullet"/>
      <w:lvlText w:val=""/>
      <w:lvlJc w:val="left"/>
      <w:pPr>
        <w:ind w:left="888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1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5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2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4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79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2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4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8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6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0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3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3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8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1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7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2162" w:hanging="543"/>
      </w:pPr>
      <w:rPr>
        <w:rFonts w:hint="default" w:ascii="Symbol" w:hAnsi="Symbol" w:eastAsia="Symbol" w:cs="Symbol"/>
        <w:b/>
        <w:bCs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016" w:hanging="54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872" w:hanging="54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728" w:hanging="5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584" w:hanging="5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440" w:hanging="5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5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52" w:hanging="5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08" w:hanging="543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51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22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9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64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77" w:hanging="720"/>
      </w:pPr>
      <w:rPr>
        <w:rFonts w:hint="default"/>
        <w:lang w:val="en-US" w:eastAsia="en-US" w:bidi="ar-SA"/>
      </w:r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42"/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OP_QA002" TargetMode="External"/><Relationship Id="rId10" Type="http://schemas.openxmlformats.org/officeDocument/2006/relationships/hyperlink" Target="https://elvis.quintiles.com/livelink/llisapi.dll/open/CS_OP_QA003" TargetMode="External"/><Relationship Id="rId11" Type="http://schemas.openxmlformats.org/officeDocument/2006/relationships/hyperlink" Target="https://elvis.quintiles.com/livelink/llisapi.dll/open/CS_OP_QA004" TargetMode="External"/><Relationship Id="rId12" Type="http://schemas.openxmlformats.org/officeDocument/2006/relationships/hyperlink" Target="https://elvis.quintiles.com/livelink/llisapi.dll/open/CS_OP_QA011" TargetMode="External"/><Relationship Id="rId13" Type="http://schemas.openxmlformats.org/officeDocument/2006/relationships/hyperlink" Target="https://elvis.quintiles.com/livelink/llisapi.dll/open/CS_OP_QA0254" TargetMode="External"/><Relationship Id="rId14" Type="http://schemas.openxmlformats.org/officeDocument/2006/relationships/hyperlink" Target="https://elvis.quintiles.com/livelink/llisapi.dll/open/CS_OP_TR001" TargetMode="External"/><Relationship Id="rId15" Type="http://schemas.openxmlformats.org/officeDocument/2006/relationships/hyperlink" Target="https://elvis.quintiles.com/livelink/llisapi.dll/open/CS_TP_QA0320" TargetMode="External"/><Relationship Id="rId16" Type="http://schemas.openxmlformats.org/officeDocument/2006/relationships/hyperlink" Target="https://elvis.quintiles.com/livelink/llisapi.dll/open/CS_TP_QA0342" TargetMode="External"/><Relationship Id="rId17" Type="http://schemas.openxmlformats.org/officeDocument/2006/relationships/hyperlink" Target="https://elvis.quintiles.com/livelink/llisapi.dll/open/CS_WI_BS015" TargetMode="External"/><Relationship Id="rId18" Type="http://schemas.openxmlformats.org/officeDocument/2006/relationships/hyperlink" Target="https://elvis.quintiles.com/livelink/llisapi.dll/open/CS_WI_BS0222" TargetMode="External"/><Relationship Id="rId19" Type="http://schemas.openxmlformats.org/officeDocument/2006/relationships/hyperlink" Target="https://elvis.quintiles.com/livelink/llisapi.dll/open/CS_WI_BS0237" TargetMode="External"/><Relationship Id="rId20" Type="http://schemas.openxmlformats.org/officeDocument/2006/relationships/hyperlink" Target="https://elvis.quintiles.com/livelink/llisapi.dll/open/CS_WI_BS0240" TargetMode="External"/><Relationship Id="rId21" Type="http://schemas.openxmlformats.org/officeDocument/2006/relationships/hyperlink" Target="https://elvis.quintiles.com/livelink/llisapi.dll/open/CS_WI_PL0022" TargetMode="External"/><Relationship Id="rId22" Type="http://schemas.openxmlformats.org/officeDocument/2006/relationships/hyperlink" Target="https://elvis.quintiles.com/livelink/llisapi.dll/open/CS_WI_QA0289" TargetMode="External"/><Relationship Id="rId23" Type="http://schemas.openxmlformats.org/officeDocument/2006/relationships/hyperlink" Target="https://elvis.quintiles.com/livelink/llisapi.dll/open/CS_WI_RM0284" TargetMode="External"/><Relationship Id="rId24" Type="http://schemas.openxmlformats.org/officeDocument/2006/relationships/hyperlink" Target="https://elvis.quintiles.com/livelink/llisapi.dll/open/QCP_CP_IGP0002" TargetMode="External"/><Relationship Id="rId25" Type="http://schemas.openxmlformats.org/officeDocument/2006/relationships/hyperlink" Target="https://elvis.quintiles.com/livelink/llisapi.dll/open/QCP_CP_IGP0003" TargetMode="External"/><Relationship Id="rId26" Type="http://schemas.openxmlformats.org/officeDocument/2006/relationships/hyperlink" Target="https://elvis.quintiles.com/livelink/llisapi.dll/open/QFP_FAP_IT0001" TargetMode="External"/><Relationship Id="rId27" Type="http://schemas.openxmlformats.org/officeDocument/2006/relationships/hyperlink" Target="https://elvis.quintiles.com/livelink/llisapi.dll/open/QG_OP_GBO0002" TargetMode="External"/><Relationship Id="rId28" Type="http://schemas.openxmlformats.org/officeDocument/2006/relationships/header" Target="header2.xml"/><Relationship Id="rId29" Type="http://schemas.openxmlformats.org/officeDocument/2006/relationships/footer" Target="footer3.xml"/><Relationship Id="rId30" Type="http://schemas.openxmlformats.org/officeDocument/2006/relationships/header" Target="header3.xml"/><Relationship Id="rId31" Type="http://schemas.openxmlformats.org/officeDocument/2006/relationships/footer" Target="footer4.xml"/><Relationship Id="rId32" Type="http://schemas.openxmlformats.org/officeDocument/2006/relationships/image" Target="media/image2.png"/><Relationship Id="rId33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254700260_2_0_sgMainFile.pdf</dc:title>
  <dcterms:created xsi:type="dcterms:W3CDTF">2023-04-11T15:29:09Z</dcterms:created>
  <dcterms:modified xsi:type="dcterms:W3CDTF">2023-04-11T15:29:09Z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2021-05-27T00:00:00Z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