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371" w:right="179" w:firstLine="883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Statistical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Contribution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to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Clinical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Study</w:t>
            </w:r>
          </w:p>
          <w:p>
            <w:pPr>
              <w:pStyle w:val="TableParagraph"/>
              <w:spacing w:before="9"/>
              <w:ind w:left="22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Report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CS_WI_BS017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12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Delphine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Millet,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Carrie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2"/>
        <w:rPr>
          <w:b/>
        </w:rPr>
      </w:pPr>
    </w:p>
    <w:p>
      <w:pPr>
        <w:pStyle w:val="BodyText"/>
        <w:ind w:left="1180" w:right="495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statistical</w:t>
      </w:r>
      <w:r>
        <w:rPr>
          <w:spacing w:val="-3"/>
        </w:rPr>
        <w:t> </w:t>
      </w:r>
      <w:r>
        <w:rPr/>
        <w:t>review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contribution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study</w:t>
      </w:r>
      <w:r>
        <w:rPr>
          <w:spacing w:val="-3"/>
        </w:rPr>
        <w:t> </w:t>
      </w:r>
      <w:r>
        <w:rPr/>
        <w:t>report</w:t>
      </w:r>
      <w:r>
        <w:rPr>
          <w:spacing w:val="-3"/>
        </w:rPr>
        <w:t> </w:t>
      </w:r>
      <w:r>
        <w:rPr/>
        <w:t>(CSR).</w:t>
      </w:r>
      <w:r>
        <w:rPr>
          <w:spacing w:val="40"/>
        </w:rPr>
        <w:t> </w:t>
      </w:r>
      <w:r>
        <w:rPr/>
        <w:t>Also refer to Refer to Producing a Clinical Study Report (Integrated Clinical / Statistical Report) (CS_WI_MW001).</w:t>
      </w:r>
    </w:p>
    <w:p>
      <w:pPr>
        <w:pStyle w:val="BodyText"/>
        <w:rPr>
          <w:sz w:val="24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214" w:after="0"/>
        <w:ind w:left="118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808" w:val="left" w:leader="none"/>
          <w:tab w:pos="1809" w:val="left" w:leader="none"/>
        </w:tabs>
        <w:spacing w:line="240" w:lineRule="auto" w:before="0" w:after="0"/>
        <w:ind w:left="1808" w:right="512" w:hanging="629"/>
        <w:jc w:val="left"/>
        <w:rPr>
          <w:sz w:val="22"/>
        </w:rPr>
      </w:pPr>
      <w:r>
        <w:rPr>
          <w:sz w:val="22"/>
        </w:rPr>
        <w:t>This work instruction (WI) applies to all projects globally where IQVIA</w:t>
      </w:r>
      <w:r>
        <w:rPr>
          <w:sz w:val="22"/>
          <w:vertAlign w:val="superscript"/>
        </w:rPr>
        <w:t>TM</w:t>
      </w:r>
      <w:r>
        <w:rPr>
          <w:sz w:val="22"/>
          <w:vertAlign w:val="baseline"/>
        </w:rPr>
        <w:t> Biostatistics provides review or contributes text to the CSR.</w:t>
      </w:r>
      <w:r>
        <w:rPr>
          <w:spacing w:val="80"/>
          <w:sz w:val="22"/>
          <w:vertAlign w:val="baseline"/>
        </w:rPr>
        <w:t> </w:t>
      </w:r>
      <w:r>
        <w:rPr>
          <w:sz w:val="22"/>
          <w:vertAlign w:val="baseline"/>
        </w:rPr>
        <w:t>Refer to the Stand- alone</w:t>
      </w:r>
      <w:r>
        <w:rPr>
          <w:spacing w:val="-5"/>
          <w:sz w:val="22"/>
          <w:vertAlign w:val="baseline"/>
        </w:rPr>
        <w:t> </w:t>
      </w:r>
      <w:r>
        <w:rPr>
          <w:sz w:val="22"/>
          <w:vertAlign w:val="baseline"/>
        </w:rPr>
        <w:t>Statistical</w:t>
      </w:r>
      <w:r>
        <w:rPr>
          <w:spacing w:val="-2"/>
          <w:sz w:val="22"/>
          <w:vertAlign w:val="baseline"/>
        </w:rPr>
        <w:t> </w:t>
      </w:r>
      <w:r>
        <w:rPr>
          <w:sz w:val="22"/>
          <w:vertAlign w:val="baseline"/>
        </w:rPr>
        <w:t>Report</w:t>
      </w:r>
      <w:r>
        <w:rPr>
          <w:spacing w:val="-6"/>
          <w:sz w:val="22"/>
          <w:vertAlign w:val="baseline"/>
        </w:rPr>
        <w:t> </w:t>
      </w:r>
      <w:r>
        <w:rPr>
          <w:sz w:val="22"/>
          <w:vertAlign w:val="baseline"/>
        </w:rPr>
        <w:t>best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practice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guidance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located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in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the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Biostatistics</w:t>
      </w:r>
      <w:r>
        <w:rPr>
          <w:spacing w:val="-3"/>
          <w:sz w:val="22"/>
          <w:vertAlign w:val="baseline"/>
        </w:rPr>
        <w:t> </w:t>
      </w:r>
      <w:r>
        <w:rPr>
          <w:sz w:val="22"/>
          <w:vertAlign w:val="baseline"/>
        </w:rPr>
        <w:t>Training folder in ELVIS for guidance when IQVIA Biostatistics produces a stand-alone Statistical Report.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18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" w:after="1"/>
        <w:rPr>
          <w:sz w:val="10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6.2.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Biostatistical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(SB)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6.3,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4"/>
                <w:sz w:val="22"/>
              </w:rPr>
              <w:t> (MW)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Pharmacokinetic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(PKL)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6.3,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Expert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6.3, </w:t>
            </w:r>
            <w:r>
              <w:rPr>
                <w:spacing w:val="-5"/>
                <w:sz w:val="22"/>
              </w:rPr>
              <w:t>6.4</w:t>
            </w:r>
          </w:p>
        </w:tc>
      </w:tr>
    </w:tbl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355" w:lineRule="auto" w:before="0" w:after="0"/>
        <w:ind w:left="1180" w:right="7728" w:hanging="720"/>
        <w:jc w:val="left"/>
      </w:pPr>
      <w:bookmarkStart w:name="DEFINITIONS" w:id="4"/>
      <w:bookmarkEnd w:id="4"/>
      <w:r>
        <w:rPr>
          <w:spacing w:val="-2"/>
        </w:rPr>
        <w:t>DEFINITIONS</w:t>
      </w:r>
      <w:r>
        <w:rPr>
          <w:spacing w:val="-2"/>
        </w:rPr>
        <w:t> ACCCA:</w:t>
      </w:r>
    </w:p>
    <w:p>
      <w:pPr>
        <w:pStyle w:val="ListParagraph"/>
        <w:numPr>
          <w:ilvl w:val="0"/>
          <w:numId w:val="2"/>
        </w:numPr>
        <w:tabs>
          <w:tab w:pos="1631" w:val="left" w:leader="none"/>
          <w:tab w:pos="1632" w:val="left" w:leader="none"/>
        </w:tabs>
        <w:spacing w:line="264" w:lineRule="exact" w:before="0" w:after="0"/>
        <w:ind w:left="1631" w:right="0" w:hanging="452"/>
        <w:jc w:val="left"/>
        <w:rPr>
          <w:sz w:val="22"/>
        </w:rPr>
      </w:pPr>
      <w:r>
        <w:rPr>
          <w:b/>
          <w:sz w:val="22"/>
        </w:rPr>
        <w:t>A</w:t>
      </w:r>
      <w:r>
        <w:rPr>
          <w:sz w:val="22"/>
        </w:rPr>
        <w:t>ccuracy</w:t>
      </w:r>
      <w:r>
        <w:rPr>
          <w:spacing w:val="-8"/>
          <w:sz w:val="22"/>
        </w:rPr>
        <w:t> </w:t>
      </w:r>
      <w:r>
        <w:rPr>
          <w:sz w:val="22"/>
        </w:rPr>
        <w:t>(free</w:t>
      </w:r>
      <w:r>
        <w:rPr>
          <w:spacing w:val="-5"/>
          <w:sz w:val="22"/>
        </w:rPr>
        <w:t> </w:t>
      </w:r>
      <w:r>
        <w:rPr>
          <w:sz w:val="22"/>
        </w:rPr>
        <w:t>from</w:t>
      </w:r>
      <w:r>
        <w:rPr>
          <w:spacing w:val="-5"/>
          <w:sz w:val="22"/>
        </w:rPr>
        <w:t> </w:t>
      </w:r>
      <w:r>
        <w:rPr>
          <w:sz w:val="22"/>
        </w:rPr>
        <w:t>error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defect;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precise)</w:t>
      </w:r>
    </w:p>
    <w:p>
      <w:pPr>
        <w:pStyle w:val="ListParagraph"/>
        <w:numPr>
          <w:ilvl w:val="0"/>
          <w:numId w:val="2"/>
        </w:numPr>
        <w:tabs>
          <w:tab w:pos="1631" w:val="left" w:leader="none"/>
          <w:tab w:pos="1632" w:val="left" w:leader="none"/>
        </w:tabs>
        <w:spacing w:line="269" w:lineRule="exact" w:before="0" w:after="0"/>
        <w:ind w:left="1631" w:right="0" w:hanging="452"/>
        <w:jc w:val="left"/>
        <w:rPr>
          <w:sz w:val="22"/>
        </w:rPr>
      </w:pPr>
      <w:r>
        <w:rPr>
          <w:b/>
          <w:sz w:val="22"/>
        </w:rPr>
        <w:t>C</w:t>
      </w:r>
      <w:r>
        <w:rPr>
          <w:sz w:val="22"/>
        </w:rPr>
        <w:t>onsistency</w:t>
      </w:r>
      <w:r>
        <w:rPr>
          <w:spacing w:val="-10"/>
          <w:sz w:val="22"/>
        </w:rPr>
        <w:t> </w:t>
      </w:r>
      <w:r>
        <w:rPr>
          <w:sz w:val="22"/>
        </w:rPr>
        <w:t>(not</w:t>
      </w:r>
      <w:r>
        <w:rPr>
          <w:spacing w:val="-10"/>
          <w:sz w:val="22"/>
        </w:rPr>
        <w:t> </w:t>
      </w:r>
      <w:r>
        <w:rPr>
          <w:sz w:val="22"/>
        </w:rPr>
        <w:t>self-contradictory;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coherent)</w:t>
      </w:r>
    </w:p>
    <w:p>
      <w:pPr>
        <w:pStyle w:val="ListParagraph"/>
        <w:numPr>
          <w:ilvl w:val="0"/>
          <w:numId w:val="2"/>
        </w:numPr>
        <w:tabs>
          <w:tab w:pos="1631" w:val="left" w:leader="none"/>
          <w:tab w:pos="1632" w:val="left" w:leader="none"/>
        </w:tabs>
        <w:spacing w:line="240" w:lineRule="auto" w:before="0" w:after="0"/>
        <w:ind w:left="1631" w:right="775" w:hanging="452"/>
        <w:jc w:val="left"/>
        <w:rPr>
          <w:sz w:val="22"/>
        </w:rPr>
      </w:pPr>
      <w:r>
        <w:rPr>
          <w:b/>
          <w:sz w:val="22"/>
        </w:rPr>
        <w:t>C</w:t>
      </w:r>
      <w:r>
        <w:rPr>
          <w:sz w:val="22"/>
        </w:rPr>
        <w:t>larity (easily understood without ambiguity, excess verbiage or redundancy; comprehensible;</w:t>
      </w:r>
      <w:r>
        <w:rPr>
          <w:spacing w:val="-4"/>
          <w:sz w:val="22"/>
        </w:rPr>
        <w:t> </w:t>
      </w:r>
      <w:r>
        <w:rPr>
          <w:sz w:val="22"/>
        </w:rPr>
        <w:t>free</w:t>
      </w:r>
      <w:r>
        <w:rPr>
          <w:spacing w:val="-4"/>
          <w:sz w:val="22"/>
        </w:rPr>
        <w:t> </w:t>
      </w:r>
      <w:r>
        <w:rPr>
          <w:sz w:val="22"/>
        </w:rPr>
        <w:t>from</w:t>
      </w:r>
      <w:r>
        <w:rPr>
          <w:spacing w:val="-4"/>
          <w:sz w:val="22"/>
        </w:rPr>
        <w:t> </w:t>
      </w:r>
      <w:r>
        <w:rPr>
          <w:sz w:val="22"/>
        </w:rPr>
        <w:t>confusion,</w:t>
      </w:r>
      <w:r>
        <w:rPr>
          <w:spacing w:val="-4"/>
          <w:sz w:val="22"/>
        </w:rPr>
        <w:t> </w:t>
      </w:r>
      <w:r>
        <w:rPr>
          <w:sz w:val="22"/>
        </w:rPr>
        <w:t>uncertainty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doubt;</w:t>
      </w:r>
      <w:r>
        <w:rPr>
          <w:spacing w:val="-4"/>
          <w:sz w:val="22"/>
        </w:rPr>
        <w:t> </w:t>
      </w:r>
      <w:r>
        <w:rPr>
          <w:sz w:val="22"/>
        </w:rPr>
        <w:t>effective</w:t>
      </w:r>
      <w:r>
        <w:rPr>
          <w:spacing w:val="-4"/>
          <w:sz w:val="22"/>
        </w:rPr>
        <w:t> </w:t>
      </w:r>
      <w:r>
        <w:rPr>
          <w:sz w:val="22"/>
        </w:rPr>
        <w:t>layout</w:t>
      </w:r>
      <w:r>
        <w:rPr>
          <w:spacing w:val="-4"/>
          <w:sz w:val="22"/>
        </w:rPr>
        <w:t> </w:t>
      </w:r>
      <w:r>
        <w:rPr>
          <w:sz w:val="22"/>
        </w:rPr>
        <w:t>allows for easy understanding [e.g. bullets, indentation])</w:t>
      </w:r>
    </w:p>
    <w:p>
      <w:pPr>
        <w:pStyle w:val="ListParagraph"/>
        <w:numPr>
          <w:ilvl w:val="0"/>
          <w:numId w:val="2"/>
        </w:numPr>
        <w:tabs>
          <w:tab w:pos="1631" w:val="left" w:leader="none"/>
          <w:tab w:pos="1632" w:val="left" w:leader="none"/>
        </w:tabs>
        <w:spacing w:line="266" w:lineRule="exact" w:before="0" w:after="0"/>
        <w:ind w:left="1631" w:right="0" w:hanging="453"/>
        <w:jc w:val="left"/>
        <w:rPr>
          <w:sz w:val="22"/>
        </w:rPr>
      </w:pPr>
      <w:r>
        <w:rPr>
          <w:b/>
          <w:sz w:val="22"/>
        </w:rPr>
        <w:t>C</w:t>
      </w:r>
      <w:r>
        <w:rPr>
          <w:sz w:val="22"/>
        </w:rPr>
        <w:t>ompleteness</w:t>
      </w:r>
      <w:r>
        <w:rPr>
          <w:spacing w:val="-11"/>
          <w:sz w:val="22"/>
        </w:rPr>
        <w:t> </w:t>
      </w:r>
      <w:r>
        <w:rPr>
          <w:sz w:val="22"/>
        </w:rPr>
        <w:t>(all</w:t>
      </w:r>
      <w:r>
        <w:rPr>
          <w:spacing w:val="-9"/>
          <w:sz w:val="22"/>
        </w:rPr>
        <w:t> </w:t>
      </w:r>
      <w:r>
        <w:rPr>
          <w:sz w:val="22"/>
        </w:rPr>
        <w:t>parts/elements</w:t>
      </w:r>
      <w:r>
        <w:rPr>
          <w:spacing w:val="-9"/>
          <w:sz w:val="22"/>
        </w:rPr>
        <w:t> </w:t>
      </w:r>
      <w:r>
        <w:rPr>
          <w:sz w:val="22"/>
        </w:rPr>
        <w:t>addressed;</w:t>
      </w:r>
      <w:r>
        <w:rPr>
          <w:spacing w:val="-8"/>
          <w:sz w:val="22"/>
        </w:rPr>
        <w:t> </w:t>
      </w:r>
      <w:r>
        <w:rPr>
          <w:sz w:val="22"/>
        </w:rPr>
        <w:t>lacking</w:t>
      </w:r>
      <w:r>
        <w:rPr>
          <w:spacing w:val="-9"/>
          <w:sz w:val="22"/>
        </w:rPr>
        <w:t> </w:t>
      </w:r>
      <w:r>
        <w:rPr>
          <w:sz w:val="22"/>
        </w:rPr>
        <w:t>nothing;</w:t>
      </w:r>
      <w:r>
        <w:rPr>
          <w:spacing w:val="-9"/>
          <w:sz w:val="22"/>
        </w:rPr>
        <w:t> </w:t>
      </w:r>
      <w:r>
        <w:rPr>
          <w:sz w:val="22"/>
        </w:rPr>
        <w:t>fully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detailed)</w:t>
      </w:r>
    </w:p>
    <w:p>
      <w:pPr>
        <w:pStyle w:val="ListParagraph"/>
        <w:numPr>
          <w:ilvl w:val="0"/>
          <w:numId w:val="2"/>
        </w:numPr>
        <w:tabs>
          <w:tab w:pos="1631" w:val="left" w:leader="none"/>
          <w:tab w:pos="1632" w:val="left" w:leader="none"/>
        </w:tabs>
        <w:spacing w:line="269" w:lineRule="exact" w:before="0" w:after="0"/>
        <w:ind w:left="1631" w:right="0" w:hanging="453"/>
        <w:jc w:val="left"/>
        <w:rPr>
          <w:sz w:val="22"/>
        </w:rPr>
      </w:pPr>
      <w:r>
        <w:rPr>
          <w:b/>
          <w:sz w:val="22"/>
        </w:rPr>
        <w:t>A</w:t>
      </w:r>
      <w:r>
        <w:rPr>
          <w:sz w:val="22"/>
        </w:rPr>
        <w:t>ppropriateness</w:t>
      </w:r>
      <w:r>
        <w:rPr>
          <w:spacing w:val="-8"/>
          <w:sz w:val="22"/>
        </w:rPr>
        <w:t> </w:t>
      </w:r>
      <w:r>
        <w:rPr>
          <w:sz w:val="22"/>
        </w:rPr>
        <w:t>(suitable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fitting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7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particular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purpose)</w:t>
      </w:r>
    </w:p>
    <w:p>
      <w:pPr>
        <w:pStyle w:val="BodyText"/>
        <w:rPr>
          <w:sz w:val="26"/>
        </w:rPr>
      </w:pPr>
    </w:p>
    <w:p>
      <w:pPr>
        <w:pStyle w:val="Heading1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190" w:after="0"/>
        <w:ind w:left="1180" w:right="0" w:hanging="721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179"/>
      </w:pP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type w:val="continuous"/>
          <w:pgSz w:w="12240" w:h="15840"/>
          <w:pgMar w:footer="1144" w:header="0" w:top="700" w:bottom="1340" w:left="98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spacing w:before="7"/>
        <w:rPr>
          <w:b/>
        </w:rPr>
      </w:pPr>
    </w:p>
    <w:p>
      <w:pPr>
        <w:pStyle w:val="BodyText"/>
        <w:ind w:left="1180" w:right="495"/>
      </w:pPr>
      <w:r>
        <w:rPr/>
        <w:t>There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separate</w:t>
      </w:r>
      <w:r>
        <w:rPr>
          <w:spacing w:val="-4"/>
        </w:rPr>
        <w:t> </w:t>
      </w:r>
      <w:r>
        <w:rPr/>
        <w:t>procedures</w:t>
      </w:r>
      <w:r>
        <w:rPr>
          <w:spacing w:val="-4"/>
        </w:rPr>
        <w:t> </w:t>
      </w:r>
      <w:r>
        <w:rPr/>
        <w:t>detailed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instruction.</w:t>
      </w:r>
      <w:r>
        <w:rPr>
          <w:spacing w:val="-7"/>
        </w:rPr>
        <w:t> </w:t>
      </w:r>
      <w:r>
        <w:rPr/>
        <w:t>Associated</w:t>
      </w:r>
      <w:r>
        <w:rPr>
          <w:spacing w:val="-5"/>
        </w:rPr>
        <w:t> </w:t>
      </w:r>
      <w:r>
        <w:rPr/>
        <w:t>workflow diagrams for this work instruction are provided in Appendix A as follows:</w:t>
      </w:r>
    </w:p>
    <w:p>
      <w:pPr>
        <w:pStyle w:val="ListParagraph"/>
        <w:numPr>
          <w:ilvl w:val="0"/>
          <w:numId w:val="4"/>
        </w:numPr>
        <w:tabs>
          <w:tab w:pos="1631" w:val="left" w:leader="none"/>
          <w:tab w:pos="1632" w:val="left" w:leader="none"/>
        </w:tabs>
        <w:spacing w:line="240" w:lineRule="auto" w:before="0" w:after="0"/>
        <w:ind w:left="1631" w:right="781" w:hanging="452"/>
        <w:jc w:val="left"/>
        <w:rPr>
          <w:sz w:val="22"/>
        </w:rPr>
      </w:pPr>
      <w:r>
        <w:rPr>
          <w:sz w:val="22"/>
        </w:rPr>
        <w:t>Workflow</w:t>
      </w:r>
      <w:r>
        <w:rPr>
          <w:spacing w:val="-3"/>
          <w:sz w:val="22"/>
        </w:rPr>
        <w:t> </w:t>
      </w:r>
      <w:r>
        <w:rPr>
          <w:sz w:val="22"/>
        </w:rPr>
        <w:t>no.1:</w:t>
      </w:r>
      <w:r>
        <w:rPr>
          <w:spacing w:val="-11"/>
          <w:sz w:val="22"/>
        </w:rPr>
        <w:t> </w:t>
      </w:r>
      <w:r>
        <w:rPr>
          <w:sz w:val="22"/>
        </w:rPr>
        <w:t>When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1"/>
          <w:sz w:val="22"/>
        </w:rPr>
        <w:t> </w:t>
      </w:r>
      <w:r>
        <w:rPr>
          <w:sz w:val="22"/>
        </w:rPr>
        <w:t>Biostatistics</w:t>
      </w:r>
      <w:r>
        <w:rPr>
          <w:spacing w:val="-4"/>
          <w:sz w:val="22"/>
        </w:rPr>
        <w:t> </w:t>
      </w:r>
      <w:r>
        <w:rPr>
          <w:sz w:val="22"/>
        </w:rPr>
        <w:t>provides</w:t>
      </w:r>
      <w:r>
        <w:rPr>
          <w:spacing w:val="-4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CSR</w:t>
      </w:r>
      <w:r>
        <w:rPr>
          <w:spacing w:val="-4"/>
          <w:sz w:val="22"/>
        </w:rPr>
        <w:t> </w:t>
      </w:r>
      <w:r>
        <w:rPr>
          <w:sz w:val="22"/>
        </w:rPr>
        <w:t>provided</w:t>
      </w:r>
      <w:r>
        <w:rPr>
          <w:spacing w:val="-4"/>
          <w:sz w:val="22"/>
        </w:rPr>
        <w:t> </w:t>
      </w:r>
      <w:r>
        <w:rPr>
          <w:sz w:val="22"/>
        </w:rPr>
        <w:t>by Medical Writing.</w:t>
      </w:r>
    </w:p>
    <w:p>
      <w:pPr>
        <w:pStyle w:val="ListParagraph"/>
        <w:numPr>
          <w:ilvl w:val="0"/>
          <w:numId w:val="4"/>
        </w:numPr>
        <w:tabs>
          <w:tab w:pos="1631" w:val="left" w:leader="none"/>
          <w:tab w:pos="1632" w:val="left" w:leader="none"/>
        </w:tabs>
        <w:spacing w:line="240" w:lineRule="auto" w:before="0" w:after="0"/>
        <w:ind w:left="1631" w:right="0" w:hanging="452"/>
        <w:jc w:val="left"/>
        <w:rPr>
          <w:sz w:val="22"/>
        </w:rPr>
      </w:pPr>
      <w:r>
        <w:rPr>
          <w:sz w:val="22"/>
        </w:rPr>
        <w:t>Workflow</w:t>
      </w:r>
      <w:r>
        <w:rPr>
          <w:spacing w:val="-7"/>
          <w:sz w:val="22"/>
        </w:rPr>
        <w:t> </w:t>
      </w:r>
      <w:r>
        <w:rPr>
          <w:sz w:val="22"/>
        </w:rPr>
        <w:t>no.2:</w:t>
      </w:r>
      <w:r>
        <w:rPr>
          <w:spacing w:val="-11"/>
          <w:sz w:val="22"/>
        </w:rPr>
        <w:t> </w:t>
      </w:r>
      <w:r>
        <w:rPr>
          <w:sz w:val="22"/>
        </w:rPr>
        <w:t>When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Biostatistics</w:t>
      </w:r>
      <w:r>
        <w:rPr>
          <w:spacing w:val="-5"/>
          <w:sz w:val="22"/>
        </w:rPr>
        <w:t> </w:t>
      </w:r>
      <w:r>
        <w:rPr>
          <w:sz w:val="22"/>
        </w:rPr>
        <w:t>provides</w:t>
      </w:r>
      <w:r>
        <w:rPr>
          <w:spacing w:val="-5"/>
          <w:sz w:val="22"/>
        </w:rPr>
        <w:t> </w:t>
      </w:r>
      <w:r>
        <w:rPr>
          <w:sz w:val="22"/>
        </w:rPr>
        <w:t>text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inclusion</w:t>
      </w:r>
      <w:r>
        <w:rPr>
          <w:spacing w:val="-5"/>
          <w:sz w:val="22"/>
        </w:rPr>
        <w:t> </w:t>
      </w:r>
      <w:r>
        <w:rPr>
          <w:sz w:val="22"/>
        </w:rPr>
        <w:t>in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CSR.</w:t>
      </w:r>
    </w:p>
    <w:p>
      <w:pPr>
        <w:pStyle w:val="BodyText"/>
        <w:spacing w:before="6"/>
        <w:rPr>
          <w:sz w:val="21"/>
        </w:rPr>
      </w:pPr>
    </w:p>
    <w:p>
      <w:pPr>
        <w:pStyle w:val="BodyText"/>
        <w:spacing w:before="1"/>
        <w:ind w:left="1180" w:right="775"/>
      </w:pPr>
      <w:r>
        <w:rPr/>
        <w:t>Steps flagged as (*) are applicable where the IQVIA Clinical Pharmacology (CP) department</w:t>
      </w:r>
      <w:r>
        <w:rPr>
          <w:spacing w:val="-5"/>
        </w:rPr>
        <w:t> </w:t>
      </w:r>
      <w:r>
        <w:rPr/>
        <w:t>are</w:t>
      </w:r>
      <w:r>
        <w:rPr>
          <w:spacing w:val="-3"/>
        </w:rPr>
        <w:t> </w:t>
      </w:r>
      <w:r>
        <w:rPr/>
        <w:t>contributing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CSR,</w:t>
      </w:r>
      <w:r>
        <w:rPr>
          <w:spacing w:val="-2"/>
        </w:rPr>
        <w:t> </w:t>
      </w:r>
      <w:r>
        <w:rPr/>
        <w:t>as</w:t>
      </w:r>
      <w:r>
        <w:rPr>
          <w:spacing w:val="-6"/>
        </w:rPr>
        <w:t> </w:t>
      </w:r>
      <w:r>
        <w:rPr/>
        <w:t>documented</w:t>
      </w:r>
      <w:r>
        <w:rPr>
          <w:spacing w:val="-2"/>
        </w:rPr>
        <w:t> </w:t>
      </w:r>
      <w:r>
        <w:rPr/>
        <w:t>in</w:t>
      </w:r>
      <w:r>
        <w:rPr>
          <w:spacing w:val="-6"/>
        </w:rPr>
        <w:t> </w:t>
      </w:r>
      <w:r>
        <w:rPr/>
        <w:t>Preparation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Review</w:t>
      </w:r>
      <w:r>
        <w:rPr>
          <w:spacing w:val="-3"/>
        </w:rPr>
        <w:t> </w:t>
      </w:r>
      <w:r>
        <w:rPr/>
        <w:t>of CP-Generated Documents (PI_WI_PK0210).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Heading2"/>
        <w:numPr>
          <w:ilvl w:val="1"/>
          <w:numId w:val="5"/>
        </w:numPr>
        <w:tabs>
          <w:tab w:pos="1899" w:val="left" w:leader="none"/>
          <w:tab w:pos="1900" w:val="left" w:leader="none"/>
        </w:tabs>
        <w:spacing w:line="240" w:lineRule="auto" w:before="191" w:after="0"/>
        <w:ind w:left="1900" w:right="0" w:hanging="721"/>
        <w:jc w:val="left"/>
      </w:pPr>
      <w:bookmarkStart w:name="Planning" w:id="7"/>
      <w:bookmarkEnd w:id="7"/>
      <w:r>
        <w:rPr>
          <w:spacing w:val="-2"/>
        </w:rPr>
        <w:t>Planning</w:t>
      </w:r>
    </w:p>
    <w:p>
      <w:pPr>
        <w:pStyle w:val="ListParagraph"/>
        <w:numPr>
          <w:ilvl w:val="2"/>
          <w:numId w:val="5"/>
        </w:numPr>
        <w:tabs>
          <w:tab w:pos="2619" w:val="left" w:leader="none"/>
          <w:tab w:pos="2620" w:val="left" w:leader="none"/>
        </w:tabs>
        <w:spacing w:line="240" w:lineRule="auto" w:before="126" w:after="0"/>
        <w:ind w:left="2620" w:right="0" w:hanging="721"/>
        <w:jc w:val="left"/>
        <w:rPr>
          <w:sz w:val="22"/>
        </w:rPr>
      </w:pP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contributions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CSR:</w:t>
      </w:r>
    </w:p>
    <w:p>
      <w:pPr>
        <w:pStyle w:val="BodyText"/>
        <w:spacing w:before="10"/>
        <w:rPr>
          <w:sz w:val="21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kick-off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meeting.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91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/STL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left="104" w:right="185"/>
              <w:rPr>
                <w:sz w:val="20"/>
              </w:rPr>
            </w:pPr>
            <w:r>
              <w:rPr>
                <w:sz w:val="20"/>
              </w:rPr>
              <w:t>During the kick-off meeting, verifies the template and customer 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font size, margin settings, etc.).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Refer to Producing a Clinical Study</w:t>
            </w:r>
          </w:p>
          <w:p>
            <w:pPr>
              <w:pStyle w:val="TableParagraph"/>
              <w:spacing w:line="211" w:lineRule="exact" w:before="1"/>
              <w:ind w:left="104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(Integrated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Report)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(CS_WI_MW001)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/>
              <w:rPr>
                <w:sz w:val="20"/>
              </w:rPr>
            </w:pPr>
            <w:r>
              <w:rPr>
                <w:sz w:val="20"/>
              </w:rPr>
              <w:t>May assist the MW in presenting the results during the Data Interpretation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 (Integrated Clinical / Statistical Report) (CS_WI_MW001).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20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425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 the MW with the final Statistical Analysis Plan (SAP), the final statistical outputs plus the Changes to Planned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(CS_FM_BS006)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 the Hard Coding Approval Form (CS_FM_BS0243), if </w:t>
            </w:r>
            <w:r>
              <w:rPr>
                <w:spacing w:val="-2"/>
                <w:sz w:val="20"/>
              </w:rPr>
              <w:t>applicable.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351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 guidance to the MW regarding quality tolerance limits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(QTL)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impacts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risks,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 Producing a Clinical Study Report (Integrated Clinical / Statistical Report) (CS_WI_MW001).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188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06" w:hanging="360"/>
              <w:jc w:val="left"/>
              <w:rPr>
                <w:sz w:val="20"/>
              </w:rPr>
            </w:pPr>
            <w:r>
              <w:rPr>
                <w:sz w:val="20"/>
                <w:u w:val="single"/>
              </w:rPr>
              <w:t>If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text</w:t>
            </w:r>
            <w:r>
              <w:rPr>
                <w:spacing w:val="-1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in</w:t>
            </w:r>
            <w:r>
              <w:rPr>
                <w:spacing w:val="-9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the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CSR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is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to</w:t>
            </w:r>
            <w:r>
              <w:rPr>
                <w:spacing w:val="-1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be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written</w:t>
            </w:r>
            <w:r>
              <w:rPr>
                <w:spacing w:val="-2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by</w:t>
            </w:r>
            <w:r>
              <w:rPr>
                <w:spacing w:val="-4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the</w:t>
            </w:r>
            <w:r>
              <w:rPr>
                <w:spacing w:val="-4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STL</w:t>
            </w:r>
            <w:r>
              <w:rPr>
                <w:sz w:val="20"/>
              </w:rPr>
              <w:t>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writing of the appropriate CSR section(s).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56" w:hanging="360"/>
              <w:jc w:val="left"/>
              <w:rPr>
                <w:sz w:val="20"/>
              </w:rPr>
            </w:pPr>
            <w:r>
              <w:rPr>
                <w:sz w:val="20"/>
                <w:u w:val="single"/>
              </w:rPr>
              <w:t>If text in the CSR is to be written by the STL</w:t>
            </w:r>
            <w:r>
              <w:rPr>
                <w:sz w:val="20"/>
              </w:rPr>
              <w:t>: Arranges senior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(SBR)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CSR, as per Approaches to QC (CS_WI_BS015).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373" w:hanging="360"/>
              <w:jc w:val="left"/>
              <w:rPr>
                <w:sz w:val="20"/>
              </w:rPr>
            </w:pPr>
            <w:r>
              <w:rPr>
                <w:sz w:val="20"/>
              </w:rPr>
              <w:t>Arranges any expert biostatistical review if deemed necessary.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 QC Plan (CS_TP_BS0002).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85"/>
              <w:rPr>
                <w:sz w:val="20"/>
              </w:rPr>
            </w:pPr>
            <w:r>
              <w:rPr>
                <w:sz w:val="20"/>
              </w:rPr>
              <w:t>Arranges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(QC)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 of Medical Writing Deliverables (CS_OP_MW005).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64" w:top="2520" w:bottom="1260" w:left="980" w:right="96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85"/>
              <w:rPr>
                <w:sz w:val="20"/>
              </w:rPr>
            </w:pPr>
            <w:r>
              <w:rPr>
                <w:sz w:val="20"/>
              </w:rPr>
              <w:t>(*) Collaborates with PKL in compliance with Preparation and 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CP-generated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(PI_WI_PK0210)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studies including Early Clinical Development biostatistics support.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authoring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7"/>
      </w:pPr>
    </w:p>
    <w:p>
      <w:pPr>
        <w:pStyle w:val="Heading2"/>
        <w:numPr>
          <w:ilvl w:val="1"/>
          <w:numId w:val="5"/>
        </w:numPr>
        <w:tabs>
          <w:tab w:pos="1899" w:val="left" w:leader="none"/>
          <w:tab w:pos="1900" w:val="left" w:leader="none"/>
        </w:tabs>
        <w:spacing w:line="240" w:lineRule="auto" w:before="1" w:after="0"/>
        <w:ind w:left="1900" w:right="0" w:hanging="720"/>
        <w:jc w:val="left"/>
      </w:pPr>
      <w:bookmarkStart w:name="Writing" w:id="8"/>
      <w:bookmarkEnd w:id="8"/>
      <w:r>
        <w:rPr>
          <w:spacing w:val="-2"/>
        </w:rPr>
        <w:t>Writing</w:t>
      </w:r>
    </w:p>
    <w:p>
      <w:pPr>
        <w:pStyle w:val="ListParagraph"/>
        <w:numPr>
          <w:ilvl w:val="2"/>
          <w:numId w:val="5"/>
        </w:numPr>
        <w:tabs>
          <w:tab w:pos="2619" w:val="left" w:leader="none"/>
          <w:tab w:pos="2620" w:val="left" w:leader="none"/>
        </w:tabs>
        <w:spacing w:line="240" w:lineRule="auto" w:before="121" w:after="0"/>
        <w:ind w:left="2620" w:right="0" w:hanging="720"/>
        <w:jc w:val="left"/>
        <w:rPr>
          <w:sz w:val="22"/>
        </w:rPr>
      </w:pP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CSR</w:t>
      </w:r>
      <w:r>
        <w:rPr>
          <w:spacing w:val="-3"/>
          <w:sz w:val="22"/>
        </w:rPr>
        <w:t> </w:t>
      </w:r>
      <w:r>
        <w:rPr>
          <w:sz w:val="22"/>
        </w:rPr>
        <w:t>text</w:t>
      </w:r>
      <w:r>
        <w:rPr>
          <w:spacing w:val="-3"/>
          <w:sz w:val="22"/>
        </w:rPr>
        <w:t> </w:t>
      </w:r>
      <w:r>
        <w:rPr>
          <w:sz w:val="22"/>
        </w:rPr>
        <w:t>written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STL:</w:t>
      </w:r>
    </w:p>
    <w:p>
      <w:pPr>
        <w:pStyle w:val="BodyText"/>
        <w:spacing w:before="3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31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Refers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documents: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3" w:lineRule="exact" w:before="1" w:after="0"/>
              <w:ind w:left="46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Protocol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2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Form.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5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2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available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2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Customer-specific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template/guidelines,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provided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349" w:hanging="360"/>
              <w:jc w:val="left"/>
              <w:rPr>
                <w:sz w:val="20"/>
              </w:rPr>
            </w:pPr>
            <w:r>
              <w:rPr>
                <w:sz w:val="20"/>
              </w:rPr>
              <w:t>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Guideline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(Topic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E3)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Structure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 Study Reports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462" w:hanging="360"/>
              <w:jc w:val="left"/>
              <w:rPr>
                <w:sz w:val="20"/>
              </w:rPr>
            </w:pPr>
            <w:r>
              <w:rPr>
                <w:sz w:val="20"/>
              </w:rPr>
              <w:t>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Guideline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(Topic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E9)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Principles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 </w:t>
            </w:r>
            <w:r>
              <w:rPr>
                <w:spacing w:val="-2"/>
                <w:sz w:val="20"/>
              </w:rPr>
              <w:t>Trials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Outputs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5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Handling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319" w:hanging="360"/>
              <w:jc w:val="left"/>
              <w:rPr>
                <w:sz w:val="20"/>
              </w:rPr>
            </w:pPr>
            <w:r>
              <w:rPr>
                <w:sz w:val="20"/>
              </w:rPr>
              <w:t>Minutes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equivalent documentation, if available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Note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4"/>
                <w:sz w:val="20"/>
              </w:rPr>
              <w:t>File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672" w:hanging="360"/>
              <w:jc w:val="left"/>
              <w:rPr>
                <w:sz w:val="20"/>
              </w:rPr>
            </w:pPr>
            <w:r>
              <w:rPr>
                <w:sz w:val="20"/>
              </w:rPr>
              <w:t>Changes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(CS_FM_BS006)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24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Hard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(CS_FM_BS0243).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template,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style guide(s) provided by the MW and/or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85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ambiguous in any way (i.e., complies with the ACCCA definition).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91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left="104"/>
              <w:rPr>
                <w:sz w:val="20"/>
              </w:rPr>
            </w:pPr>
            <w:r>
              <w:rPr>
                <w:sz w:val="20"/>
              </w:rPr>
              <w:t>Applies version control to all versions provided and follows conventions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- Specific Document Quality - Good Documentation Practices</w:t>
            </w:r>
          </w:p>
          <w:p>
            <w:pPr>
              <w:pStyle w:val="TableParagraph"/>
              <w:spacing w:line="211" w:lineRule="exact" w:before="1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(CS_WI_RM0284).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85"/>
              <w:rPr>
                <w:sz w:val="20"/>
              </w:rPr>
            </w:pPr>
            <w:r>
              <w:rPr>
                <w:sz w:val="20"/>
              </w:rPr>
              <w:t>(*)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Prepares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 analyses or provides sufficient information to the PK scientist to write these sections.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/>
              <w:rPr>
                <w:sz w:val="20"/>
              </w:rPr>
            </w:pPr>
            <w:r>
              <w:rPr>
                <w:sz w:val="20"/>
              </w:rPr>
              <w:t>Edits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supplied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 consistent in style, and to aid in the flow of the document.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85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 impact the statistical interpretation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</w:tbl>
    <w:p>
      <w:pPr>
        <w:pStyle w:val="BodyText"/>
        <w:spacing w:before="10"/>
        <w:rPr>
          <w:sz w:val="32"/>
        </w:rPr>
      </w:pPr>
    </w:p>
    <w:p>
      <w:pPr>
        <w:pStyle w:val="ListParagraph"/>
        <w:numPr>
          <w:ilvl w:val="2"/>
          <w:numId w:val="5"/>
        </w:numPr>
        <w:tabs>
          <w:tab w:pos="2619" w:val="left" w:leader="none"/>
          <w:tab w:pos="2620" w:val="left" w:leader="none"/>
        </w:tabs>
        <w:spacing w:line="240" w:lineRule="auto" w:before="0" w:after="0"/>
        <w:ind w:left="2620" w:right="0" w:hanging="720"/>
        <w:jc w:val="left"/>
        <w:rPr>
          <w:sz w:val="22"/>
        </w:rPr>
      </w:pP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CSR</w:t>
      </w:r>
      <w:r>
        <w:rPr>
          <w:spacing w:val="-3"/>
          <w:sz w:val="22"/>
        </w:rPr>
        <w:t> </w:t>
      </w:r>
      <w:r>
        <w:rPr>
          <w:sz w:val="22"/>
        </w:rPr>
        <w:t>text</w:t>
      </w:r>
      <w:r>
        <w:rPr>
          <w:spacing w:val="-3"/>
          <w:sz w:val="22"/>
        </w:rPr>
        <w:t> </w:t>
      </w:r>
      <w:r>
        <w:rPr>
          <w:sz w:val="22"/>
        </w:rPr>
        <w:t>not</w:t>
      </w:r>
      <w:r>
        <w:rPr>
          <w:spacing w:val="-4"/>
          <w:sz w:val="22"/>
        </w:rPr>
        <w:t> </w:t>
      </w:r>
      <w:r>
        <w:rPr>
          <w:sz w:val="22"/>
        </w:rPr>
        <w:t>written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STL: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64" w:top="2520" w:bottom="1340" w:left="980" w:right="96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64" w:right="5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line="225" w:lineRule="exact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5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 w:right="144"/>
              <w:rPr>
                <w:sz w:val="20"/>
              </w:rPr>
            </w:pPr>
            <w:r>
              <w:rPr>
                <w:sz w:val="20"/>
              </w:rPr>
              <w:t>Writes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methods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results (e.g., using the Protocol and Statistical Analysis Plan as the basis for the planned statistical methods) in consultation with the STL as appropriate, as per Producing a Clinical Study Report (Integrated Clinical / Statistical Report) (CS_WI_MW001).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Writing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7"/>
      </w:pPr>
    </w:p>
    <w:p>
      <w:pPr>
        <w:pStyle w:val="Heading2"/>
        <w:numPr>
          <w:ilvl w:val="1"/>
          <w:numId w:val="5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</w:pPr>
      <w:bookmarkStart w:name="Distribution, QC and Review" w:id="9"/>
      <w:bookmarkEnd w:id="9"/>
      <w:r>
        <w:rPr/>
        <w:t>Distribution</w:t>
      </w:r>
      <w:r>
        <w:rPr/>
        <w:t>,</w:t>
      </w:r>
      <w:r>
        <w:rPr>
          <w:spacing w:val="-6"/>
        </w:rPr>
        <w:t> </w:t>
      </w:r>
      <w:r>
        <w:rPr/>
        <w:t>QC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>
          <w:spacing w:val="-2"/>
        </w:rPr>
        <w:t>Review</w:t>
      </w:r>
    </w:p>
    <w:p>
      <w:pPr>
        <w:pStyle w:val="ListParagraph"/>
        <w:numPr>
          <w:ilvl w:val="2"/>
          <w:numId w:val="5"/>
        </w:numPr>
        <w:tabs>
          <w:tab w:pos="2619" w:val="left" w:leader="none"/>
          <w:tab w:pos="2620" w:val="left" w:leader="none"/>
        </w:tabs>
        <w:spacing w:line="240" w:lineRule="auto" w:before="122" w:after="0"/>
        <w:ind w:left="2620" w:right="0" w:hanging="720"/>
        <w:jc w:val="left"/>
        <w:rPr>
          <w:sz w:val="22"/>
        </w:rPr>
      </w:pP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CSR</w:t>
      </w:r>
      <w:r>
        <w:rPr>
          <w:spacing w:val="-1"/>
          <w:sz w:val="22"/>
        </w:rPr>
        <w:t> </w:t>
      </w:r>
      <w:r>
        <w:rPr>
          <w:sz w:val="22"/>
        </w:rPr>
        <w:t>text</w:t>
      </w:r>
      <w:r>
        <w:rPr>
          <w:spacing w:val="-4"/>
          <w:sz w:val="22"/>
        </w:rPr>
        <w:t> </w:t>
      </w:r>
      <w:r>
        <w:rPr>
          <w:sz w:val="22"/>
        </w:rPr>
        <w:t>written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STL:</w:t>
      </w:r>
    </w:p>
    <w:p>
      <w:pPr>
        <w:pStyle w:val="BodyText"/>
        <w:spacing w:before="2" w:after="1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line="225" w:lineRule="exact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document/sections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SBR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PKL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expert review, as required.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initiation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 internal review</w:t>
            </w:r>
          </w:p>
        </w:tc>
      </w:tr>
      <w:tr>
        <w:trPr>
          <w:trHeight w:val="209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SB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948" w:hanging="360"/>
              <w:jc w:val="left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 ambiguous in any way (i.e. complies with the ACCCA </w:t>
            </w:r>
            <w:r>
              <w:rPr>
                <w:spacing w:val="-2"/>
                <w:sz w:val="20"/>
              </w:rPr>
              <w:t>definition).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339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Performs the review according to Approaches to QC (CS_WI_BS015)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Clinical Study Report or Other Written Report (CS_OD_BS0235), and completes the RFF. Preferably, comments will be annotated as MS Word tracked changes.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92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right="287"/>
              <w:rPr>
                <w:sz w:val="20"/>
              </w:rPr>
            </w:pPr>
            <w:r>
              <w:rPr>
                <w:spacing w:val="-2"/>
                <w:sz w:val="20"/>
              </w:rPr>
              <w:t>Expert 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If applicable, performs the review as per the Biostatistics QC plan (CS_TP_BS002)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RFF.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Preferably,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 be annotated as MS Word tracked changes.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85"/>
              <w:rPr>
                <w:sz w:val="20"/>
              </w:rPr>
            </w:pPr>
            <w:r>
              <w:rPr>
                <w:sz w:val="20"/>
              </w:rPr>
              <w:t>Addresses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sections, as appropriate.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Upon receipt of 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comments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STL,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SB</w:t>
            </w:r>
          </w:p>
          <w:p>
            <w:pPr>
              <w:pStyle w:val="TableParagraph"/>
              <w:ind w:right="233"/>
              <w:rPr>
                <w:sz w:val="20"/>
              </w:rPr>
            </w:pPr>
            <w:r>
              <w:rPr>
                <w:spacing w:val="-2"/>
                <w:sz w:val="20"/>
              </w:rPr>
              <w:t>reviewer/ Expert reviewer/ </w:t>
            </w:r>
            <w:r>
              <w:rPr>
                <w:spacing w:val="-4"/>
                <w:sz w:val="20"/>
              </w:rPr>
              <w:t>PKL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RFF,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indicating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were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55"/>
              <w:rPr>
                <w:sz w:val="20"/>
              </w:rPr>
            </w:pPr>
            <w:r>
              <w:rPr>
                <w:sz w:val="20"/>
              </w:rPr>
              <w:t>Once internal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addressed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CSR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55"/>
              <w:rPr>
                <w:sz w:val="20"/>
              </w:rPr>
            </w:pPr>
            <w:r>
              <w:rPr>
                <w:sz w:val="20"/>
              </w:rPr>
              <w:t>Once internal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addressed</w:t>
            </w:r>
          </w:p>
        </w:tc>
      </w:tr>
    </w:tbl>
    <w:p>
      <w:pPr>
        <w:pStyle w:val="ListParagraph"/>
        <w:numPr>
          <w:ilvl w:val="2"/>
          <w:numId w:val="5"/>
        </w:numPr>
        <w:tabs>
          <w:tab w:pos="2619" w:val="left" w:leader="none"/>
          <w:tab w:pos="2620" w:val="left" w:leader="none"/>
        </w:tabs>
        <w:spacing w:line="240" w:lineRule="auto" w:before="117" w:after="0"/>
        <w:ind w:left="2620" w:right="0" w:hanging="720"/>
        <w:jc w:val="left"/>
        <w:rPr>
          <w:sz w:val="22"/>
        </w:rPr>
      </w:pP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CSR</w:t>
      </w:r>
      <w:r>
        <w:rPr>
          <w:spacing w:val="-1"/>
          <w:sz w:val="22"/>
        </w:rPr>
        <w:t> </w:t>
      </w:r>
      <w:r>
        <w:rPr>
          <w:sz w:val="22"/>
        </w:rPr>
        <w:t>text</w:t>
      </w:r>
      <w:r>
        <w:rPr>
          <w:spacing w:val="-5"/>
          <w:sz w:val="22"/>
        </w:rPr>
        <w:t> </w:t>
      </w:r>
      <w:r>
        <w:rPr>
          <w:sz w:val="22"/>
        </w:rPr>
        <w:t>not</w:t>
      </w:r>
      <w:r>
        <w:rPr>
          <w:spacing w:val="-2"/>
          <w:sz w:val="22"/>
        </w:rPr>
        <w:t> </w:t>
      </w:r>
      <w:r>
        <w:rPr>
          <w:sz w:val="22"/>
        </w:rPr>
        <w:t>written</w:t>
      </w:r>
      <w:r>
        <w:rPr>
          <w:spacing w:val="-2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STL:</w:t>
      </w:r>
    </w:p>
    <w:p>
      <w:pPr>
        <w:pStyle w:val="BodyText"/>
        <w:spacing w:before="3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64" w:right="5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line="225" w:lineRule="exact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expert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287"/>
              <w:rPr>
                <w:sz w:val="20"/>
              </w:rPr>
            </w:pPr>
            <w:r>
              <w:rPr>
                <w:spacing w:val="-2"/>
                <w:sz w:val="20"/>
              </w:rPr>
              <w:t>Expert reviewer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spacing w:line="226" w:lineRule="exact"/>
              <w:ind w:left="104"/>
              <w:rPr>
                <w:sz w:val="20"/>
              </w:rPr>
            </w:pPr>
            <w:r>
              <w:rPr>
                <w:sz w:val="20"/>
              </w:rPr>
              <w:t>(CS_TP_BS002)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RFF.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Preferably,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 be annotated as MS Word tracked changes.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340" w:left="980" w:right="96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consolidated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review, preferably as MS Word tracked changes.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CSR review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2"/>
                <w:sz w:val="20"/>
              </w:rPr>
              <w:t>/PKL(*)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Addresses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comments.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Upon receipt of 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comments</w:t>
            </w:r>
          </w:p>
        </w:tc>
      </w:tr>
      <w:tr>
        <w:trPr>
          <w:trHeight w:val="84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z w:val="20"/>
              </w:rPr>
              <w:t>/Bios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staff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2"/>
                <w:sz w:val="20"/>
              </w:rPr>
              <w:t>/PKL(*)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RFF,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indicating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were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 w:right="266"/>
              <w:rPr>
                <w:sz w:val="20"/>
              </w:rPr>
            </w:pPr>
            <w:r>
              <w:rPr>
                <w:sz w:val="20"/>
              </w:rPr>
              <w:t>Once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comments are addressed</w:t>
            </w:r>
          </w:p>
        </w:tc>
      </w:tr>
      <w:tr>
        <w:trPr>
          <w:trHeight w:val="84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/STL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Deliverables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color w:val="323232"/>
                <w:sz w:val="18"/>
              </w:rPr>
              <w:t>(</w:t>
            </w:r>
            <w:r>
              <w:rPr>
                <w:sz w:val="20"/>
              </w:rPr>
              <w:t>CS_FM_MW007),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indicating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were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455"/>
              <w:rPr>
                <w:sz w:val="20"/>
              </w:rPr>
            </w:pPr>
            <w:r>
              <w:rPr>
                <w:sz w:val="20"/>
              </w:rPr>
              <w:t>Once internal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addressed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PKL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/STL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(*)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Signs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PI_FM_PK0213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Document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indicating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were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 w:right="455"/>
              <w:rPr>
                <w:sz w:val="20"/>
              </w:rPr>
            </w:pPr>
            <w:r>
              <w:rPr>
                <w:sz w:val="20"/>
              </w:rPr>
              <w:t>Once internal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addressed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94" w:right="5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addressing all comments from internal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9"/>
      </w:pPr>
    </w:p>
    <w:p>
      <w:pPr>
        <w:pStyle w:val="ListParagraph"/>
        <w:numPr>
          <w:ilvl w:val="1"/>
          <w:numId w:val="5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  <w:rPr>
          <w:b/>
          <w:sz w:val="22"/>
        </w:rPr>
      </w:pPr>
      <w:bookmarkStart w:name="Incorporating Customer Comments" w:id="10"/>
      <w:bookmarkEnd w:id="10"/>
      <w:r>
        <w:rPr>
          <w:b/>
          <w:sz w:val="22"/>
        </w:rPr>
        <w:t>Incorporatin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Comments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0" w:right="21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64" w:val="left" w:leader="none"/>
                <w:tab w:pos="465" w:val="left" w:leader="none"/>
              </w:tabs>
              <w:spacing w:line="241" w:lineRule="exact" w:before="0" w:after="0"/>
              <w:ind w:left="464" w:right="0" w:hanging="361"/>
              <w:jc w:val="lef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94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315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received on the draft CSR document.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449" w:hanging="360"/>
              <w:jc w:val="left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 further discussion with the customer.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272" w:hanging="360"/>
              <w:jc w:val="left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resolution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(CRM)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set-up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 the MW.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54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text/advice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MW/PKL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sure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updated,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204" w:hanging="360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customer, or any change to the statistical outputs.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2" w:lineRule="auto" w:before="0" w:after="0"/>
              <w:ind w:left="464" w:right="171" w:hanging="360"/>
              <w:jc w:val="left"/>
              <w:rPr>
                <w:sz w:val="20"/>
              </w:rPr>
            </w:pPr>
            <w:r>
              <w:rPr>
                <w:sz w:val="20"/>
              </w:rPr>
              <w:t>Arranges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SB/ expert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 as described in steps 6.3.1.2 and 6.3.1.3 above, if applicable.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1" w:after="0"/>
              <w:ind w:left="464" w:right="186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amendments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outputs to the MW/PKL, if applicable.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7" w:lineRule="auto" w:before="2" w:after="0"/>
              <w:ind w:left="464" w:right="281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 explanation of any additional changes in statistical analysis to the MW so that they can be inserted directly into Section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9.8.2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(Changes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Analyses)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CSR via a Changes to Planned Statistical Analyses Form </w:t>
            </w:r>
            <w:r>
              <w:rPr>
                <w:spacing w:val="-2"/>
                <w:sz w:val="20"/>
              </w:rPr>
              <w:t>(CS_FM_BS006).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0" w:lineRule="exact" w:before="1" w:after="0"/>
              <w:ind w:left="464" w:right="206" w:hanging="360"/>
              <w:jc w:val="left"/>
              <w:rPr>
                <w:sz w:val="20"/>
              </w:rPr>
            </w:pPr>
            <w:r>
              <w:rPr>
                <w:sz w:val="20"/>
              </w:rPr>
              <w:t>Attends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help resolve any conflicting requests.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7"/>
              <w:rPr>
                <w:sz w:val="20"/>
              </w:rPr>
            </w:pPr>
            <w:r>
              <w:rPr>
                <w:sz w:val="20"/>
              </w:rPr>
              <w:t>After receipt of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</w:t>
            </w:r>
            <w:r>
              <w:rPr>
                <w:spacing w:val="-2"/>
                <w:sz w:val="20"/>
              </w:rPr>
              <w:t>comments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Verifies processes/requirements from Draft 1 are incorporated/implemented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subsequent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version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version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340" w:left="98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statistical presentations, analyses, or changes to the interpretation of study results and/or if requested by the MW/PKL(*)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version</w:t>
            </w:r>
          </w:p>
        </w:tc>
      </w:tr>
      <w:tr>
        <w:trPr>
          <w:trHeight w:val="80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SB</w:t>
            </w:r>
          </w:p>
          <w:p>
            <w:pPr>
              <w:pStyle w:val="TableParagraph"/>
              <w:spacing w:before="34"/>
              <w:ind w:right="287"/>
              <w:rPr>
                <w:sz w:val="20"/>
              </w:rPr>
            </w:pPr>
            <w:r>
              <w:rPr>
                <w:spacing w:val="-2"/>
                <w:sz w:val="20"/>
              </w:rPr>
              <w:t>/expert reviewer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STL.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version</w:t>
            </w:r>
          </w:p>
        </w:tc>
      </w:tr>
      <w:tr>
        <w:trPr>
          <w:trHeight w:val="127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/SB </w:t>
            </w:r>
            <w:r>
              <w:rPr>
                <w:spacing w:val="-2"/>
                <w:sz w:val="20"/>
              </w:rPr>
              <w:t>reviewer/ Expert 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85"/>
              <w:rPr>
                <w:sz w:val="20"/>
              </w:rPr>
            </w:pPr>
            <w:r>
              <w:rPr>
                <w:sz w:val="20"/>
              </w:rPr>
              <w:t>Further review by biostatistics would only be required when significant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version</w:t>
            </w:r>
          </w:p>
        </w:tc>
      </w:tr>
      <w:tr>
        <w:trPr>
          <w:trHeight w:val="301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TMF (CS_OP_TMF0007) and Management and Filing of Biostatistics Documentation (CS_WI_BS0237):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43" w:lineRule="exact" w:before="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(CS_FM_BS007).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2"/>
                <w:sz w:val="20"/>
              </w:rPr>
              <w:t> contracted:</w:t>
            </w:r>
          </w:p>
          <w:p>
            <w:pPr>
              <w:pStyle w:val="TableParagraph"/>
              <w:numPr>
                <w:ilvl w:val="1"/>
                <w:numId w:val="12"/>
              </w:numPr>
              <w:tabs>
                <w:tab w:pos="1545" w:val="left" w:leader="none"/>
              </w:tabs>
              <w:spacing w:line="223" w:lineRule="auto" w:before="12" w:after="0"/>
              <w:ind w:left="1544" w:right="358" w:hanging="360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STL and delivered to the customer.</w:t>
            </w:r>
          </w:p>
          <w:p>
            <w:pPr>
              <w:pStyle w:val="TableParagraph"/>
              <w:numPr>
                <w:ilvl w:val="1"/>
                <w:numId w:val="12"/>
              </w:numPr>
              <w:tabs>
                <w:tab w:pos="1545" w:val="left" w:leader="none"/>
              </w:tabs>
              <w:spacing w:line="230" w:lineRule="auto" w:before="10" w:after="0"/>
              <w:ind w:left="1544" w:right="146" w:hanging="360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relating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CSR text written by the STL, along with responses to the review comments.</w:t>
            </w:r>
          </w:p>
          <w:p>
            <w:pPr>
              <w:pStyle w:val="TableParagraph"/>
              <w:numPr>
                <w:ilvl w:val="1"/>
                <w:numId w:val="12"/>
              </w:numPr>
              <w:tabs>
                <w:tab w:pos="1545" w:val="left" w:leader="none"/>
              </w:tabs>
              <w:spacing w:line="223" w:lineRule="auto" w:before="16" w:after="0"/>
              <w:ind w:left="1544" w:right="267" w:hanging="360"/>
              <w:jc w:val="left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cover </w:t>
            </w:r>
            <w:r>
              <w:rPr>
                <w:spacing w:val="-2"/>
                <w:sz w:val="20"/>
              </w:rPr>
              <w:t>page.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30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CSR finalization</w:t>
            </w:r>
          </w:p>
        </w:tc>
      </w:tr>
    </w:tbl>
    <w:p>
      <w:pPr>
        <w:pStyle w:val="BodyText"/>
        <w:spacing w:before="1"/>
        <w:rPr>
          <w:b/>
          <w:sz w:val="12"/>
        </w:rPr>
      </w:pPr>
    </w:p>
    <w:p>
      <w:pPr>
        <w:pStyle w:val="ListParagraph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94" w:after="6"/>
        <w:ind w:left="1180" w:right="0" w:hanging="720"/>
        <w:jc w:val="left"/>
        <w:rPr>
          <w:b/>
          <w:sz w:val="22"/>
        </w:rPr>
      </w:pPr>
      <w:bookmarkStart w:name="SUPPORTING DOCUMENTATION" w:id="11"/>
      <w:bookmarkEnd w:id="11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3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14"/>
        <w:gridCol w:w="6125"/>
      </w:tblGrid>
      <w:tr>
        <w:trPr>
          <w:trHeight w:val="321" w:hRule="atLeast"/>
        </w:trPr>
        <w:tc>
          <w:tcPr>
            <w:tcW w:w="3514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51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725" w:footer="1064" w:top="2520" w:bottom="1340" w:left="98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3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14"/>
        <w:gridCol w:w="6125"/>
      </w:tblGrid>
      <w:tr>
        <w:trPr>
          <w:trHeight w:val="321" w:hRule="atLeast"/>
        </w:trPr>
        <w:tc>
          <w:tcPr>
            <w:tcW w:w="351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FM_BS006" w:id="12"/>
            <w:bookmarkEnd w:id="12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CS_FM_BS006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Changes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Planned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Analyses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FM_BS007" w:id="13"/>
            <w:bookmarkEnd w:id="13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43"/>
              <w:ind w:left="422"/>
              <w:rPr>
                <w:sz w:val="22"/>
              </w:rPr>
            </w:pPr>
            <w:bookmarkStart w:name="CS_FM_BS0243" w:id="14"/>
            <w:bookmarkEnd w:id="14"/>
            <w:r>
              <w:rPr/>
            </w: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CS_FM_BS0243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43"/>
              <w:ind w:left="114"/>
              <w:rPr>
                <w:sz w:val="22"/>
              </w:rPr>
            </w:pPr>
            <w:r>
              <w:rPr>
                <w:sz w:val="22"/>
              </w:rPr>
              <w:t>Hard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Coding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Approval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FM_MW007" w:id="15"/>
            <w:bookmarkEnd w:id="15"/>
            <w:r>
              <w:rPr/>
            </w: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CS_FM_MW007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508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OD_BS0235" w:id="16"/>
            <w:bookmarkEnd w:id="16"/>
            <w:r>
              <w:rPr/>
            </w: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CS_OD_BS0235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54" w:lineRule="exact"/>
              <w:ind w:left="114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Study report or Other Written Report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OP_MW005" w:id="17"/>
            <w:bookmarkEnd w:id="17"/>
            <w:r>
              <w:rPr/>
            </w: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CS_OP_MW005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OP_TMF0007" w:id="18"/>
            <w:bookmarkEnd w:id="18"/>
            <w:r>
              <w:rPr/>
            </w: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File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TP_BS002" w:id="19"/>
            <w:bookmarkEnd w:id="19"/>
            <w:r>
              <w:rPr/>
            </w: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CS_TP_BS002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WI_BS015" w:id="20"/>
            <w:bookmarkEnd w:id="20"/>
            <w:r>
              <w:rPr/>
            </w: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CS_WI_BS0237" w:id="21"/>
            <w:bookmarkEnd w:id="21"/>
            <w:r>
              <w:rPr/>
            </w:r>
            <w:r>
              <w:rPr>
                <w:b/>
                <w:sz w:val="22"/>
              </w:rPr>
              <w:t>7.10</w:t>
            </w:r>
            <w:r>
              <w:rPr>
                <w:b/>
                <w:spacing w:val="75"/>
                <w:sz w:val="22"/>
              </w:rPr>
              <w:t> </w:t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508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CS_WI_MW001" w:id="22"/>
            <w:bookmarkEnd w:id="22"/>
            <w:r>
              <w:rPr/>
            </w:r>
            <w:r>
              <w:rPr>
                <w:b/>
                <w:sz w:val="22"/>
              </w:rPr>
              <w:t>7.11</w:t>
            </w:r>
            <w:r>
              <w:rPr>
                <w:b/>
                <w:spacing w:val="75"/>
                <w:sz w:val="22"/>
              </w:rPr>
              <w:t> </w:t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CS_WI_MW001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54" w:lineRule="exact"/>
              <w:ind w:left="114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(Integrated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 Statistical Report)</w:t>
            </w:r>
          </w:p>
        </w:tc>
      </w:tr>
      <w:tr>
        <w:trPr>
          <w:trHeight w:val="758" w:hRule="atLeast"/>
        </w:trPr>
        <w:tc>
          <w:tcPr>
            <w:tcW w:w="3514" w:type="dxa"/>
          </w:tcPr>
          <w:p>
            <w:pPr>
              <w:pStyle w:val="TableParagraph"/>
              <w:spacing w:before="7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422"/>
              <w:rPr>
                <w:sz w:val="22"/>
              </w:rPr>
            </w:pPr>
            <w:bookmarkStart w:name="CS_WI_RM0284" w:id="23"/>
            <w:bookmarkEnd w:id="23"/>
            <w:r>
              <w:rPr/>
            </w:r>
            <w:r>
              <w:rPr>
                <w:b/>
                <w:sz w:val="22"/>
              </w:rPr>
              <w:t>7.12</w:t>
            </w:r>
            <w:r>
              <w:rPr>
                <w:b/>
                <w:spacing w:val="75"/>
                <w:sz w:val="22"/>
              </w:rPr>
              <w:t> </w:t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42" w:lineRule="auto"/>
              <w:ind w:left="114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 General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  <w:p>
            <w:pPr>
              <w:pStyle w:val="TableParagraph"/>
              <w:spacing w:line="232" w:lineRule="exact"/>
              <w:ind w:left="114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Good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Documentation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Practices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PI_FM_PK0213" w:id="24"/>
            <w:bookmarkEnd w:id="24"/>
            <w:r>
              <w:rPr/>
            </w:r>
            <w:r>
              <w:rPr>
                <w:b/>
                <w:sz w:val="22"/>
              </w:rPr>
              <w:t>7.13</w:t>
            </w:r>
            <w:r>
              <w:rPr>
                <w:b/>
                <w:spacing w:val="75"/>
                <w:sz w:val="22"/>
              </w:rPr>
              <w:t> </w:t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PI_FM_PK0213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PI_WI_PK0210" w:id="25"/>
            <w:bookmarkEnd w:id="25"/>
            <w:r>
              <w:rPr/>
            </w:r>
            <w:r>
              <w:rPr>
                <w:b/>
                <w:sz w:val="22"/>
              </w:rPr>
              <w:t>7.14</w:t>
            </w:r>
            <w:r>
              <w:rPr>
                <w:b/>
                <w:spacing w:val="75"/>
                <w:sz w:val="22"/>
              </w:rPr>
              <w:t> </w:t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PI_WI_PK0210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Preparation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CP-generated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330" w:hRule="atLeast"/>
        </w:trPr>
        <w:tc>
          <w:tcPr>
            <w:tcW w:w="3514" w:type="dxa"/>
            <w:shd w:val="clear" w:color="auto" w:fill="D9D9D9"/>
          </w:tcPr>
          <w:p>
            <w:pPr>
              <w:pStyle w:val="TableParagraph"/>
              <w:spacing w:before="33"/>
              <w:ind w:left="71"/>
              <w:rPr>
                <w:b/>
                <w:sz w:val="22"/>
              </w:rPr>
            </w:pPr>
            <w:bookmarkStart w:name="External References" w:id="26"/>
            <w:bookmarkEnd w:id="26"/>
            <w:r>
              <w:rPr/>
            </w: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ICH E3" w:id="27"/>
            <w:bookmarkEnd w:id="27"/>
            <w:r>
              <w:rPr/>
            </w:r>
            <w:r>
              <w:rPr>
                <w:b/>
                <w:sz w:val="22"/>
              </w:rPr>
              <w:t>7.15</w:t>
            </w:r>
            <w:r>
              <w:rPr>
                <w:b/>
                <w:spacing w:val="70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E3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14"/>
              <w:rPr>
                <w:sz w:val="22"/>
              </w:rPr>
            </w:pPr>
            <w:r>
              <w:rPr>
                <w:sz w:val="22"/>
              </w:rPr>
              <w:t>Structure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Content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Reports</w:t>
            </w:r>
          </w:p>
        </w:tc>
      </w:tr>
      <w:tr>
        <w:trPr>
          <w:trHeight w:val="330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ICH E9" w:id="28"/>
            <w:bookmarkEnd w:id="28"/>
            <w:r>
              <w:rPr/>
            </w:r>
            <w:r>
              <w:rPr>
                <w:b/>
                <w:sz w:val="22"/>
              </w:rPr>
              <w:t>7.16</w:t>
            </w:r>
            <w:r>
              <w:rPr>
                <w:b/>
                <w:spacing w:val="73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E9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14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Principles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Trials</w:t>
            </w:r>
          </w:p>
        </w:tc>
      </w:tr>
      <w:tr>
        <w:trPr>
          <w:trHeight w:val="335" w:hRule="atLeast"/>
        </w:trPr>
        <w:tc>
          <w:tcPr>
            <w:tcW w:w="3514" w:type="dxa"/>
          </w:tcPr>
          <w:p>
            <w:pPr>
              <w:pStyle w:val="TableParagraph"/>
              <w:spacing w:before="38"/>
              <w:ind w:left="422"/>
              <w:rPr>
                <w:sz w:val="22"/>
              </w:rPr>
            </w:pPr>
            <w:bookmarkStart w:name="Best Practice Guidance" w:id="29"/>
            <w:bookmarkEnd w:id="29"/>
            <w:r>
              <w:rPr/>
            </w:r>
            <w:r>
              <w:rPr>
                <w:b/>
                <w:sz w:val="22"/>
              </w:rPr>
              <w:t>7.17</w:t>
            </w:r>
            <w:r>
              <w:rPr>
                <w:b/>
                <w:spacing w:val="72"/>
                <w:sz w:val="22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Best</w:t>
            </w:r>
            <w:r>
              <w:rPr>
                <w:color w:val="0000FF"/>
                <w:spacing w:val="-4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Practice</w:t>
            </w:r>
            <w:r>
              <w:rPr>
                <w:color w:val="0000FF"/>
                <w:spacing w:val="-2"/>
                <w:sz w:val="22"/>
                <w:u w:val="single" w:color="0000FF"/>
              </w:rPr>
              <w:t> Guidance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14"/>
              <w:rPr>
                <w:sz w:val="22"/>
              </w:rPr>
            </w:pPr>
            <w:r>
              <w:rPr>
                <w:sz w:val="22"/>
              </w:rPr>
              <w:t>Stand-alone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guidelines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64" w:top="2520" w:bottom="1260" w:left="98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94" w:after="6"/>
        <w:ind w:left="1180" w:right="0" w:hanging="720"/>
        <w:jc w:val="left"/>
        <w:rPr>
          <w:b/>
          <w:sz w:val="22"/>
        </w:rPr>
      </w:pPr>
      <w:bookmarkStart w:name="SUPERSEDES" w:id="30"/>
      <w:bookmarkEnd w:id="30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5"/>
        <w:gridCol w:w="4291"/>
        <w:gridCol w:w="2342"/>
      </w:tblGrid>
      <w:tr>
        <w:trPr>
          <w:trHeight w:val="508" w:hRule="atLeast"/>
        </w:trPr>
        <w:tc>
          <w:tcPr>
            <w:tcW w:w="3115" w:type="dxa"/>
            <w:shd w:val="clear" w:color="auto" w:fill="BFBFBF"/>
          </w:tcPr>
          <w:p>
            <w:pPr>
              <w:pStyle w:val="TableParagraph"/>
              <w:spacing w:line="248" w:lineRule="exact"/>
              <w:ind w:left="82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DOCUMENT</w:t>
            </w:r>
          </w:p>
          <w:p>
            <w:pPr>
              <w:pStyle w:val="TableParagraph"/>
              <w:spacing w:line="239" w:lineRule="exact" w:before="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4291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42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61" w:hRule="atLeast"/>
        </w:trPr>
        <w:tc>
          <w:tcPr>
            <w:tcW w:w="3115" w:type="dxa"/>
          </w:tcPr>
          <w:p>
            <w:pPr>
              <w:pStyle w:val="TableParagraph"/>
              <w:tabs>
                <w:tab w:pos="988" w:val="left" w:leader="none"/>
              </w:tabs>
              <w:spacing w:before="38"/>
              <w:ind w:left="422"/>
              <w:rPr>
                <w:sz w:val="22"/>
              </w:rPr>
            </w:pPr>
            <w:bookmarkStart w:name="CS_WI_BS017" w:id="31"/>
            <w:bookmarkEnd w:id="31"/>
            <w:r>
              <w:rPr/>
            </w: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CS_WI_BS017</w:t>
            </w:r>
          </w:p>
        </w:tc>
        <w:tc>
          <w:tcPr>
            <w:tcW w:w="4291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Contribution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Study </w:t>
            </w:r>
            <w:r>
              <w:rPr>
                <w:spacing w:val="-2"/>
                <w:sz w:val="22"/>
              </w:rPr>
              <w:t>Report</w:t>
            </w:r>
          </w:p>
        </w:tc>
        <w:tc>
          <w:tcPr>
            <w:tcW w:w="234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11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0" w:after="7"/>
        <w:ind w:left="1180" w:right="0" w:hanging="720"/>
        <w:jc w:val="left"/>
        <w:rPr>
          <w:b/>
          <w:sz w:val="22"/>
        </w:rPr>
      </w:pPr>
      <w:bookmarkStart w:name="MODIFICATION FROM PREVIOUS REVISION" w:id="32"/>
      <w:bookmarkEnd w:id="32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3"/>
        <w:gridCol w:w="3297"/>
        <w:gridCol w:w="3297"/>
      </w:tblGrid>
      <w:tr>
        <w:trPr>
          <w:trHeight w:val="321" w:hRule="atLeast"/>
        </w:trPr>
        <w:tc>
          <w:tcPr>
            <w:tcW w:w="316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7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297" w:type="dxa"/>
            <w:shd w:val="clear" w:color="auto" w:fill="BFBFBF"/>
          </w:tcPr>
          <w:p>
            <w:pPr>
              <w:pStyle w:val="TableParagraph"/>
              <w:spacing w:before="28"/>
              <w:ind w:left="10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author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Header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those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responsible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 the document</w:t>
            </w:r>
          </w:p>
        </w:tc>
      </w:tr>
      <w:tr>
        <w:trPr>
          <w:trHeight w:val="1036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Guidance for stand-alone statistical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removed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added in a separate best practice document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 w:right="156"/>
              <w:rPr>
                <w:sz w:val="22"/>
              </w:rPr>
            </w:pPr>
            <w:r>
              <w:rPr>
                <w:sz w:val="22"/>
              </w:rPr>
              <w:t>Guidance for standalone statistical reports is not required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document</w:t>
            </w:r>
          </w:p>
        </w:tc>
      </w:tr>
      <w:tr>
        <w:trPr>
          <w:trHeight w:val="561" w:hRule="atLeast"/>
        </w:trPr>
        <w:tc>
          <w:tcPr>
            <w:tcW w:w="316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be Lead MW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Consistency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MW</w:t>
            </w:r>
            <w:r>
              <w:rPr>
                <w:spacing w:val="-4"/>
                <w:sz w:val="22"/>
              </w:rPr>
              <w:t> SOPs</w:t>
            </w:r>
          </w:p>
        </w:tc>
      </w:tr>
      <w:tr>
        <w:trPr>
          <w:trHeight w:val="801" w:hRule="atLeast"/>
        </w:trPr>
        <w:tc>
          <w:tcPr>
            <w:tcW w:w="3163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Removed QC step during 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CSR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text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written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by the STL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297" w:type="dxa"/>
          </w:tcPr>
          <w:p>
            <w:pPr>
              <w:pStyle w:val="TableParagraph"/>
              <w:spacing w:line="230" w:lineRule="auto" w:before="32"/>
              <w:ind w:left="106" w:right="156"/>
              <w:rPr>
                <w:sz w:val="22"/>
              </w:rPr>
            </w:pPr>
            <w:r>
              <w:rPr>
                <w:sz w:val="22"/>
              </w:rPr>
              <w:t>Simplification of process and removal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duplication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effort by QC and SB reviewer</w:t>
            </w:r>
          </w:p>
        </w:tc>
      </w:tr>
      <w:tr>
        <w:trPr>
          <w:trHeight w:val="561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ind w:right="191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reorganized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type of document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6.0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 w:right="156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make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sequences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 steps easier to identify</w:t>
            </w:r>
          </w:p>
        </w:tc>
      </w:tr>
      <w:tr>
        <w:trPr>
          <w:trHeight w:val="556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ind w:right="191"/>
              <w:rPr>
                <w:sz w:val="22"/>
              </w:rPr>
            </w:pPr>
            <w:r>
              <w:rPr>
                <w:sz w:val="22"/>
              </w:rPr>
              <w:t>Title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PI_WI_PK0210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6.1.10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Correction</w:t>
            </w:r>
          </w:p>
        </w:tc>
      </w:tr>
      <w:tr>
        <w:trPr>
          <w:trHeight w:val="801" w:hRule="atLeast"/>
        </w:trPr>
        <w:tc>
          <w:tcPr>
            <w:tcW w:w="3163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Hard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Coding Approval Form added </w:t>
            </w:r>
            <w:r>
              <w:rPr>
                <w:spacing w:val="-2"/>
                <w:sz w:val="22"/>
              </w:rPr>
              <w:t>(CS_FM_BS0243)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6.1.4,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6.2.1.1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New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1041" w:hRule="atLeast"/>
        </w:trPr>
        <w:tc>
          <w:tcPr>
            <w:tcW w:w="3163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Expert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added</w:t>
            </w:r>
          </w:p>
        </w:tc>
        <w:tc>
          <w:tcPr>
            <w:tcW w:w="3297" w:type="dxa"/>
          </w:tcPr>
          <w:p>
            <w:pPr>
              <w:pStyle w:val="TableParagraph"/>
              <w:spacing w:line="249" w:lineRule="exact" w:before="24"/>
              <w:rPr>
                <w:sz w:val="22"/>
              </w:rPr>
            </w:pPr>
            <w:r>
              <w:rPr>
                <w:sz w:val="22"/>
              </w:rPr>
              <w:t>3.0,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6.1.8,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6.3.1.1,</w:t>
            </w:r>
            <w:r>
              <w:rPr>
                <w:spacing w:val="-2"/>
                <w:sz w:val="22"/>
              </w:rPr>
              <w:t> 6.3.1.2,</w:t>
            </w:r>
          </w:p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6.3.1.5</w:t>
            </w:r>
          </w:p>
        </w:tc>
        <w:tc>
          <w:tcPr>
            <w:tcW w:w="3297" w:type="dxa"/>
          </w:tcPr>
          <w:p>
            <w:pPr>
              <w:pStyle w:val="TableParagraph"/>
              <w:spacing w:line="230" w:lineRule="auto" w:before="32"/>
              <w:ind w:left="106" w:right="156"/>
              <w:rPr>
                <w:sz w:val="22"/>
              </w:rPr>
            </w:pPr>
            <w:r>
              <w:rPr>
                <w:sz w:val="22"/>
              </w:rPr>
              <w:t>Expert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required in some circumstances (e.g., specialist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statistical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knowledge required, SME)</w:t>
            </w:r>
          </w:p>
        </w:tc>
      </w:tr>
      <w:tr>
        <w:trPr>
          <w:trHeight w:val="801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ind w:right="415"/>
              <w:jc w:val="both"/>
              <w:rPr>
                <w:sz w:val="22"/>
              </w:rPr>
            </w:pPr>
            <w:r>
              <w:rPr>
                <w:sz w:val="22"/>
              </w:rPr>
              <w:t>“Analysis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Notes”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document replaced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“Note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File”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6.2.1.1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2198" w:hRule="atLeast"/>
        </w:trPr>
        <w:tc>
          <w:tcPr>
            <w:tcW w:w="3163" w:type="dxa"/>
          </w:tcPr>
          <w:p>
            <w:pPr>
              <w:pStyle w:val="TableParagraph"/>
              <w:spacing w:line="240" w:lineRule="exact" w:before="18"/>
              <w:ind w:right="191"/>
              <w:rPr>
                <w:sz w:val="22"/>
              </w:rPr>
            </w:pPr>
            <w:r>
              <w:rPr>
                <w:sz w:val="22"/>
              </w:rPr>
              <w:t>Added a requirement that when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contracted to write the CSR, the STL must file in the eTMF any draft text written by the STL and delivered to the customer, and any customer comments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relating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text written by the STL plus the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6.4.6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Clarification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64" w:top="2520" w:bottom="1260" w:left="98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3"/>
        <w:gridCol w:w="3297"/>
        <w:gridCol w:w="3297"/>
      </w:tblGrid>
      <w:tr>
        <w:trPr>
          <w:trHeight w:val="517" w:hRule="atLeast"/>
        </w:trPr>
        <w:tc>
          <w:tcPr>
            <w:tcW w:w="3163" w:type="dxa"/>
          </w:tcPr>
          <w:p>
            <w:pPr>
              <w:pStyle w:val="TableParagraph"/>
              <w:spacing w:line="228" w:lineRule="auto"/>
              <w:rPr>
                <w:sz w:val="22"/>
              </w:rPr>
            </w:pPr>
            <w:r>
              <w:rPr>
                <w:sz w:val="22"/>
              </w:rPr>
              <w:t>response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review </w:t>
            </w:r>
            <w:r>
              <w:rPr>
                <w:spacing w:val="-2"/>
                <w:sz w:val="22"/>
              </w:rPr>
              <w:t>comments</w:t>
            </w:r>
          </w:p>
        </w:tc>
        <w:tc>
          <w:tcPr>
            <w:tcW w:w="32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2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001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ind w:right="191"/>
              <w:rPr>
                <w:sz w:val="22"/>
              </w:rPr>
            </w:pPr>
            <w:r>
              <w:rPr>
                <w:sz w:val="22"/>
              </w:rPr>
              <w:t>Updated reference from Management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Master File (CS_OP_RM0296) to Trial Master File (CS_OP_TMF0007) and</w:t>
            </w:r>
          </w:p>
          <w:p>
            <w:pPr>
              <w:pStyle w:val="TableParagraph"/>
              <w:spacing w:line="228" w:lineRule="auto" w:before="3"/>
              <w:rPr>
                <w:sz w:val="22"/>
              </w:rPr>
            </w:pPr>
            <w:r>
              <w:rPr>
                <w:sz w:val="22"/>
              </w:rPr>
              <w:t>Management and Filing of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Documentation </w:t>
            </w:r>
            <w:r>
              <w:rPr>
                <w:spacing w:val="-2"/>
                <w:sz w:val="22"/>
              </w:rPr>
              <w:t>(CS_WI_BS0237).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6.4.6</w:t>
            </w:r>
          </w:p>
        </w:tc>
        <w:tc>
          <w:tcPr>
            <w:tcW w:w="3297" w:type="dxa"/>
          </w:tcPr>
          <w:p>
            <w:pPr>
              <w:pStyle w:val="TableParagraph"/>
              <w:spacing w:line="232" w:lineRule="auto" w:before="30"/>
              <w:ind w:left="106"/>
              <w:rPr>
                <w:sz w:val="22"/>
              </w:rPr>
            </w:pPr>
            <w:r>
              <w:rPr>
                <w:sz w:val="22"/>
              </w:rPr>
              <w:t>Obsolete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document,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replaced with two new documents.</w:t>
            </w:r>
          </w:p>
        </w:tc>
      </w:tr>
      <w:tr>
        <w:trPr>
          <w:trHeight w:val="801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SB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CSR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text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written by MW removed.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/>
              <w:rPr>
                <w:sz w:val="22"/>
              </w:rPr>
            </w:pPr>
            <w:r>
              <w:rPr>
                <w:sz w:val="22"/>
              </w:rPr>
              <w:t>STL review is sufficient for reviewing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CSR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text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written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by IQVIA MW.</w:t>
            </w:r>
          </w:p>
        </w:tc>
      </w:tr>
      <w:tr>
        <w:trPr>
          <w:trHeight w:val="1516" w:hRule="atLeast"/>
        </w:trPr>
        <w:tc>
          <w:tcPr>
            <w:tcW w:w="3163" w:type="dxa"/>
          </w:tcPr>
          <w:p>
            <w:pPr>
              <w:pStyle w:val="TableParagraph"/>
              <w:spacing w:line="228" w:lineRule="auto" w:before="34"/>
              <w:ind w:left="129" w:right="101"/>
              <w:rPr>
                <w:sz w:val="22"/>
              </w:rPr>
            </w:pPr>
            <w:r>
              <w:rPr>
                <w:sz w:val="22"/>
              </w:rPr>
              <w:t>Added reference to the Approaches to QC – Appendix K – QC of the Clinical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Other Written Report </w:t>
            </w:r>
            <w:r>
              <w:rPr>
                <w:spacing w:val="-2"/>
                <w:sz w:val="22"/>
              </w:rPr>
              <w:t>(CS_OD_BS0235)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6.3.1.2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321" w:hRule="atLeast"/>
        </w:trPr>
        <w:tc>
          <w:tcPr>
            <w:tcW w:w="3163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Quintiles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replaced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IQVIA</w:t>
            </w:r>
          </w:p>
        </w:tc>
        <w:tc>
          <w:tcPr>
            <w:tcW w:w="3297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297" w:type="dxa"/>
          </w:tcPr>
          <w:p>
            <w:pPr>
              <w:pStyle w:val="TableParagraph"/>
              <w:spacing w:before="33"/>
              <w:ind w:left="106"/>
              <w:rPr>
                <w:sz w:val="22"/>
              </w:rPr>
            </w:pPr>
            <w:r>
              <w:rPr>
                <w:sz w:val="22"/>
              </w:rPr>
              <w:t>Renaming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company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0"/>
          <w:numId w:val="3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APPENDICES" w:id="33"/>
      <w:bookmarkEnd w:id="33"/>
      <w:r>
        <w:rPr>
          <w:b/>
          <w:spacing w:val="-2"/>
          <w:sz w:val="22"/>
        </w:rPr>
        <w:t>APPENDICES</w:t>
      </w:r>
    </w:p>
    <w:p>
      <w:pPr>
        <w:pStyle w:val="Heading2"/>
        <w:numPr>
          <w:ilvl w:val="1"/>
          <w:numId w:val="3"/>
        </w:numPr>
        <w:tabs>
          <w:tab w:pos="1809" w:val="left" w:leader="none"/>
        </w:tabs>
        <w:spacing w:line="240" w:lineRule="auto" w:before="1" w:after="0"/>
        <w:ind w:left="1808" w:right="0" w:hanging="629"/>
        <w:jc w:val="left"/>
      </w:pPr>
      <w:r>
        <w:rPr/>
        <w:t>Appendix</w:t>
      </w:r>
      <w:r>
        <w:rPr>
          <w:spacing w:val="-7"/>
        </w:rPr>
        <w:t> </w:t>
      </w:r>
      <w:r>
        <w:rPr/>
        <w:t>A</w:t>
      </w:r>
      <w:r>
        <w:rPr>
          <w:b w:val="0"/>
        </w:rPr>
        <w:t>:</w:t>
      </w:r>
      <w:r>
        <w:rPr>
          <w:b w:val="0"/>
          <w:spacing w:val="52"/>
        </w:rPr>
        <w:t> </w:t>
      </w:r>
      <w:r>
        <w:rPr/>
        <w:t>Statistical</w:t>
      </w:r>
      <w:r>
        <w:rPr>
          <w:spacing w:val="-5"/>
        </w:rPr>
        <w:t> </w:t>
      </w:r>
      <w:r>
        <w:rPr/>
        <w:t>Contribution</w:t>
      </w:r>
      <w:r>
        <w:rPr>
          <w:spacing w:val="-7"/>
        </w:rPr>
        <w:t> </w:t>
      </w:r>
      <w:r>
        <w:rPr/>
        <w:t>to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Clinical</w:t>
      </w:r>
      <w:r>
        <w:rPr>
          <w:spacing w:val="-6"/>
        </w:rPr>
        <w:t> </w:t>
      </w:r>
      <w:r>
        <w:rPr/>
        <w:t>Study</w:t>
      </w:r>
      <w:r>
        <w:rPr>
          <w:spacing w:val="-7"/>
        </w:rPr>
        <w:t> </w:t>
      </w:r>
      <w:r>
        <w:rPr/>
        <w:t>Report</w:t>
      </w:r>
      <w:r>
        <w:rPr>
          <w:spacing w:val="-4"/>
        </w:rPr>
        <w:t> </w:t>
      </w:r>
      <w:r>
        <w:rPr>
          <w:spacing w:val="-2"/>
        </w:rPr>
        <w:t>Workflow</w:t>
      </w:r>
    </w:p>
    <w:p>
      <w:pPr>
        <w:spacing w:after="0" w:line="240" w:lineRule="auto"/>
        <w:jc w:val="left"/>
        <w:sectPr>
          <w:pgSz w:w="12240" w:h="15840"/>
          <w:pgMar w:header="725" w:footer="1064" w:top="2520" w:bottom="1340" w:left="98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before="94"/>
        <w:ind w:left="460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</w:t>
      </w:r>
      <w:r>
        <w:rPr>
          <w:sz w:val="22"/>
        </w:rPr>
        <w:t>:</w:t>
      </w:r>
      <w:r>
        <w:rPr>
          <w:spacing w:val="53"/>
          <w:sz w:val="22"/>
        </w:rPr>
        <w:t> </w:t>
      </w:r>
      <w:r>
        <w:rPr>
          <w:b/>
          <w:sz w:val="22"/>
        </w:rPr>
        <w:t>Statistical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Contribution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Study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spacing w:before="1"/>
        <w:rPr>
          <w:b/>
          <w:sz w:val="20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911352</wp:posOffset>
            </wp:positionH>
            <wp:positionV relativeFrom="paragraph">
              <wp:posOffset>162518</wp:posOffset>
            </wp:positionV>
            <wp:extent cx="5949696" cy="3246120"/>
            <wp:effectExtent l="0" t="0" r="0" b="0"/>
            <wp:wrapTopAndBottom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20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911352</wp:posOffset>
            </wp:positionH>
            <wp:positionV relativeFrom="paragraph">
              <wp:posOffset>167906</wp:posOffset>
            </wp:positionV>
            <wp:extent cx="5949696" cy="2429256"/>
            <wp:effectExtent l="0" t="0" r="0" b="0"/>
            <wp:wrapTopAndBottom/>
            <wp:docPr id="9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3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24292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2"/>
        </w:rPr>
      </w:pPr>
      <w:r>
        <w:rPr/>
        <w:pict>
          <v:rect style="position:absolute;margin-left:70.559998pt;margin-top:8.546836pt;width:470.88pt;height:.48pt;mso-position-horizontal-relative:page;mso-position-vertical-relative:paragraph;z-index:-15726592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640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5"/>
          <w:sz w:val="16"/>
        </w:rPr>
        <w:t> </w:t>
      </w:r>
      <w:r>
        <w:rPr>
          <w:sz w:val="16"/>
        </w:rPr>
        <w:t>10</w:t>
      </w:r>
      <w:r>
        <w:rPr>
          <w:spacing w:val="-6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pacing w:val="-5"/>
          <w:sz w:val="16"/>
        </w:rPr>
        <w:t>10</w:t>
      </w:r>
    </w:p>
    <w:p>
      <w:pPr>
        <w:spacing w:line="240" w:lineRule="auto" w:before="0"/>
        <w:ind w:left="459" w:right="544" w:firstLine="0"/>
        <w:jc w:val="left"/>
        <w:rPr>
          <w:sz w:val="16"/>
        </w:rPr>
      </w:pPr>
      <w:r>
        <w:rPr>
          <w:sz w:val="16"/>
        </w:rPr>
        <w:t>Copyright © 1999, 2000, 2003, 2006, 2008, 2010, 2011, 2015, 2017, 2020, 2022</w:t>
      </w:r>
      <w:r>
        <w:rPr>
          <w:spacing w:val="-1"/>
          <w:sz w:val="16"/>
        </w:rPr>
        <w:t> </w:t>
      </w:r>
      <w:r>
        <w:rPr>
          <w:sz w:val="16"/>
        </w:rPr>
        <w:t>IQVIA. All rights reserved. The contents of this 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3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its</w:t>
      </w:r>
      <w:r>
        <w:rPr>
          <w:spacing w:val="-3"/>
          <w:sz w:val="16"/>
        </w:rPr>
        <w:t> </w:t>
      </w:r>
      <w:r>
        <w:rPr>
          <w:sz w:val="16"/>
        </w:rPr>
        <w:t>subsidiaries.</w:t>
      </w:r>
      <w:r>
        <w:rPr>
          <w:spacing w:val="-3"/>
          <w:sz w:val="16"/>
        </w:rPr>
        <w:t> </w:t>
      </w:r>
      <w:r>
        <w:rPr>
          <w:sz w:val="16"/>
        </w:rPr>
        <w:t>Unauthorized</w:t>
      </w:r>
      <w:r>
        <w:rPr>
          <w:spacing w:val="-3"/>
          <w:sz w:val="16"/>
        </w:rPr>
        <w:t> </w:t>
      </w:r>
      <w:r>
        <w:rPr>
          <w:sz w:val="16"/>
        </w:rPr>
        <w:t>use,</w:t>
      </w:r>
      <w:r>
        <w:rPr>
          <w:spacing w:val="-3"/>
          <w:sz w:val="16"/>
        </w:rPr>
        <w:t> </w:t>
      </w:r>
      <w:r>
        <w:rPr>
          <w:sz w:val="16"/>
        </w:rPr>
        <w:t>disclosure</w:t>
      </w:r>
      <w:r>
        <w:rPr>
          <w:spacing w:val="-3"/>
          <w:sz w:val="16"/>
        </w:rPr>
        <w:t> </w:t>
      </w:r>
      <w:r>
        <w:rPr>
          <w:sz w:val="16"/>
        </w:rPr>
        <w:t>or</w:t>
      </w:r>
      <w:r>
        <w:rPr>
          <w:spacing w:val="-3"/>
          <w:sz w:val="16"/>
        </w:rPr>
        <w:t> </w:t>
      </w:r>
      <w:r>
        <w:rPr>
          <w:sz w:val="16"/>
        </w:rPr>
        <w:t>reproduction is strictly prohibited.</w:t>
      </w:r>
    </w:p>
    <w:p>
      <w:pPr>
        <w:spacing w:after="0" w:line="240" w:lineRule="auto"/>
        <w:jc w:val="left"/>
        <w:rPr>
          <w:sz w:val="16"/>
        </w:rPr>
        <w:sectPr>
          <w:headerReference w:type="default" r:id="rId23"/>
          <w:footerReference w:type="default" r:id="rId24"/>
          <w:pgSz w:w="12240" w:h="15840"/>
          <w:pgMar w:header="725" w:footer="268" w:top="2520" w:bottom="460" w:left="980" w:right="960"/>
        </w:sectPr>
      </w:pPr>
    </w:p>
    <w:p>
      <w:pPr>
        <w:spacing w:line="321" w:lineRule="exact" w:before="79"/>
        <w:ind w:left="528" w:right="51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11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4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5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5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5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57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Willmott,</w:t>
      </w:r>
      <w:r>
        <w:rPr>
          <w:spacing w:val="-10"/>
          <w:sz w:val="20"/>
        </w:rPr>
        <w:t> </w:t>
      </w:r>
      <w:r>
        <w:rPr>
          <w:sz w:val="20"/>
        </w:rPr>
        <w:t>Corinne</w:t>
      </w:r>
      <w:r>
        <w:rPr>
          <w:spacing w:val="36"/>
          <w:sz w:val="20"/>
        </w:rPr>
        <w:t> </w:t>
      </w:r>
      <w:r>
        <w:rPr>
          <w:sz w:val="20"/>
        </w:rPr>
        <w:t>(q778849)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15</w:t>
      </w:r>
      <w:r>
        <w:rPr>
          <w:spacing w:val="-4"/>
          <w:sz w:val="20"/>
        </w:rPr>
        <w:t> </w:t>
      </w:r>
      <w:r>
        <w:rPr>
          <w:sz w:val="20"/>
        </w:rPr>
        <w:t>November</w:t>
      </w:r>
      <w:r>
        <w:rPr>
          <w:spacing w:val="-5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10:38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60" w:right="57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15</w:t>
      </w:r>
      <w:r>
        <w:rPr>
          <w:spacing w:val="-4"/>
          <w:sz w:val="20"/>
        </w:rPr>
        <w:t> </w:t>
      </w:r>
      <w:r>
        <w:rPr>
          <w:sz w:val="20"/>
        </w:rPr>
        <w:t>November</w:t>
      </w:r>
      <w:r>
        <w:rPr>
          <w:spacing w:val="-5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01:51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27"/>
      <w:footerReference w:type="default" r:id="rId28"/>
      <w:pgSz w:w="12240" w:h="15840"/>
      <w:pgMar w:header="0" w:footer="268" w:top="1360" w:bottom="460" w:left="98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355840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5.750244pt;width:464.25pt;height:58.25pt;mso-position-horizontal-relative:page;mso-position-vertical-relative:page;z-index:-16355328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10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 © 1999, 2000, 2003, 2006, 2008, 2010, 2011, 2015, 2017, 2020, 2022 IQVIA. All rights reserved. The contents of this 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Inc.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subsidiaries.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Unauthorized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use,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disclosure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or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reproduction is strictly prohibited.</w:t>
                </w:r>
              </w:p>
              <w:p>
                <w:pPr>
                  <w:spacing w:before="111"/>
                  <w:ind w:left="813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CS_WI_BS017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01-Dec-2022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354304" id="docshape4" filled="true" fillcolor="#000000" stroked="false">
          <v:fill type="solid"/>
          <w10:wrap type="none"/>
        </v:rect>
      </w:pict>
    </w:r>
    <w:r>
      <w:rPr/>
      <w:pict>
        <v:shape style="position:absolute;margin-left:71pt;margin-top:725.750244pt;width:464.25pt;height:58.25pt;mso-position-horizontal-relative:page;mso-position-vertical-relative:page;z-index:-16353792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7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10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 © 1999, 2000, 2003, 2006, 2008, 2010, 2011, 2015, 2017, 2020, 2022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IQVIA. All rights reserved. The contents of this 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Inc.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subsidiaries.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Unauthorized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use,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disclosure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or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reproduction is strictly prohibited.</w:t>
                </w:r>
              </w:p>
              <w:p>
                <w:pPr>
                  <w:spacing w:before="111"/>
                  <w:ind w:left="813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CS_WI_BS017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01-Dec-2022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695999pt;margin-top:767.575989pt;width:390.65pt;height:16.45pt;mso-position-horizontal-relative:page;mso-position-vertical-relative:page;z-index:-16352768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CS_WI_BS017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01-Dec-2022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695999pt;margin-top:767.575989pt;width:390.65pt;height:16.45pt;mso-position-horizontal-relative:page;mso-position-vertical-relative:page;z-index:-16352256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CS_WI_BS017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01-Dec-2022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9.639999pt;margin-top:36pt;width:479.3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411"/>
                  <w:gridCol w:w="5045"/>
                </w:tblGrid>
                <w:tr>
                  <w:trPr>
                    <w:trHeight w:val="954" w:hRule="atLeast"/>
                  </w:trPr>
                  <w:tc>
                    <w:tcPr>
                      <w:tcW w:w="4411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045" w:type="dxa"/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ind w:left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ind w:left="11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Statistical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Contribution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to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Study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Report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411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045" w:type="dxa"/>
                    </w:tcPr>
                    <w:p>
                      <w:pPr>
                        <w:pStyle w:val="TableParagraph"/>
                        <w:spacing w:before="143"/>
                        <w:ind w:left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125"/>
                        <w:ind w:left="11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CS_WI_BS017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61664">
          <wp:simplePos x="0" y="0"/>
          <wp:positionH relativeFrom="page">
            <wp:posOffset>1176780</wp:posOffset>
          </wp:positionH>
          <wp:positionV relativeFrom="page">
            <wp:posOffset>909163</wp:posOffset>
          </wp:positionV>
          <wp:extent cx="1998950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98950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9.639999pt;margin-top:36pt;width:479.3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411"/>
                  <w:gridCol w:w="5045"/>
                </w:tblGrid>
                <w:tr>
                  <w:trPr>
                    <w:trHeight w:val="954" w:hRule="atLeast"/>
                  </w:trPr>
                  <w:tc>
                    <w:tcPr>
                      <w:tcW w:w="4411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045" w:type="dxa"/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ind w:left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ind w:left="11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Statistical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Contribution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to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Study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Report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411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045" w:type="dxa"/>
                    </w:tcPr>
                    <w:p>
                      <w:pPr>
                        <w:pStyle w:val="TableParagraph"/>
                        <w:spacing w:before="143"/>
                        <w:ind w:left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125"/>
                        <w:ind w:left="11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CS_WI_BS017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63200">
          <wp:simplePos x="0" y="0"/>
          <wp:positionH relativeFrom="page">
            <wp:posOffset>1176780</wp:posOffset>
          </wp:positionH>
          <wp:positionV relativeFrom="page">
            <wp:posOffset>909163</wp:posOffset>
          </wp:positionV>
          <wp:extent cx="1998950" cy="365291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98950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"/>
      <w:lvlJc w:val="left"/>
      <w:pPr>
        <w:ind w:left="1631" w:hanging="452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06" w:hanging="45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2" w:hanging="45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38" w:hanging="45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04" w:hanging="45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70" w:hanging="45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6" w:hanging="45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02" w:hanging="45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8" w:hanging="452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6"/>
      <w:numFmt w:val="decimal"/>
      <w:lvlText w:val="%1"/>
      <w:lvlJc w:val="left"/>
      <w:pPr>
        <w:ind w:left="1900" w:hanging="72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2620" w:hanging="720"/>
        <w:jc w:val="left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2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3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8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93" w:hanging="72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5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08" w:hanging="629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44" w:hanging="62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88" w:hanging="62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33" w:hanging="62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77" w:hanging="62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2" w:hanging="62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66" w:hanging="62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11" w:hanging="629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631" w:hanging="452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06" w:hanging="45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2" w:hanging="45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38" w:hanging="45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04" w:hanging="45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70" w:hanging="45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6" w:hanging="45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02" w:hanging="45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8" w:hanging="452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08" w:hanging="629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44" w:hanging="62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88" w:hanging="62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33" w:hanging="62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77" w:hanging="62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2" w:hanging="62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66" w:hanging="62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11" w:hanging="629"/>
      </w:pPr>
      <w:rPr>
        <w:rFonts w:hint="default"/>
        <w:lang w:val="en-US" w:eastAsia="en-US" w:bidi="ar-SA"/>
      </w:rPr>
    </w:lvl>
  </w:abstractNum>
  <w:num w:numId="4">
    <w:abstractNumId w:val="3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4"/>
      <w:ind w:left="11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90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FM_BS006" TargetMode="External"/><Relationship Id="rId10" Type="http://schemas.openxmlformats.org/officeDocument/2006/relationships/hyperlink" Target="https://elvis.quintiles.com/livelink/llisapi.dll/open/CS_FM_BS007" TargetMode="External"/><Relationship Id="rId11" Type="http://schemas.openxmlformats.org/officeDocument/2006/relationships/hyperlink" Target="https://elvis.quintiles.com/livelink/llisapi.dll/open/CS_FM_BS0243" TargetMode="External"/><Relationship Id="rId12" Type="http://schemas.openxmlformats.org/officeDocument/2006/relationships/hyperlink" Target="https://elvis.quintiles.com/livelink/llisapi.dll/open/CS_FM_MW007" TargetMode="External"/><Relationship Id="rId13" Type="http://schemas.openxmlformats.org/officeDocument/2006/relationships/hyperlink" Target="https://elvis.quintiles.com/livelink/llisapi.dll/open/CS_OD_BS0235" TargetMode="External"/><Relationship Id="rId14" Type="http://schemas.openxmlformats.org/officeDocument/2006/relationships/hyperlink" Target="https://elvis.quintiles.com/livelink/llisapi.dll/open/CS_OP_MW005" TargetMode="External"/><Relationship Id="rId15" Type="http://schemas.openxmlformats.org/officeDocument/2006/relationships/hyperlink" Target="https://elvis.quintiles.com/livelink/llisapi.dll/open/CS_OP_TMF0007" TargetMode="External"/><Relationship Id="rId16" Type="http://schemas.openxmlformats.org/officeDocument/2006/relationships/hyperlink" Target="https://elvis.quintiles.com/livelink/llisapi.dll/open/CS_TP_BS002" TargetMode="External"/><Relationship Id="rId17" Type="http://schemas.openxmlformats.org/officeDocument/2006/relationships/hyperlink" Target="https://elvis.quintiles.com/livelink/llisapi.dll/open/CS_WI_BS015" TargetMode="External"/><Relationship Id="rId18" Type="http://schemas.openxmlformats.org/officeDocument/2006/relationships/hyperlink" Target="https://elvis.quintiles.com/livelink/llisapi.dll/open/CS_WI_BS0237" TargetMode="External"/><Relationship Id="rId19" Type="http://schemas.openxmlformats.org/officeDocument/2006/relationships/hyperlink" Target="https://elvis.quintiles.com/livelink/llisapi.dll/open/CS_WI_MW001" TargetMode="External"/><Relationship Id="rId20" Type="http://schemas.openxmlformats.org/officeDocument/2006/relationships/hyperlink" Target="https://elvis.quintiles.com/livelink/llisapi.dll/open/CS_WI_RM0284" TargetMode="External"/><Relationship Id="rId21" Type="http://schemas.openxmlformats.org/officeDocument/2006/relationships/hyperlink" Target="https://elvis.quintiles.com/livelink/llisapi.dll/open/PI_FM_PK0213" TargetMode="External"/><Relationship Id="rId22" Type="http://schemas.openxmlformats.org/officeDocument/2006/relationships/hyperlink" Target="https://elvis.quintiles.com/livelink/llisapi.dll/open/PI_WI_PK0210" TargetMode="External"/><Relationship Id="rId23" Type="http://schemas.openxmlformats.org/officeDocument/2006/relationships/header" Target="header2.xml"/><Relationship Id="rId24" Type="http://schemas.openxmlformats.org/officeDocument/2006/relationships/footer" Target="footer3.xml"/><Relationship Id="rId25" Type="http://schemas.openxmlformats.org/officeDocument/2006/relationships/image" Target="media/image2.png"/><Relationship Id="rId26" Type="http://schemas.openxmlformats.org/officeDocument/2006/relationships/image" Target="media/image3.png"/><Relationship Id="rId27" Type="http://schemas.openxmlformats.org/officeDocument/2006/relationships/header" Target="header3.xml"/><Relationship Id="rId28" Type="http://schemas.openxmlformats.org/officeDocument/2006/relationships/footer" Target="footer4.xml"/><Relationship Id="rId29" Type="http://schemas.openxmlformats.org/officeDocument/2006/relationships/image" Target="media/image4.png"/><Relationship Id="rId30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2023-04-11T16:42:19Z</dcterms:created>
  <dcterms:modified xsi:type="dcterms:W3CDTF">2023-04-11T16:42:19Z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2022-11-14T00:00:00Z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