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2"/>
              <w:ind w:left="0"/>
              <w:rPr>
                <w:rFonts w:ascii="Times New Roman"/>
                <w:sz w:val="26"/>
              </w:rPr>
            </w:pPr>
          </w:p>
          <w:p>
            <w:pPr>
              <w:pStyle w:val="TableParagraph"/>
              <w:ind w:left="1288" w:right="308" w:hanging="34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1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15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Instruction Handling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Data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pacing w:val="-2"/>
                <w:sz w:val="22"/>
                <w:vertAlign w:val="baseline"/>
              </w:rPr>
              <w:t>Transfers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CS_WI_BS020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5"/>
                <w:sz w:val="20"/>
              </w:rPr>
              <w:t>11</w:t>
            </w:r>
          </w:p>
        </w:tc>
      </w:tr>
      <w:tr>
        <w:trPr>
          <w:trHeight w:val="541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line="210" w:lineRule="exact" w:before="44"/>
              <w:ind w:left="107"/>
              <w:rPr>
                <w:sz w:val="20"/>
              </w:rPr>
            </w:pPr>
            <w:r>
              <w:rPr>
                <w:sz w:val="20"/>
              </w:rPr>
              <w:t>Carrie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Eason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10" w:lineRule="exact" w:before="44"/>
              <w:ind w:left="121"/>
              <w:rPr>
                <w:sz w:val="20"/>
              </w:rPr>
            </w:pPr>
            <w:r>
              <w:rPr>
                <w:sz w:val="20"/>
              </w:rPr>
              <w:t>Ian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Sanderson</w:t>
            </w:r>
          </w:p>
        </w:tc>
      </w:tr>
    </w:tbl>
    <w:p>
      <w:pPr>
        <w:pStyle w:val="BodyText"/>
        <w:spacing w:before="2"/>
        <w:rPr>
          <w:rFonts w:ascii="Times New Roman"/>
          <w:sz w:val="15"/>
        </w:rPr>
      </w:pPr>
    </w:p>
    <w:p>
      <w:pPr>
        <w:pStyle w:val="Heading1"/>
        <w:numPr>
          <w:ilvl w:val="1"/>
          <w:numId w:val="1"/>
        </w:numPr>
        <w:tabs>
          <w:tab w:pos="1082" w:val="left" w:leader="none"/>
          <w:tab w:pos="1083" w:val="left" w:leader="none"/>
        </w:tabs>
        <w:spacing w:line="240" w:lineRule="auto" w:before="94" w:after="0"/>
        <w:ind w:left="1082" w:right="0" w:hanging="543"/>
        <w:jc w:val="left"/>
      </w:pPr>
      <w:r>
        <w:rPr>
          <w:spacing w:val="-2"/>
        </w:rPr>
        <w:t>PURPOSE</w:t>
      </w:r>
    </w:p>
    <w:p>
      <w:pPr>
        <w:pStyle w:val="ListParagraph"/>
        <w:numPr>
          <w:ilvl w:val="1"/>
          <w:numId w:val="1"/>
        </w:numPr>
        <w:tabs>
          <w:tab w:pos="1672" w:val="left" w:leader="none"/>
          <w:tab w:pos="1673" w:val="left" w:leader="none"/>
        </w:tabs>
        <w:spacing w:line="240" w:lineRule="auto" w:before="1" w:after="0"/>
        <w:ind w:left="1672" w:right="1215" w:hanging="591"/>
        <w:jc w:val="left"/>
        <w:rPr>
          <w:sz w:val="22"/>
        </w:rPr>
      </w:pP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describe</w:t>
      </w:r>
      <w:r>
        <w:rPr>
          <w:spacing w:val="-3"/>
          <w:sz w:val="22"/>
        </w:rPr>
        <w:t> </w:t>
      </w:r>
      <w:r>
        <w:rPr>
          <w:sz w:val="22"/>
        </w:rPr>
        <w:t>handling</w:t>
      </w:r>
      <w:r>
        <w:rPr>
          <w:spacing w:val="-3"/>
          <w:sz w:val="22"/>
        </w:rPr>
        <w:t> </w:t>
      </w:r>
      <w:r>
        <w:rPr>
          <w:sz w:val="22"/>
        </w:rPr>
        <w:t>data</w:t>
      </w:r>
      <w:r>
        <w:rPr>
          <w:spacing w:val="-3"/>
          <w:sz w:val="22"/>
        </w:rPr>
        <w:t> </w:t>
      </w:r>
      <w:r>
        <w:rPr>
          <w:sz w:val="22"/>
        </w:rPr>
        <w:t>transfers</w:t>
      </w:r>
      <w:r>
        <w:rPr>
          <w:spacing w:val="-3"/>
          <w:sz w:val="22"/>
        </w:rPr>
        <w:t> </w:t>
      </w:r>
      <w:r>
        <w:rPr>
          <w:sz w:val="22"/>
        </w:rPr>
        <w:t>received</w:t>
      </w:r>
      <w:r>
        <w:rPr>
          <w:spacing w:val="-3"/>
          <w:sz w:val="22"/>
        </w:rPr>
        <w:t> </w:t>
      </w:r>
      <w:r>
        <w:rPr>
          <w:sz w:val="22"/>
        </w:rPr>
        <w:t>or</w:t>
      </w:r>
      <w:r>
        <w:rPr>
          <w:spacing w:val="-3"/>
          <w:sz w:val="22"/>
        </w:rPr>
        <w:t> </w:t>
      </w:r>
      <w:r>
        <w:rPr>
          <w:sz w:val="22"/>
        </w:rPr>
        <w:t>sent</w:t>
      </w:r>
      <w:r>
        <w:rPr>
          <w:spacing w:val="-3"/>
          <w:sz w:val="22"/>
        </w:rPr>
        <w:t> </w:t>
      </w:r>
      <w:r>
        <w:rPr>
          <w:sz w:val="22"/>
        </w:rPr>
        <w:t>by</w:t>
      </w:r>
      <w:r>
        <w:rPr>
          <w:spacing w:val="-3"/>
          <w:sz w:val="22"/>
        </w:rPr>
        <w:t> </w:t>
      </w:r>
      <w:r>
        <w:rPr>
          <w:sz w:val="22"/>
        </w:rPr>
        <w:t>Biostatistics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use</w:t>
      </w:r>
      <w:r>
        <w:rPr>
          <w:spacing w:val="-3"/>
          <w:sz w:val="22"/>
        </w:rPr>
        <w:t> </w:t>
      </w:r>
      <w:r>
        <w:rPr>
          <w:sz w:val="22"/>
        </w:rPr>
        <w:t>of project-specific Biostatistics Data Transfer Guidelines (DTG).</w:t>
      </w:r>
    </w:p>
    <w:p>
      <w:pPr>
        <w:pStyle w:val="BodyText"/>
        <w:spacing w:before="6"/>
        <w:rPr>
          <w:sz w:val="21"/>
        </w:rPr>
      </w:pPr>
    </w:p>
    <w:p>
      <w:pPr>
        <w:pStyle w:val="Heading1"/>
        <w:numPr>
          <w:ilvl w:val="1"/>
          <w:numId w:val="2"/>
        </w:numPr>
        <w:tabs>
          <w:tab w:pos="1082" w:val="left" w:leader="none"/>
          <w:tab w:pos="1083" w:val="left" w:leader="none"/>
        </w:tabs>
        <w:spacing w:line="240" w:lineRule="auto" w:before="1" w:after="0"/>
        <w:ind w:left="1082" w:right="0" w:hanging="543"/>
        <w:jc w:val="left"/>
      </w:pPr>
      <w:r>
        <w:rPr>
          <w:spacing w:val="-2"/>
        </w:rPr>
        <w:t>SCOPE</w:t>
      </w:r>
    </w:p>
    <w:p>
      <w:pPr>
        <w:pStyle w:val="ListParagraph"/>
        <w:numPr>
          <w:ilvl w:val="1"/>
          <w:numId w:val="2"/>
        </w:numPr>
        <w:tabs>
          <w:tab w:pos="1672" w:val="left" w:leader="none"/>
          <w:tab w:pos="1673" w:val="left" w:leader="none"/>
        </w:tabs>
        <w:spacing w:line="240" w:lineRule="auto" w:before="6" w:after="0"/>
        <w:ind w:left="1672" w:right="0" w:hanging="591"/>
        <w:jc w:val="left"/>
        <w:rPr>
          <w:sz w:val="22"/>
        </w:rPr>
      </w:pPr>
      <w:bookmarkStart w:name="ROLES AND RESPONSIBILITIES" w:id="1"/>
      <w:bookmarkEnd w:id="1"/>
      <w:r>
        <w:rPr>
          <w:sz w:val="22"/>
        </w:rPr>
        <w:t>Applie</w:t>
      </w:r>
      <w:r>
        <w:rPr>
          <w:sz w:val="22"/>
        </w:rPr>
        <w:t>s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6"/>
          <w:sz w:val="22"/>
        </w:rPr>
        <w:t> </w:t>
      </w:r>
      <w:r>
        <w:rPr>
          <w:sz w:val="22"/>
        </w:rPr>
        <w:t>all</w:t>
      </w:r>
      <w:r>
        <w:rPr>
          <w:spacing w:val="-6"/>
          <w:sz w:val="22"/>
        </w:rPr>
        <w:t> </w:t>
      </w:r>
      <w:r>
        <w:rPr>
          <w:sz w:val="22"/>
        </w:rPr>
        <w:t>projects</w:t>
      </w:r>
      <w:r>
        <w:rPr>
          <w:spacing w:val="-6"/>
          <w:sz w:val="22"/>
        </w:rPr>
        <w:t> </w:t>
      </w:r>
      <w:r>
        <w:rPr>
          <w:sz w:val="22"/>
        </w:rPr>
        <w:t>for</w:t>
      </w:r>
      <w:r>
        <w:rPr>
          <w:spacing w:val="-6"/>
          <w:sz w:val="22"/>
        </w:rPr>
        <w:t> </w:t>
      </w:r>
      <w:r>
        <w:rPr>
          <w:sz w:val="22"/>
        </w:rPr>
        <w:t>which</w:t>
      </w:r>
      <w:r>
        <w:rPr>
          <w:spacing w:val="-5"/>
          <w:sz w:val="22"/>
        </w:rPr>
        <w:t> </w:t>
      </w:r>
      <w:r>
        <w:rPr>
          <w:sz w:val="22"/>
        </w:rPr>
        <w:t>IQVIA</w:t>
      </w:r>
      <w:r>
        <w:rPr>
          <w:spacing w:val="-8"/>
          <w:sz w:val="22"/>
        </w:rPr>
        <w:t> </w:t>
      </w:r>
      <w:r>
        <w:rPr>
          <w:sz w:val="22"/>
        </w:rPr>
        <w:t>Biostatistics</w:t>
      </w:r>
      <w:r>
        <w:rPr>
          <w:spacing w:val="-6"/>
          <w:sz w:val="22"/>
        </w:rPr>
        <w:t> </w:t>
      </w:r>
      <w:r>
        <w:rPr>
          <w:sz w:val="22"/>
        </w:rPr>
        <w:t>sends</w:t>
      </w:r>
      <w:r>
        <w:rPr>
          <w:spacing w:val="-6"/>
          <w:sz w:val="22"/>
        </w:rPr>
        <w:t> </w:t>
      </w:r>
      <w:r>
        <w:rPr>
          <w:sz w:val="22"/>
        </w:rPr>
        <w:t>or</w:t>
      </w:r>
      <w:r>
        <w:rPr>
          <w:spacing w:val="-6"/>
          <w:sz w:val="22"/>
        </w:rPr>
        <w:t> </w:t>
      </w:r>
      <w:r>
        <w:rPr>
          <w:sz w:val="22"/>
        </w:rPr>
        <w:t>receives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data.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3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0"/>
        <w:jc w:val="left"/>
      </w:pPr>
      <w:r>
        <w:rPr/>
        <w:t>ROLES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60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14"/>
        </w:rPr>
        <w:t> </w:t>
      </w:r>
      <w:r>
        <w:rPr>
          <w:spacing w:val="-5"/>
        </w:rPr>
        <w:t>WI:</w:t>
      </w:r>
    </w:p>
    <w:p>
      <w:pPr>
        <w:pStyle w:val="BodyText"/>
        <w:spacing w:before="1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5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(STL)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Programming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(PTL)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6.1, 6.2,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Member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(BPTM)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Reviewer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(QC)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6.2,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5"/>
                <w:sz w:val="22"/>
              </w:rPr>
              <w:t>6.3</w:t>
            </w:r>
          </w:p>
        </w:tc>
      </w:tr>
    </w:tbl>
    <w:p>
      <w:pPr>
        <w:pStyle w:val="BodyText"/>
        <w:spacing w:before="4"/>
        <w:rPr>
          <w:sz w:val="32"/>
        </w:rPr>
      </w:pPr>
    </w:p>
    <w:p>
      <w:pPr>
        <w:pStyle w:val="BodyText"/>
        <w:ind w:left="1260" w:right="1019"/>
      </w:pPr>
      <w:r>
        <w:rPr/>
        <w:t>The</w:t>
      </w:r>
      <w:r>
        <w:rPr>
          <w:spacing w:val="-5"/>
        </w:rPr>
        <w:t> </w:t>
      </w:r>
      <w:r>
        <w:rPr/>
        <w:t>QC</w:t>
      </w:r>
      <w:r>
        <w:rPr>
          <w:spacing w:val="-2"/>
        </w:rPr>
        <w:t> </w:t>
      </w:r>
      <w:r>
        <w:rPr/>
        <w:t>role</w:t>
      </w:r>
      <w:r>
        <w:rPr>
          <w:spacing w:val="-3"/>
        </w:rPr>
        <w:t> </w:t>
      </w:r>
      <w:r>
        <w:rPr/>
        <w:t>can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any</w:t>
      </w:r>
      <w:r>
        <w:rPr>
          <w:spacing w:val="-3"/>
        </w:rPr>
        <w:t> </w:t>
      </w:r>
      <w:r>
        <w:rPr/>
        <w:t>appropriate reviewer</w:t>
      </w:r>
      <w:r>
        <w:rPr>
          <w:spacing w:val="-4"/>
        </w:rPr>
        <w:t> </w:t>
      </w:r>
      <w:r>
        <w:rPr/>
        <w:t>(statistician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programmer)</w:t>
      </w:r>
      <w:r>
        <w:rPr>
          <w:spacing w:val="-4"/>
        </w:rPr>
        <w:t> </w:t>
      </w:r>
      <w:r>
        <w:rPr/>
        <w:t>who</w:t>
      </w:r>
      <w:r>
        <w:rPr>
          <w:spacing w:val="-4"/>
        </w:rPr>
        <w:t> </w:t>
      </w:r>
      <w:r>
        <w:rPr/>
        <w:t>has</w:t>
      </w:r>
      <w:r>
        <w:rPr>
          <w:spacing w:val="-4"/>
        </w:rPr>
        <w:t> </w:t>
      </w:r>
      <w:r>
        <w:rPr/>
        <w:t>the necessary QC knowledge.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3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bookmarkStart w:name="DEFINITIONS" w:id="2"/>
      <w:bookmarkEnd w:id="2"/>
      <w:r>
        <w:rPr>
          <w:spacing w:val="-2"/>
        </w:rPr>
        <w:t>DEFINITIONS</w:t>
      </w:r>
    </w:p>
    <w:p>
      <w:pPr>
        <w:pStyle w:val="BodyText"/>
        <w:spacing w:before="127"/>
        <w:ind w:left="1259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1"/>
        <w:rPr>
          <w:sz w:val="20"/>
        </w:rPr>
      </w:pPr>
    </w:p>
    <w:p>
      <w:pPr>
        <w:pStyle w:val="Heading1"/>
        <w:numPr>
          <w:ilvl w:val="0"/>
          <w:numId w:val="3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bookmarkStart w:name="MATERIAL AND EQUIPMENT" w:id="3"/>
      <w:bookmarkEnd w:id="3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7"/>
        <w:ind w:left="1259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1"/>
        <w:rPr>
          <w:sz w:val="20"/>
        </w:rPr>
      </w:pPr>
    </w:p>
    <w:p>
      <w:pPr>
        <w:pStyle w:val="Heading1"/>
        <w:numPr>
          <w:ilvl w:val="0"/>
          <w:numId w:val="3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1"/>
        <w:jc w:val="left"/>
      </w:pPr>
      <w:bookmarkStart w:name="PROCEDURE" w:id="4"/>
      <w:bookmarkEnd w:id="4"/>
      <w:r>
        <w:rPr>
          <w:spacing w:val="-2"/>
        </w:rPr>
        <w:t>PROCEDURE</w:t>
      </w:r>
    </w:p>
    <w:p>
      <w:pPr>
        <w:pStyle w:val="BodyText"/>
        <w:spacing w:before="6"/>
        <w:ind w:left="1259"/>
      </w:pPr>
      <w:r>
        <w:rPr/>
        <w:t>This</w:t>
      </w:r>
      <w:r>
        <w:rPr>
          <w:spacing w:val="-4"/>
        </w:rPr>
        <w:t> </w:t>
      </w:r>
      <w:r>
        <w:rPr/>
        <w:t>work</w:t>
      </w:r>
      <w:r>
        <w:rPr>
          <w:spacing w:val="-5"/>
        </w:rPr>
        <w:t> </w:t>
      </w:r>
      <w:r>
        <w:rPr/>
        <w:t>instruction</w:t>
      </w:r>
      <w:r>
        <w:rPr>
          <w:spacing w:val="-6"/>
        </w:rPr>
        <w:t> </w:t>
      </w:r>
      <w:r>
        <w:rPr/>
        <w:t>summarizes</w:t>
      </w:r>
      <w:r>
        <w:rPr>
          <w:spacing w:val="-5"/>
        </w:rPr>
        <w:t> </w:t>
      </w:r>
      <w:r>
        <w:rPr/>
        <w:t>the</w:t>
      </w:r>
      <w:r>
        <w:rPr>
          <w:spacing w:val="-6"/>
        </w:rPr>
        <w:t> </w:t>
      </w:r>
      <w:r>
        <w:rPr/>
        <w:t>following</w:t>
      </w:r>
      <w:r>
        <w:rPr>
          <w:spacing w:val="-5"/>
        </w:rPr>
        <w:t> </w:t>
      </w:r>
      <w:r>
        <w:rPr/>
        <w:t>types</w:t>
      </w:r>
      <w:r>
        <w:rPr>
          <w:spacing w:val="-6"/>
        </w:rPr>
        <w:t> </w:t>
      </w:r>
      <w:r>
        <w:rPr/>
        <w:t>of</w:t>
      </w:r>
      <w:r>
        <w:rPr>
          <w:spacing w:val="-5"/>
        </w:rPr>
        <w:t> </w:t>
      </w:r>
      <w:r>
        <w:rPr/>
        <w:t>data</w:t>
      </w:r>
      <w:r>
        <w:rPr>
          <w:spacing w:val="-5"/>
        </w:rPr>
        <w:t> </w:t>
      </w:r>
      <w:r>
        <w:rPr>
          <w:spacing w:val="-2"/>
        </w:rPr>
        <w:t>transfers:</w:t>
      </w:r>
    </w:p>
    <w:p>
      <w:pPr>
        <w:pStyle w:val="ListParagraph"/>
        <w:numPr>
          <w:ilvl w:val="0"/>
          <w:numId w:val="4"/>
        </w:numPr>
        <w:tabs>
          <w:tab w:pos="1979" w:val="left" w:leader="none"/>
          <w:tab w:pos="1980" w:val="left" w:leader="none"/>
        </w:tabs>
        <w:spacing w:line="269" w:lineRule="exact" w:before="1" w:after="0"/>
        <w:ind w:left="1980" w:right="0" w:hanging="361"/>
        <w:jc w:val="left"/>
        <w:rPr>
          <w:sz w:val="22"/>
        </w:rPr>
      </w:pPr>
      <w:r>
        <w:rPr>
          <w:sz w:val="22"/>
        </w:rPr>
        <w:t>Transfers</w:t>
      </w:r>
      <w:r>
        <w:rPr>
          <w:spacing w:val="-6"/>
          <w:sz w:val="22"/>
        </w:rPr>
        <w:t> </w:t>
      </w:r>
      <w:r>
        <w:rPr>
          <w:sz w:val="22"/>
        </w:rPr>
        <w:t>received</w:t>
      </w:r>
      <w:r>
        <w:rPr>
          <w:spacing w:val="-6"/>
          <w:sz w:val="22"/>
        </w:rPr>
        <w:t> </w:t>
      </w:r>
      <w:r>
        <w:rPr>
          <w:sz w:val="22"/>
        </w:rPr>
        <w:t>by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Biostatistics</w:t>
      </w:r>
    </w:p>
    <w:p>
      <w:pPr>
        <w:pStyle w:val="ListParagraph"/>
        <w:numPr>
          <w:ilvl w:val="1"/>
          <w:numId w:val="4"/>
        </w:numPr>
        <w:tabs>
          <w:tab w:pos="2249" w:val="left" w:leader="none"/>
        </w:tabs>
        <w:spacing w:line="261" w:lineRule="exact" w:before="0" w:after="0"/>
        <w:ind w:left="2248" w:right="0" w:hanging="270"/>
        <w:jc w:val="left"/>
        <w:rPr>
          <w:sz w:val="22"/>
        </w:rPr>
      </w:pPr>
      <w:r>
        <w:rPr>
          <w:sz w:val="22"/>
        </w:rPr>
        <w:t>from</w:t>
      </w:r>
      <w:r>
        <w:rPr>
          <w:spacing w:val="-6"/>
          <w:sz w:val="22"/>
        </w:rPr>
        <w:t> </w:t>
      </w:r>
      <w:r>
        <w:rPr>
          <w:sz w:val="22"/>
        </w:rPr>
        <w:t>IQVIA</w:t>
      </w:r>
      <w:r>
        <w:rPr>
          <w:spacing w:val="-6"/>
          <w:sz w:val="22"/>
        </w:rPr>
        <w:t> </w:t>
      </w:r>
      <w:r>
        <w:rPr>
          <w:sz w:val="22"/>
        </w:rPr>
        <w:t>Data</w:t>
      </w:r>
      <w:r>
        <w:rPr>
          <w:spacing w:val="-6"/>
          <w:sz w:val="22"/>
        </w:rPr>
        <w:t> </w:t>
      </w:r>
      <w:r>
        <w:rPr>
          <w:sz w:val="22"/>
        </w:rPr>
        <w:t>Management</w:t>
      </w:r>
      <w:r>
        <w:rPr>
          <w:spacing w:val="-5"/>
          <w:sz w:val="22"/>
        </w:rPr>
        <w:t> </w:t>
      </w:r>
      <w:r>
        <w:rPr>
          <w:spacing w:val="-4"/>
          <w:sz w:val="22"/>
        </w:rPr>
        <w:t>(DM)</w:t>
      </w:r>
    </w:p>
    <w:p>
      <w:pPr>
        <w:pStyle w:val="ListParagraph"/>
        <w:numPr>
          <w:ilvl w:val="1"/>
          <w:numId w:val="4"/>
        </w:numPr>
        <w:tabs>
          <w:tab w:pos="2249" w:val="left" w:leader="none"/>
        </w:tabs>
        <w:spacing w:line="252" w:lineRule="exact" w:before="0" w:after="0"/>
        <w:ind w:left="2248" w:right="0" w:hanging="270"/>
        <w:jc w:val="left"/>
        <w:rPr>
          <w:sz w:val="22"/>
        </w:rPr>
      </w:pPr>
      <w:r>
        <w:rPr>
          <w:sz w:val="22"/>
        </w:rPr>
        <w:t>from</w:t>
      </w:r>
      <w:r>
        <w:rPr>
          <w:spacing w:val="-6"/>
          <w:sz w:val="22"/>
        </w:rPr>
        <w:t> </w:t>
      </w:r>
      <w:r>
        <w:rPr>
          <w:sz w:val="22"/>
        </w:rPr>
        <w:t>an</w:t>
      </w:r>
      <w:r>
        <w:rPr>
          <w:spacing w:val="-6"/>
          <w:sz w:val="22"/>
        </w:rPr>
        <w:t> </w:t>
      </w:r>
      <w:r>
        <w:rPr>
          <w:sz w:val="22"/>
        </w:rPr>
        <w:t>external/internal</w:t>
      </w:r>
      <w:r>
        <w:rPr>
          <w:spacing w:val="-6"/>
          <w:sz w:val="22"/>
        </w:rPr>
        <w:t> </w:t>
      </w:r>
      <w:r>
        <w:rPr>
          <w:sz w:val="22"/>
        </w:rPr>
        <w:t>vendor,</w:t>
      </w:r>
      <w:r>
        <w:rPr>
          <w:spacing w:val="-6"/>
          <w:sz w:val="22"/>
        </w:rPr>
        <w:t> </w:t>
      </w:r>
      <w:r>
        <w:rPr>
          <w:sz w:val="22"/>
        </w:rPr>
        <w:t>customer,</w:t>
      </w:r>
      <w:r>
        <w:rPr>
          <w:spacing w:val="-6"/>
          <w:sz w:val="22"/>
        </w:rPr>
        <w:t> </w:t>
      </w:r>
      <w:r>
        <w:rPr>
          <w:sz w:val="22"/>
        </w:rPr>
        <w:t>or</w:t>
      </w:r>
      <w:r>
        <w:rPr>
          <w:spacing w:val="-6"/>
          <w:sz w:val="22"/>
        </w:rPr>
        <w:t> </w:t>
      </w:r>
      <w:r>
        <w:rPr>
          <w:sz w:val="22"/>
        </w:rPr>
        <w:t>other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sources</w:t>
      </w:r>
    </w:p>
    <w:p>
      <w:pPr>
        <w:pStyle w:val="ListParagraph"/>
        <w:numPr>
          <w:ilvl w:val="0"/>
          <w:numId w:val="4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79" w:right="1216" w:hanging="360"/>
        <w:jc w:val="left"/>
        <w:rPr>
          <w:sz w:val="22"/>
        </w:rPr>
      </w:pPr>
      <w:r>
        <w:rPr>
          <w:sz w:val="22"/>
        </w:rPr>
        <w:t>Transfers</w:t>
      </w:r>
      <w:r>
        <w:rPr>
          <w:spacing w:val="-3"/>
          <w:sz w:val="22"/>
        </w:rPr>
        <w:t> </w:t>
      </w:r>
      <w:r>
        <w:rPr>
          <w:sz w:val="22"/>
        </w:rPr>
        <w:t>sent</w:t>
      </w:r>
      <w:r>
        <w:rPr>
          <w:spacing w:val="-4"/>
          <w:sz w:val="22"/>
        </w:rPr>
        <w:t> </w:t>
      </w:r>
      <w:r>
        <w:rPr>
          <w:sz w:val="22"/>
        </w:rPr>
        <w:t>by</w:t>
      </w:r>
      <w:r>
        <w:rPr>
          <w:spacing w:val="-4"/>
          <w:sz w:val="22"/>
        </w:rPr>
        <w:t> </w:t>
      </w:r>
      <w:r>
        <w:rPr>
          <w:sz w:val="22"/>
        </w:rPr>
        <w:t>Biostatistics</w:t>
      </w:r>
      <w:r>
        <w:rPr>
          <w:spacing w:val="-7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an</w:t>
      </w:r>
      <w:r>
        <w:rPr>
          <w:spacing w:val="-4"/>
          <w:sz w:val="22"/>
        </w:rPr>
        <w:t> </w:t>
      </w:r>
      <w:r>
        <w:rPr>
          <w:sz w:val="22"/>
        </w:rPr>
        <w:t>external/internal</w:t>
      </w:r>
      <w:r>
        <w:rPr>
          <w:spacing w:val="-4"/>
          <w:sz w:val="22"/>
        </w:rPr>
        <w:t> </w:t>
      </w:r>
      <w:r>
        <w:rPr>
          <w:sz w:val="22"/>
        </w:rPr>
        <w:t>vendor,</w:t>
      </w:r>
      <w:r>
        <w:rPr>
          <w:spacing w:val="-4"/>
          <w:sz w:val="22"/>
        </w:rPr>
        <w:t> </w:t>
      </w:r>
      <w:r>
        <w:rPr>
          <w:sz w:val="22"/>
        </w:rPr>
        <w:t>customer,</w:t>
      </w:r>
      <w:r>
        <w:rPr>
          <w:spacing w:val="-4"/>
          <w:sz w:val="22"/>
        </w:rPr>
        <w:t> </w:t>
      </w:r>
      <w:r>
        <w:rPr>
          <w:sz w:val="22"/>
        </w:rPr>
        <w:t>or</w:t>
      </w:r>
      <w:r>
        <w:rPr>
          <w:spacing w:val="-4"/>
          <w:sz w:val="22"/>
        </w:rPr>
        <w:t> </w:t>
      </w:r>
      <w:r>
        <w:rPr>
          <w:sz w:val="22"/>
        </w:rPr>
        <w:t>other </w:t>
      </w:r>
      <w:r>
        <w:rPr>
          <w:spacing w:val="-2"/>
          <w:sz w:val="22"/>
        </w:rPr>
        <w:t>recipient</w:t>
      </w:r>
    </w:p>
    <w:p>
      <w:pPr>
        <w:pStyle w:val="BodyText"/>
        <w:spacing w:before="6"/>
        <w:rPr>
          <w:sz w:val="20"/>
        </w:rPr>
      </w:pPr>
    </w:p>
    <w:p>
      <w:pPr>
        <w:pStyle w:val="BodyText"/>
        <w:spacing w:line="244" w:lineRule="auto" w:before="1"/>
        <w:ind w:left="1250" w:right="1019" w:hanging="711"/>
      </w:pPr>
      <w:r>
        <w:rPr>
          <w:b/>
        </w:rPr>
        <w:t>Note: </w:t>
      </w:r>
      <w:r>
        <w:rPr/>
        <w:t>if</w:t>
      </w:r>
      <w:r>
        <w:rPr>
          <w:spacing w:val="-3"/>
        </w:rPr>
        <w:t> </w:t>
      </w:r>
      <w:r>
        <w:rPr/>
        <w:t>no</w:t>
      </w:r>
      <w:r>
        <w:rPr>
          <w:spacing w:val="-3"/>
        </w:rPr>
        <w:t> </w:t>
      </w:r>
      <w:r>
        <w:rPr/>
        <w:t>test</w:t>
      </w:r>
      <w:r>
        <w:rPr>
          <w:spacing w:val="-3"/>
        </w:rPr>
        <w:t> </w:t>
      </w:r>
      <w:r>
        <w:rPr/>
        <w:t>transfer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received</w:t>
      </w:r>
      <w:r>
        <w:rPr>
          <w:spacing w:val="-3"/>
        </w:rPr>
        <w:t> </w:t>
      </w:r>
      <w:r>
        <w:rPr/>
        <w:t>then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first</w:t>
      </w:r>
      <w:r>
        <w:rPr>
          <w:spacing w:val="-3"/>
        </w:rPr>
        <w:t> </w:t>
      </w:r>
      <w:r>
        <w:rPr/>
        <w:t>production</w:t>
      </w:r>
      <w:r>
        <w:rPr>
          <w:spacing w:val="-3"/>
        </w:rPr>
        <w:t> </w:t>
      </w:r>
      <w:r>
        <w:rPr/>
        <w:t>transfer</w:t>
      </w:r>
      <w:r>
        <w:rPr>
          <w:spacing w:val="-3"/>
        </w:rPr>
        <w:t> </w:t>
      </w:r>
      <w:r>
        <w:rPr/>
        <w:t>should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treated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test </w:t>
      </w:r>
      <w:bookmarkStart w:name="Handling Data Transfers Received from IQ" w:id="5"/>
      <w:bookmarkEnd w:id="5"/>
      <w:r>
        <w:rPr/>
        <w:t>transfer</w:t>
      </w:r>
      <w:r>
        <w:rPr/>
        <w:t> for the purposes of the requirements to be met prior to the test transfer.</w:t>
      </w:r>
    </w:p>
    <w:p>
      <w:pPr>
        <w:pStyle w:val="BodyText"/>
        <w:spacing w:before="2"/>
        <w:rPr>
          <w:sz w:val="20"/>
        </w:rPr>
      </w:pPr>
    </w:p>
    <w:p>
      <w:pPr>
        <w:pStyle w:val="Heading2"/>
        <w:numPr>
          <w:ilvl w:val="1"/>
          <w:numId w:val="5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</w:pPr>
      <w:r>
        <w:rPr/>
        <w:t>Handling</w:t>
      </w:r>
      <w:r>
        <w:rPr>
          <w:spacing w:val="-6"/>
        </w:rPr>
        <w:t> </w:t>
      </w:r>
      <w:r>
        <w:rPr/>
        <w:t>Data</w:t>
      </w:r>
      <w:r>
        <w:rPr>
          <w:spacing w:val="-6"/>
        </w:rPr>
        <w:t> </w:t>
      </w:r>
      <w:r>
        <w:rPr/>
        <w:t>Transfers</w:t>
      </w:r>
      <w:r>
        <w:rPr>
          <w:spacing w:val="-5"/>
        </w:rPr>
        <w:t> </w:t>
      </w:r>
      <w:r>
        <w:rPr/>
        <w:t>Received</w:t>
      </w:r>
      <w:r>
        <w:rPr>
          <w:spacing w:val="-4"/>
        </w:rPr>
        <w:t> </w:t>
      </w:r>
      <w:r>
        <w:rPr/>
        <w:t>from</w:t>
      </w:r>
      <w:r>
        <w:rPr>
          <w:spacing w:val="-6"/>
        </w:rPr>
        <w:t> </w:t>
      </w:r>
      <w:r>
        <w:rPr/>
        <w:t>IQVIA</w:t>
      </w:r>
      <w:r>
        <w:rPr>
          <w:spacing w:val="-15"/>
        </w:rPr>
        <w:t> </w:t>
      </w:r>
      <w:r>
        <w:rPr/>
        <w:t>Data</w:t>
      </w:r>
      <w:r>
        <w:rPr>
          <w:spacing w:val="-4"/>
        </w:rPr>
        <w:t> </w:t>
      </w:r>
      <w:r>
        <w:rPr>
          <w:spacing w:val="-2"/>
        </w:rPr>
        <w:t>Management</w:t>
      </w:r>
    </w:p>
    <w:p>
      <w:pPr>
        <w:pStyle w:val="BodyText"/>
        <w:spacing w:before="122"/>
        <w:ind w:left="1260" w:right="1019"/>
      </w:pPr>
      <w:r>
        <w:rPr/>
        <w:t>This section describes the process related to data transfers provided to Biostatistics through</w:t>
      </w:r>
      <w:r>
        <w:rPr>
          <w:spacing w:val="-3"/>
        </w:rPr>
        <w:t> </w:t>
      </w:r>
      <w:r>
        <w:rPr/>
        <w:t>IQVIA</w:t>
      </w:r>
      <w:r>
        <w:rPr>
          <w:spacing w:val="-3"/>
        </w:rPr>
        <w:t> </w:t>
      </w:r>
      <w:r>
        <w:rPr/>
        <w:t>DM,</w:t>
      </w:r>
      <w:r>
        <w:rPr>
          <w:spacing w:val="-3"/>
        </w:rPr>
        <w:t> </w:t>
      </w:r>
      <w:r>
        <w:rPr/>
        <w:t>including</w:t>
      </w:r>
      <w:r>
        <w:rPr>
          <w:spacing w:val="-3"/>
        </w:rPr>
        <w:t> </w:t>
      </w:r>
      <w:r>
        <w:rPr/>
        <w:t>data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originated</w:t>
      </w:r>
      <w:r>
        <w:rPr>
          <w:spacing w:val="-3"/>
        </w:rPr>
        <w:t> </w:t>
      </w:r>
      <w:r>
        <w:rPr/>
        <w:t>from</w:t>
      </w:r>
      <w:r>
        <w:rPr>
          <w:spacing w:val="-2"/>
        </w:rPr>
        <w:t> </w:t>
      </w:r>
      <w:r>
        <w:rPr/>
        <w:t>an</w:t>
      </w:r>
      <w:r>
        <w:rPr>
          <w:spacing w:val="-3"/>
        </w:rPr>
        <w:t> </w:t>
      </w:r>
      <w:r>
        <w:rPr/>
        <w:t>external</w:t>
      </w:r>
      <w:r>
        <w:rPr>
          <w:spacing w:val="-3"/>
        </w:rPr>
        <w:t> </w:t>
      </w:r>
      <w:r>
        <w:rPr/>
        <w:t>vendor</w:t>
      </w:r>
      <w:r>
        <w:rPr>
          <w:spacing w:val="-6"/>
        </w:rPr>
        <w:t> </w:t>
      </w:r>
      <w:r>
        <w:rPr/>
        <w:t>or</w:t>
      </w:r>
      <w:r>
        <w:rPr>
          <w:spacing w:val="-2"/>
        </w:rPr>
        <w:t> </w:t>
      </w:r>
      <w:r>
        <w:rPr/>
        <w:t>other</w:t>
      </w:r>
      <w:r>
        <w:rPr>
          <w:spacing w:val="-2"/>
        </w:rPr>
        <w:t> </w:t>
      </w:r>
      <w:r>
        <w:rPr/>
        <w:t>IQVIA function and is processed through IQVIA DM.</w:t>
      </w:r>
    </w:p>
    <w:p>
      <w:pPr>
        <w:spacing w:after="0"/>
        <w:sectPr>
          <w:footerReference w:type="default" r:id="rId5"/>
          <w:type w:val="continuous"/>
          <w:pgSz w:w="12240" w:h="15840"/>
          <w:pgMar w:footer="1084" w:header="0" w:top="700" w:bottom="1280" w:left="900" w:right="400"/>
          <w:pgNumType w:start="1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2" w:after="1"/>
        <w:rPr>
          <w:sz w:val="24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06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ind w:right="144"/>
              <w:rPr>
                <w:sz w:val="20"/>
              </w:rPr>
            </w:pPr>
            <w:r>
              <w:rPr>
                <w:sz w:val="20"/>
              </w:rPr>
              <w:t>Reviews and authorizes the IQVIA DM-generated Data Transfer Guidelines (DTG) and reviews the IQVIA DM-generated Data Transfer Specifications or equivalent (if available) along with the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test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accordance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Authorization of Data Management Plan Documents (CS_WI_BS008) and Data Transfer (CS_WI_DM0412). The annotated case report form (CRF) (e.g., Annotated Study Book, Annotated Trial Design) and/or Non-</w:t>
            </w:r>
          </w:p>
          <w:p>
            <w:pPr>
              <w:pStyle w:val="TableParagraph"/>
              <w:spacing w:line="226" w:lineRule="exact"/>
              <w:rPr>
                <w:sz w:val="20"/>
              </w:rPr>
            </w:pPr>
            <w:r>
              <w:rPr>
                <w:sz w:val="20"/>
              </w:rPr>
              <w:t>CRF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Guidelines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also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utilized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facilitate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test transfer review.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Upon receipt of </w:t>
            </w:r>
            <w:r>
              <w:rPr>
                <w:spacing w:val="-2"/>
                <w:sz w:val="20"/>
              </w:rPr>
              <w:t>guidelines/ </w:t>
            </w:r>
            <w:r>
              <w:rPr>
                <w:sz w:val="20"/>
              </w:rPr>
              <w:t>specifications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for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138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ind w:right="159"/>
              <w:rPr>
                <w:sz w:val="20"/>
              </w:rPr>
            </w:pPr>
            <w:r>
              <w:rPr>
                <w:sz w:val="20"/>
              </w:rPr>
              <w:t>Stores data in the \Data folder within the Biostatistics Directory Structure, under the sub folder: \CDM_Data or one of the other relevant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sub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folders.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Limited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members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given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write-access to this area of the project directory to prevent unintended </w:t>
            </w:r>
            <w:r>
              <w:rPr>
                <w:spacing w:val="-2"/>
                <w:sz w:val="20"/>
              </w:rPr>
              <w:t>modification.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42"/>
              <w:ind w:right="141"/>
              <w:jc w:val="both"/>
              <w:rPr>
                <w:sz w:val="20"/>
              </w:rPr>
            </w:pPr>
            <w:r>
              <w:rPr>
                <w:sz w:val="20"/>
              </w:rPr>
              <w:t>Upon receipt of a data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from IQVIA DM</w:t>
            </w:r>
          </w:p>
        </w:tc>
      </w:tr>
      <w:tr>
        <w:trPr>
          <w:trHeight w:val="555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ind w:right="159"/>
              <w:rPr>
                <w:sz w:val="20"/>
              </w:rPr>
            </w:pPr>
            <w:r>
              <w:rPr>
                <w:sz w:val="20"/>
              </w:rPr>
              <w:t>Reviews the test transfer to verify completeness according to Approaches to QC (CS_WI_BS015) and Approaches to QC: Appendix B - QC of Annotated Case Report Form (CRF)/File Creation Specifications (RAW)/Dataset Test Transfer (CS_OD_BS0230), cross-checking a summary of the content and associated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metadata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associated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documentation.</w:t>
            </w:r>
          </w:p>
          <w:p>
            <w:pPr>
              <w:pStyle w:val="TableParagraph"/>
              <w:spacing w:before="9"/>
              <w:ind w:left="0"/>
              <w:rPr>
                <w:sz w:val="19"/>
              </w:rPr>
            </w:pP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subsequent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transfers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verifying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 Biostatistics validated tool (e.g. DLEC):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40" w:lineRule="auto" w:before="2" w:after="0"/>
              <w:ind w:left="469" w:right="493" w:hanging="360"/>
              <w:jc w:val="left"/>
              <w:rPr>
                <w:sz w:val="20"/>
              </w:rPr>
            </w:pPr>
            <w:r>
              <w:rPr>
                <w:sz w:val="20"/>
              </w:rPr>
              <w:t>Completeness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transfer,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e.g.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expected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 </w:t>
            </w:r>
            <w:r>
              <w:rPr>
                <w:spacing w:val="-2"/>
                <w:sz w:val="20"/>
              </w:rPr>
              <w:t>included.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234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observations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increased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stayed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same in the new transfer.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646" w:hanging="360"/>
              <w:jc w:val="left"/>
              <w:rPr>
                <w:sz w:val="20"/>
              </w:rPr>
            </w:pPr>
            <w:r>
              <w:rPr>
                <w:sz w:val="20"/>
              </w:rPr>
              <w:t>Any changes in variable/data formats e.g. character values/variables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changed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numeric.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variables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contain completely different values, etc.</w:t>
            </w:r>
          </w:p>
          <w:p>
            <w:pPr>
              <w:pStyle w:val="TableParagraph"/>
              <w:spacing w:before="2"/>
              <w:ind w:left="0"/>
              <w:rPr>
                <w:sz w:val="19"/>
              </w:rPr>
            </w:pPr>
          </w:p>
          <w:p>
            <w:pPr>
              <w:pStyle w:val="TableParagraph"/>
              <w:spacing w:line="244" w:lineRule="auto"/>
              <w:ind w:right="159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above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exhaustive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tailored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 study specific needs and documented as such in the DTG.</w:t>
            </w:r>
          </w:p>
          <w:p>
            <w:pPr>
              <w:pStyle w:val="TableParagraph"/>
              <w:spacing w:before="3"/>
              <w:ind w:left="0"/>
              <w:rPr>
                <w:sz w:val="19"/>
              </w:rPr>
            </w:pPr>
          </w:p>
          <w:p>
            <w:pPr>
              <w:pStyle w:val="TableParagraph"/>
              <w:spacing w:line="244" w:lineRule="auto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If the transfer is for an interim analysis, it is recommended to compare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3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Interim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Database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Lock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Plan</w:t>
            </w:r>
          </w:p>
          <w:p>
            <w:pPr>
              <w:pStyle w:val="TableParagraph"/>
              <w:spacing w:line="226" w:lineRule="exact"/>
              <w:rPr>
                <w:sz w:val="20"/>
              </w:rPr>
            </w:pPr>
            <w:r>
              <w:rPr>
                <w:sz w:val="20"/>
              </w:rPr>
              <w:t>(CS_TP_DM0286)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accuracy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completeness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transfer.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694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469" w:val="left" w:leader="none"/>
                <w:tab w:pos="470" w:val="left" w:leader="none"/>
              </w:tabs>
              <w:spacing w:line="240" w:lineRule="auto" w:before="0" w:after="0"/>
              <w:ind w:left="469" w:right="199" w:hanging="360"/>
              <w:jc w:val="left"/>
              <w:rPr>
                <w:sz w:val="20"/>
              </w:rPr>
            </w:pPr>
            <w:r>
              <w:rPr>
                <w:sz w:val="20"/>
              </w:rPr>
              <w:t>Confirms receipt of the data transfer via email. This message should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indicate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acceptance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rejection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following the approach described in Section 6.1.3.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469" w:val="left" w:leader="none"/>
                <w:tab w:pos="470" w:val="left" w:leader="none"/>
              </w:tabs>
              <w:spacing w:line="240" w:lineRule="auto" w:before="1" w:after="0"/>
              <w:ind w:left="469" w:right="124" w:hanging="360"/>
              <w:jc w:val="left"/>
              <w:rPr>
                <w:sz w:val="20"/>
              </w:rPr>
            </w:pPr>
            <w:r>
              <w:rPr>
                <w:sz w:val="20"/>
              </w:rPr>
              <w:t>Tracks acceptance/ rejection of the data transfer using the purpose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built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tab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latest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(CS_TP_BS014).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right="125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 data transfer (applicable to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both test and </w:t>
            </w:r>
            <w:r>
              <w:rPr>
                <w:spacing w:val="-2"/>
                <w:sz w:val="20"/>
              </w:rPr>
              <w:t>subsequent/ production transfers)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1059" w:top="2520" w:bottom="1240" w:left="900" w:right="40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38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Records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communicates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by using the Data Issues Log (CS_TP_BS014).</w:t>
            </w:r>
          </w:p>
          <w:p>
            <w:pPr>
              <w:pStyle w:val="TableParagraph"/>
              <w:spacing w:before="7"/>
              <w:ind w:left="0"/>
              <w:rPr>
                <w:sz w:val="19"/>
              </w:rPr>
            </w:pPr>
          </w:p>
          <w:p>
            <w:pPr>
              <w:pStyle w:val="TableParagraph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single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(CS_TP_BS014)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5"/>
                <w:sz w:val="20"/>
              </w:rPr>
              <w:t> for</w:t>
            </w:r>
          </w:p>
          <w:p>
            <w:pPr>
              <w:pStyle w:val="TableParagraph"/>
              <w:spacing w:line="230" w:lineRule="atLeast"/>
              <w:ind w:right="159"/>
              <w:rPr>
                <w:sz w:val="20"/>
              </w:rPr>
            </w:pPr>
            <w:r>
              <w:rPr>
                <w:sz w:val="20"/>
              </w:rPr>
              <w:t>communication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resolution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throughout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life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 the study.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issues are identified throughout the </w:t>
            </w:r>
            <w:r>
              <w:rPr>
                <w:spacing w:val="-2"/>
                <w:sz w:val="20"/>
              </w:rPr>
              <w:t>study</w:t>
            </w: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Heading2"/>
        <w:numPr>
          <w:ilvl w:val="1"/>
          <w:numId w:val="5"/>
        </w:numPr>
        <w:tabs>
          <w:tab w:pos="1979" w:val="left" w:leader="none"/>
          <w:tab w:pos="1980" w:val="left" w:leader="none"/>
        </w:tabs>
        <w:spacing w:line="240" w:lineRule="auto" w:before="93" w:after="0"/>
        <w:ind w:left="1979" w:right="1854" w:hanging="720"/>
        <w:jc w:val="left"/>
      </w:pPr>
      <w:bookmarkStart w:name="Handling Data Transfers Received from an" w:id="6"/>
      <w:bookmarkEnd w:id="6"/>
      <w:r>
        <w:rPr/>
        <w:t>Handlin</w:t>
      </w:r>
      <w:r>
        <w:rPr/>
        <w:t>g</w:t>
      </w:r>
      <w:r>
        <w:rPr>
          <w:spacing w:val="-5"/>
        </w:rPr>
        <w:t> </w:t>
      </w:r>
      <w:r>
        <w:rPr/>
        <w:t>Data</w:t>
      </w:r>
      <w:r>
        <w:rPr>
          <w:spacing w:val="-4"/>
        </w:rPr>
        <w:t> </w:t>
      </w:r>
      <w:r>
        <w:rPr/>
        <w:t>Transfers</w:t>
      </w:r>
      <w:r>
        <w:rPr>
          <w:spacing w:val="-5"/>
        </w:rPr>
        <w:t> </w:t>
      </w:r>
      <w:r>
        <w:rPr/>
        <w:t>Received</w:t>
      </w:r>
      <w:r>
        <w:rPr>
          <w:spacing w:val="-6"/>
        </w:rPr>
        <w:t> </w:t>
      </w:r>
      <w:r>
        <w:rPr/>
        <w:t>from</w:t>
      </w:r>
      <w:r>
        <w:rPr>
          <w:spacing w:val="-6"/>
        </w:rPr>
        <w:t> </w:t>
      </w:r>
      <w:r>
        <w:rPr/>
        <w:t>an</w:t>
      </w:r>
      <w:r>
        <w:rPr>
          <w:spacing w:val="-4"/>
        </w:rPr>
        <w:t> </w:t>
      </w:r>
      <w:r>
        <w:rPr/>
        <w:t>External/Internal</w:t>
      </w:r>
      <w:r>
        <w:rPr>
          <w:spacing w:val="-8"/>
        </w:rPr>
        <w:t> </w:t>
      </w:r>
      <w:r>
        <w:rPr/>
        <w:t>Vendor, Customer, or Other Sources</w:t>
      </w:r>
    </w:p>
    <w:p>
      <w:pPr>
        <w:pStyle w:val="BodyText"/>
        <w:spacing w:before="123"/>
        <w:ind w:left="1250" w:right="1054"/>
      </w:pPr>
      <w:r>
        <w:rPr/>
        <w:t>This</w:t>
      </w:r>
      <w:r>
        <w:rPr>
          <w:spacing w:val="-2"/>
        </w:rPr>
        <w:t> </w:t>
      </w:r>
      <w:r>
        <w:rPr/>
        <w:t>section</w:t>
      </w:r>
      <w:r>
        <w:rPr>
          <w:spacing w:val="-2"/>
        </w:rPr>
        <w:t> </w:t>
      </w:r>
      <w:r>
        <w:rPr/>
        <w:t>describes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process</w:t>
      </w:r>
      <w:r>
        <w:rPr>
          <w:spacing w:val="-1"/>
        </w:rPr>
        <w:t> </w:t>
      </w:r>
      <w:r>
        <w:rPr/>
        <w:t>related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data</w:t>
      </w:r>
      <w:r>
        <w:rPr>
          <w:spacing w:val="-8"/>
        </w:rPr>
        <w:t> </w:t>
      </w:r>
      <w:r>
        <w:rPr/>
        <w:t>transfers</w:t>
      </w:r>
      <w:r>
        <w:rPr>
          <w:spacing w:val="-5"/>
        </w:rPr>
        <w:t> </w:t>
      </w:r>
      <w:r>
        <w:rPr/>
        <w:t>provided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Biostatistics</w:t>
      </w:r>
      <w:r>
        <w:rPr>
          <w:spacing w:val="-5"/>
        </w:rPr>
        <w:t> </w:t>
      </w:r>
      <w:r>
        <w:rPr/>
        <w:t>from an external/internal vendor (non-IQVIA DM), customer, or other sources. Examples of such transfers include receiving data from an external data management vendor or</w:t>
      </w:r>
      <w:r>
        <w:rPr/>
        <w:t> IQVIA Pharmacokinetics.</w:t>
      </w: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9"/>
              <w:rPr>
                <w:sz w:val="20"/>
              </w:rPr>
            </w:pPr>
            <w:r>
              <w:rPr>
                <w:sz w:val="20"/>
              </w:rPr>
              <w:t>Reviews any DTG provided by the external/internal vendor and determines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whether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sufficiently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describes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procedure by comparing to the Biostatistics Data Transfer Guidelines </w:t>
            </w:r>
            <w:r>
              <w:rPr>
                <w:spacing w:val="-2"/>
                <w:sz w:val="20"/>
              </w:rPr>
              <w:t>(CS_TP_BS003).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test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 </w:t>
            </w:r>
            <w:r>
              <w:rPr>
                <w:spacing w:val="-2"/>
                <w:sz w:val="20"/>
              </w:rPr>
              <w:t>transfer</w:t>
            </w:r>
          </w:p>
        </w:tc>
      </w:tr>
      <w:tr>
        <w:trPr>
          <w:trHeight w:val="141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59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DTG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step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deemed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insufficient 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none are provided: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40" w:lineRule="auto" w:before="1" w:after="0"/>
              <w:ind w:left="464" w:right="876" w:hanging="360"/>
              <w:jc w:val="left"/>
              <w:rPr>
                <w:sz w:val="20"/>
              </w:rPr>
            </w:pPr>
            <w:r>
              <w:rPr>
                <w:sz w:val="20"/>
              </w:rPr>
              <w:t>Creates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DTG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 Transfer Guidelines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(CS_TP_BS003)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30" w:lineRule="exact" w:before="0" w:after="0"/>
              <w:ind w:left="464" w:right="361" w:hanging="360"/>
              <w:jc w:val="left"/>
              <w:rPr>
                <w:sz w:val="20"/>
              </w:rPr>
            </w:pPr>
            <w:r>
              <w:rPr>
                <w:sz w:val="20"/>
              </w:rPr>
              <w:t>Initiates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discussion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external/internal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vendor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there 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items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further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clarification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facilitate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transfers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test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 </w:t>
            </w:r>
            <w:r>
              <w:rPr>
                <w:spacing w:val="-2"/>
                <w:sz w:val="20"/>
              </w:rPr>
              <w:t>transfer</w:t>
            </w:r>
          </w:p>
        </w:tc>
      </w:tr>
      <w:tr>
        <w:trPr>
          <w:trHeight w:val="18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1"/>
              <w:ind w:left="104" w:right="159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DTG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completes a Reviewer Feedback Form (CS_FM_BS007) to document review: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1185" w:val="left" w:leader="none"/>
              </w:tabs>
              <w:spacing w:line="239" w:lineRule="exact" w:before="1" w:after="0"/>
              <w:ind w:left="118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1185" w:val="left" w:leader="none"/>
              </w:tabs>
              <w:spacing w:line="230" w:lineRule="exact" w:before="0" w:after="0"/>
              <w:ind w:left="118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1185" w:val="left" w:leader="none"/>
              </w:tabs>
              <w:spacing w:line="223" w:lineRule="auto" w:before="4" w:after="0"/>
              <w:ind w:left="1184" w:right="142" w:hanging="360"/>
              <w:jc w:val="left"/>
              <w:rPr>
                <w:sz w:val="20"/>
              </w:rPr>
            </w:pPr>
            <w:r>
              <w:rPr>
                <w:sz w:val="20"/>
              </w:rPr>
              <w:t>General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(TMF)-Specific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 Quality – Good Documentation Practices</w:t>
            </w:r>
          </w:p>
          <w:p>
            <w:pPr>
              <w:pStyle w:val="TableParagraph"/>
              <w:spacing w:line="211" w:lineRule="exact" w:before="3"/>
              <w:ind w:left="1184"/>
              <w:rPr>
                <w:sz w:val="20"/>
              </w:rPr>
            </w:pPr>
            <w:r>
              <w:rPr>
                <w:spacing w:val="-2"/>
                <w:sz w:val="20"/>
              </w:rPr>
              <w:t>(CS_WI_RM0284)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Before any production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 </w:t>
            </w:r>
            <w:r>
              <w:rPr>
                <w:spacing w:val="-2"/>
                <w:sz w:val="20"/>
              </w:rPr>
              <w:t>transfer</w:t>
            </w:r>
          </w:p>
        </w:tc>
      </w:tr>
      <w:tr>
        <w:trPr>
          <w:trHeight w:val="945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0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175" w:hanging="360"/>
              <w:jc w:val="left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DTG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external/internal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vendor’s </w:t>
            </w:r>
            <w:r>
              <w:rPr>
                <w:spacing w:val="-2"/>
                <w:sz w:val="20"/>
              </w:rPr>
              <w:t>review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464" w:val="left" w:leader="none"/>
                <w:tab w:pos="465" w:val="left" w:leader="none"/>
              </w:tabs>
              <w:spacing w:line="230" w:lineRule="exact" w:before="0" w:after="0"/>
              <w:ind w:left="464" w:right="962" w:hanging="360"/>
              <w:jc w:val="left"/>
              <w:rPr>
                <w:sz w:val="20"/>
              </w:rPr>
            </w:pPr>
            <w:r>
              <w:rPr>
                <w:sz w:val="20"/>
              </w:rPr>
              <w:t>Obtains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authorization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DTG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external/internal vendor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Before any production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 </w:t>
            </w:r>
            <w:r>
              <w:rPr>
                <w:spacing w:val="-2"/>
                <w:sz w:val="20"/>
              </w:rPr>
              <w:t>transfer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2"/>
              <w:rPr>
                <w:sz w:val="20"/>
              </w:rPr>
            </w:pPr>
            <w:r>
              <w:rPr>
                <w:sz w:val="20"/>
              </w:rPr>
              <w:t>Stores data in the \Data folder within the Biostatistics Directory Structure, under the sub folder: \External or one of the other relevant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sub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folders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control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received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 by placing it in a suitable subdirectory.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line="244" w:lineRule="auto" w:before="38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 data transfer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40" w:lineRule="auto" w:before="38" w:after="0"/>
              <w:ind w:left="464" w:right="457" w:hanging="360"/>
              <w:jc w:val="left"/>
              <w:rPr>
                <w:sz w:val="20"/>
              </w:rPr>
            </w:pPr>
            <w:r>
              <w:rPr>
                <w:sz w:val="20"/>
              </w:rPr>
              <w:t>Performs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received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approach described in Section 6.1.3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40" w:lineRule="exact" w:before="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Determines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whether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accept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transfer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30" w:lineRule="exact" w:before="0" w:after="0"/>
              <w:ind w:left="464" w:right="403" w:hanging="360"/>
              <w:jc w:val="left"/>
              <w:rPr>
                <w:sz w:val="20"/>
              </w:rPr>
            </w:pPr>
            <w:r>
              <w:rPr>
                <w:sz w:val="20"/>
              </w:rPr>
              <w:t>Communicates acceptance or rejection to the sender in accordance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DTG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documentation.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pgSz w:w="12240" w:h="15840"/>
          <w:pgMar w:header="725" w:footer="1059" w:top="2520" w:bottom="1320" w:left="900" w:right="40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74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2"/>
              </w:numPr>
              <w:tabs>
                <w:tab w:pos="464" w:val="left" w:leader="none"/>
                <w:tab w:pos="465" w:val="left" w:leader="none"/>
              </w:tabs>
              <w:spacing w:line="230" w:lineRule="exact" w:before="0" w:after="0"/>
              <w:ind w:left="464" w:right="119" w:hanging="360"/>
              <w:jc w:val="left"/>
              <w:rPr>
                <w:sz w:val="20"/>
              </w:rPr>
            </w:pPr>
            <w:r>
              <w:rPr>
                <w:sz w:val="20"/>
              </w:rPr>
              <w:t>Tracks acceptance/rejection of the data transfer using the purpose-built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tab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latest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(CS_TP_BS014).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154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Records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communicates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sender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Data Issues Log (CS_TP_BS014).</w:t>
            </w:r>
          </w:p>
          <w:p>
            <w:pPr>
              <w:pStyle w:val="TableParagraph"/>
              <w:spacing w:before="8"/>
              <w:ind w:left="0"/>
              <w:rPr>
                <w:sz w:val="26"/>
              </w:rPr>
            </w:pPr>
          </w:p>
          <w:p>
            <w:pPr>
              <w:pStyle w:val="TableParagraph"/>
              <w:spacing w:line="242" w:lineRule="auto" w:before="1"/>
              <w:ind w:left="104" w:right="66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single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(CS_TP_BS014)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 communication and resolution of data issues throughout the life of the study.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issues are identified throughout the </w:t>
            </w:r>
            <w:r>
              <w:rPr>
                <w:spacing w:val="-2"/>
                <w:sz w:val="20"/>
              </w:rPr>
              <w:t>study</w:t>
            </w:r>
          </w:p>
        </w:tc>
      </w:tr>
    </w:tbl>
    <w:p>
      <w:pPr>
        <w:pStyle w:val="BodyText"/>
        <w:spacing w:before="5"/>
        <w:rPr>
          <w:sz w:val="12"/>
        </w:rPr>
      </w:pPr>
    </w:p>
    <w:p>
      <w:pPr>
        <w:pStyle w:val="Heading2"/>
        <w:numPr>
          <w:ilvl w:val="1"/>
          <w:numId w:val="5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</w:pPr>
      <w:bookmarkStart w:name="Handling Data Transfers Sent by Biostati" w:id="7"/>
      <w:bookmarkEnd w:id="7"/>
      <w:r>
        <w:rPr/>
        <w:t>Handlin</w:t>
      </w:r>
      <w:r>
        <w:rPr/>
        <w:t>g</w:t>
      </w:r>
      <w:r>
        <w:rPr>
          <w:spacing w:val="-8"/>
        </w:rPr>
        <w:t> </w:t>
      </w:r>
      <w:r>
        <w:rPr/>
        <w:t>Data</w:t>
      </w:r>
      <w:r>
        <w:rPr>
          <w:spacing w:val="-7"/>
        </w:rPr>
        <w:t> </w:t>
      </w:r>
      <w:r>
        <w:rPr/>
        <w:t>Transfers</w:t>
      </w:r>
      <w:r>
        <w:rPr>
          <w:spacing w:val="-7"/>
        </w:rPr>
        <w:t> </w:t>
      </w:r>
      <w:r>
        <w:rPr/>
        <w:t>Sent</w:t>
      </w:r>
      <w:r>
        <w:rPr>
          <w:spacing w:val="-7"/>
        </w:rPr>
        <w:t> </w:t>
      </w:r>
      <w:r>
        <w:rPr/>
        <w:t>by</w:t>
      </w:r>
      <w:r>
        <w:rPr>
          <w:spacing w:val="-6"/>
        </w:rPr>
        <w:t> </w:t>
      </w:r>
      <w:r>
        <w:rPr>
          <w:spacing w:val="-2"/>
        </w:rPr>
        <w:t>Biostatistics</w:t>
      </w:r>
    </w:p>
    <w:p>
      <w:pPr>
        <w:spacing w:line="251" w:lineRule="exact" w:before="121"/>
        <w:ind w:left="1260" w:right="0" w:firstLine="0"/>
        <w:jc w:val="left"/>
        <w:rPr>
          <w:sz w:val="22"/>
        </w:rPr>
      </w:pPr>
      <w:r>
        <w:rPr>
          <w:sz w:val="22"/>
        </w:rPr>
        <w:t>This</w:t>
      </w:r>
      <w:r>
        <w:rPr>
          <w:spacing w:val="-6"/>
          <w:sz w:val="22"/>
        </w:rPr>
        <w:t> </w:t>
      </w:r>
      <w:r>
        <w:rPr>
          <w:sz w:val="22"/>
        </w:rPr>
        <w:t>section</w:t>
      </w:r>
      <w:r>
        <w:rPr>
          <w:spacing w:val="-5"/>
          <w:sz w:val="22"/>
        </w:rPr>
        <w:t> </w:t>
      </w:r>
      <w:r>
        <w:rPr>
          <w:sz w:val="22"/>
        </w:rPr>
        <w:t>describes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5"/>
          <w:sz w:val="22"/>
        </w:rPr>
        <w:t> </w:t>
      </w:r>
      <w:r>
        <w:rPr>
          <w:sz w:val="22"/>
        </w:rPr>
        <w:t>process</w:t>
      </w:r>
      <w:r>
        <w:rPr>
          <w:spacing w:val="-4"/>
          <w:sz w:val="22"/>
        </w:rPr>
        <w:t> </w:t>
      </w:r>
      <w:r>
        <w:rPr>
          <w:sz w:val="22"/>
        </w:rPr>
        <w:t>related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6"/>
          <w:sz w:val="22"/>
        </w:rPr>
        <w:t> </w:t>
      </w:r>
      <w:r>
        <w:rPr>
          <w:sz w:val="22"/>
        </w:rPr>
        <w:t>data</w:t>
      </w:r>
      <w:r>
        <w:rPr>
          <w:spacing w:val="-11"/>
          <w:sz w:val="22"/>
        </w:rPr>
        <w:t> </w:t>
      </w:r>
      <w:r>
        <w:rPr>
          <w:sz w:val="22"/>
        </w:rPr>
        <w:t>transfers</w:t>
      </w:r>
      <w:r>
        <w:rPr>
          <w:spacing w:val="-3"/>
          <w:sz w:val="22"/>
        </w:rPr>
        <w:t> </w:t>
      </w:r>
      <w:r>
        <w:rPr>
          <w:b/>
          <w:sz w:val="22"/>
        </w:rPr>
        <w:t>sent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by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Biostatistics</w:t>
      </w:r>
      <w:r>
        <w:rPr>
          <w:b/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1"/>
          <w:sz w:val="22"/>
        </w:rPr>
        <w:t> </w:t>
      </w:r>
      <w:r>
        <w:rPr>
          <w:spacing w:val="-5"/>
          <w:sz w:val="22"/>
        </w:rPr>
        <w:t>an</w:t>
      </w:r>
    </w:p>
    <w:p>
      <w:pPr>
        <w:pStyle w:val="Heading2"/>
        <w:spacing w:line="251" w:lineRule="exact"/>
        <w:ind w:left="1260" w:firstLine="0"/>
        <w:rPr>
          <w:b w:val="0"/>
        </w:rPr>
      </w:pPr>
      <w:r>
        <w:rPr/>
        <w:t>external/internal</w:t>
      </w:r>
      <w:r>
        <w:rPr>
          <w:spacing w:val="-12"/>
        </w:rPr>
        <w:t> </w:t>
      </w:r>
      <w:r>
        <w:rPr/>
        <w:t>vendor,</w:t>
      </w:r>
      <w:r>
        <w:rPr>
          <w:spacing w:val="-7"/>
        </w:rPr>
        <w:t> </w:t>
      </w:r>
      <w:r>
        <w:rPr/>
        <w:t>customer,</w:t>
      </w:r>
      <w:r>
        <w:rPr>
          <w:spacing w:val="-7"/>
        </w:rPr>
        <w:t> </w:t>
      </w:r>
      <w:r>
        <w:rPr/>
        <w:t>or</w:t>
      </w:r>
      <w:r>
        <w:rPr>
          <w:spacing w:val="-7"/>
        </w:rPr>
        <w:t> </w:t>
      </w:r>
      <w:r>
        <w:rPr/>
        <w:t>other</w:t>
      </w:r>
      <w:r>
        <w:rPr>
          <w:spacing w:val="-10"/>
        </w:rPr>
        <w:t> </w:t>
      </w:r>
      <w:r>
        <w:rPr>
          <w:spacing w:val="-2"/>
        </w:rPr>
        <w:t>recipient</w:t>
      </w:r>
      <w:r>
        <w:rPr>
          <w:b w:val="0"/>
          <w:spacing w:val="-2"/>
        </w:rPr>
        <w:t>.</w:t>
      </w:r>
    </w:p>
    <w:p>
      <w:pPr>
        <w:pStyle w:val="BodyText"/>
        <w:spacing w:before="7"/>
      </w:pPr>
    </w:p>
    <w:p>
      <w:pPr>
        <w:pStyle w:val="BodyText"/>
        <w:spacing w:before="1"/>
        <w:ind w:left="1260" w:right="1111"/>
      </w:pPr>
      <w:r>
        <w:rPr/>
        <w:t>Biostatistics</w:t>
      </w:r>
      <w:r>
        <w:rPr>
          <w:spacing w:val="-4"/>
        </w:rPr>
        <w:t> </w:t>
      </w:r>
      <w:r>
        <w:rPr/>
        <w:t>DTG</w:t>
      </w:r>
      <w:r>
        <w:rPr>
          <w:spacing w:val="-4"/>
        </w:rPr>
        <w:t> </w:t>
      </w:r>
      <w:r>
        <w:rPr/>
        <w:t>(CS_TP_BS003)</w:t>
      </w:r>
      <w:r>
        <w:rPr>
          <w:spacing w:val="-4"/>
        </w:rPr>
        <w:t> </w:t>
      </w:r>
      <w:r>
        <w:rPr/>
        <w:t>are expected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all</w:t>
      </w:r>
      <w:r>
        <w:rPr>
          <w:spacing w:val="-4"/>
        </w:rPr>
        <w:t> </w:t>
      </w:r>
      <w:r>
        <w:rPr/>
        <w:t>situations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which</w:t>
      </w:r>
      <w:r>
        <w:rPr>
          <w:spacing w:val="-4"/>
        </w:rPr>
        <w:t> </w:t>
      </w:r>
      <w:r>
        <w:rPr/>
        <w:t>data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sent via a vehicle of transfer (e.g., E-mail, FTP Server, Customer System) by Biostatistics. Examples include, but are not limited to:</w:t>
      </w:r>
    </w:p>
    <w:p>
      <w:pPr>
        <w:pStyle w:val="ListParagraph"/>
        <w:numPr>
          <w:ilvl w:val="2"/>
          <w:numId w:val="5"/>
        </w:numPr>
        <w:tabs>
          <w:tab w:pos="1979" w:val="left" w:leader="none"/>
          <w:tab w:pos="1980" w:val="left" w:leader="none"/>
        </w:tabs>
        <w:spacing w:line="268" w:lineRule="exact" w:before="0" w:after="0"/>
        <w:ind w:left="1980" w:right="0" w:hanging="360"/>
        <w:jc w:val="left"/>
        <w:rPr>
          <w:sz w:val="22"/>
        </w:rPr>
      </w:pPr>
      <w:r>
        <w:rPr>
          <w:sz w:val="22"/>
        </w:rPr>
        <w:t>Study</w:t>
      </w:r>
      <w:r>
        <w:rPr>
          <w:spacing w:val="-7"/>
          <w:sz w:val="22"/>
        </w:rPr>
        <w:t> </w:t>
      </w:r>
      <w:r>
        <w:rPr>
          <w:sz w:val="22"/>
        </w:rPr>
        <w:t>Data</w:t>
      </w:r>
      <w:r>
        <w:rPr>
          <w:spacing w:val="-6"/>
          <w:sz w:val="22"/>
        </w:rPr>
        <w:t> </w:t>
      </w:r>
      <w:r>
        <w:rPr>
          <w:sz w:val="22"/>
        </w:rPr>
        <w:t>Tabulation</w:t>
      </w:r>
      <w:r>
        <w:rPr>
          <w:spacing w:val="-6"/>
          <w:sz w:val="22"/>
        </w:rPr>
        <w:t> </w:t>
      </w:r>
      <w:r>
        <w:rPr>
          <w:sz w:val="22"/>
        </w:rPr>
        <w:t>Model</w:t>
      </w:r>
      <w:r>
        <w:rPr>
          <w:spacing w:val="-7"/>
          <w:sz w:val="22"/>
        </w:rPr>
        <w:t> </w:t>
      </w:r>
      <w:r>
        <w:rPr>
          <w:sz w:val="22"/>
        </w:rPr>
        <w:t>(SDTM)</w:t>
      </w:r>
      <w:r>
        <w:rPr>
          <w:spacing w:val="-5"/>
          <w:sz w:val="22"/>
        </w:rPr>
        <w:t> </w:t>
      </w:r>
      <w:r>
        <w:rPr>
          <w:sz w:val="22"/>
        </w:rPr>
        <w:t>data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transfers</w:t>
      </w:r>
    </w:p>
    <w:p>
      <w:pPr>
        <w:pStyle w:val="ListParagraph"/>
        <w:numPr>
          <w:ilvl w:val="2"/>
          <w:numId w:val="5"/>
        </w:numPr>
        <w:tabs>
          <w:tab w:pos="1979" w:val="left" w:leader="none"/>
          <w:tab w:pos="1980" w:val="left" w:leader="none"/>
        </w:tabs>
        <w:spacing w:line="266" w:lineRule="exact" w:before="0" w:after="0"/>
        <w:ind w:left="1980" w:right="0" w:hanging="360"/>
        <w:jc w:val="left"/>
        <w:rPr>
          <w:sz w:val="22"/>
        </w:rPr>
      </w:pPr>
      <w:r>
        <w:rPr>
          <w:sz w:val="22"/>
        </w:rPr>
        <w:t>Analysis</w:t>
      </w:r>
      <w:r>
        <w:rPr>
          <w:spacing w:val="-6"/>
          <w:sz w:val="22"/>
        </w:rPr>
        <w:t> </w:t>
      </w:r>
      <w:r>
        <w:rPr>
          <w:sz w:val="22"/>
        </w:rPr>
        <w:t>Data</w:t>
      </w:r>
      <w:r>
        <w:rPr>
          <w:spacing w:val="-5"/>
          <w:sz w:val="22"/>
        </w:rPr>
        <w:t> </w:t>
      </w:r>
      <w:r>
        <w:rPr>
          <w:sz w:val="22"/>
        </w:rPr>
        <w:t>Model</w:t>
      </w:r>
      <w:r>
        <w:rPr>
          <w:spacing w:val="-10"/>
          <w:sz w:val="22"/>
        </w:rPr>
        <w:t> </w:t>
      </w:r>
      <w:r>
        <w:rPr>
          <w:sz w:val="22"/>
        </w:rPr>
        <w:t>(ADaM)</w:t>
      </w:r>
      <w:r>
        <w:rPr>
          <w:spacing w:val="-6"/>
          <w:sz w:val="22"/>
        </w:rPr>
        <w:t> </w:t>
      </w:r>
      <w:r>
        <w:rPr>
          <w:sz w:val="22"/>
        </w:rPr>
        <w:t>data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transfers</w:t>
      </w:r>
    </w:p>
    <w:p>
      <w:pPr>
        <w:pStyle w:val="ListParagraph"/>
        <w:numPr>
          <w:ilvl w:val="2"/>
          <w:numId w:val="5"/>
        </w:numPr>
        <w:tabs>
          <w:tab w:pos="1979" w:val="left" w:leader="none"/>
          <w:tab w:pos="1980" w:val="left" w:leader="none"/>
        </w:tabs>
        <w:spacing w:line="266" w:lineRule="exact" w:before="0" w:after="0"/>
        <w:ind w:left="1980" w:right="0" w:hanging="360"/>
        <w:jc w:val="left"/>
        <w:rPr>
          <w:sz w:val="22"/>
        </w:rPr>
      </w:pPr>
      <w:r>
        <w:rPr>
          <w:sz w:val="22"/>
        </w:rPr>
        <w:t>Non-Clinical</w:t>
      </w:r>
      <w:r>
        <w:rPr>
          <w:spacing w:val="-9"/>
          <w:sz w:val="22"/>
        </w:rPr>
        <w:t> </w:t>
      </w:r>
      <w:r>
        <w:rPr>
          <w:sz w:val="22"/>
        </w:rPr>
        <w:t>Data</w:t>
      </w:r>
      <w:r>
        <w:rPr>
          <w:spacing w:val="-8"/>
          <w:sz w:val="22"/>
        </w:rPr>
        <w:t> </w:t>
      </w:r>
      <w:r>
        <w:rPr>
          <w:sz w:val="22"/>
        </w:rPr>
        <w:t>Interchange</w:t>
      </w:r>
      <w:r>
        <w:rPr>
          <w:spacing w:val="-9"/>
          <w:sz w:val="22"/>
        </w:rPr>
        <w:t> </w:t>
      </w:r>
      <w:r>
        <w:rPr>
          <w:sz w:val="22"/>
        </w:rPr>
        <w:t>Standards</w:t>
      </w:r>
      <w:r>
        <w:rPr>
          <w:spacing w:val="-8"/>
          <w:sz w:val="22"/>
        </w:rPr>
        <w:t> </w:t>
      </w:r>
      <w:r>
        <w:rPr>
          <w:sz w:val="22"/>
        </w:rPr>
        <w:t>Consortium</w:t>
      </w:r>
      <w:r>
        <w:rPr>
          <w:spacing w:val="-9"/>
          <w:sz w:val="22"/>
        </w:rPr>
        <w:t> </w:t>
      </w:r>
      <w:r>
        <w:rPr>
          <w:sz w:val="22"/>
        </w:rPr>
        <w:t>(CDISC)</w:t>
      </w:r>
      <w:r>
        <w:rPr>
          <w:spacing w:val="-8"/>
          <w:sz w:val="22"/>
        </w:rPr>
        <w:t> </w:t>
      </w:r>
      <w:r>
        <w:rPr>
          <w:sz w:val="22"/>
        </w:rPr>
        <w:t>data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transfers</w:t>
      </w:r>
    </w:p>
    <w:p>
      <w:pPr>
        <w:pStyle w:val="ListParagraph"/>
        <w:numPr>
          <w:ilvl w:val="2"/>
          <w:numId w:val="5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1144" w:hanging="360"/>
        <w:jc w:val="left"/>
        <w:rPr>
          <w:sz w:val="22"/>
        </w:rPr>
      </w:pPr>
      <w:r>
        <w:rPr>
          <w:sz w:val="22"/>
        </w:rPr>
        <w:t>Submission</w:t>
      </w:r>
      <w:r>
        <w:rPr>
          <w:spacing w:val="-4"/>
          <w:sz w:val="22"/>
        </w:rPr>
        <w:t> </w:t>
      </w:r>
      <w:r>
        <w:rPr>
          <w:sz w:val="22"/>
        </w:rPr>
        <w:t>deliverable</w:t>
      </w:r>
      <w:r>
        <w:rPr>
          <w:spacing w:val="-5"/>
          <w:sz w:val="22"/>
        </w:rPr>
        <w:t> </w:t>
      </w:r>
      <w:r>
        <w:rPr>
          <w:sz w:val="22"/>
        </w:rPr>
        <w:t>datasets</w:t>
      </w:r>
      <w:r>
        <w:rPr>
          <w:spacing w:val="-2"/>
          <w:sz w:val="22"/>
        </w:rPr>
        <w:t> </w:t>
      </w:r>
      <w:r>
        <w:rPr>
          <w:sz w:val="22"/>
        </w:rPr>
        <w:t>that</w:t>
      </w:r>
      <w:r>
        <w:rPr>
          <w:spacing w:val="-4"/>
          <w:sz w:val="22"/>
        </w:rPr>
        <w:t> </w:t>
      </w:r>
      <w:r>
        <w:rPr>
          <w:sz w:val="22"/>
        </w:rPr>
        <w:t>may,</w:t>
      </w:r>
      <w:r>
        <w:rPr>
          <w:spacing w:val="-4"/>
          <w:sz w:val="22"/>
        </w:rPr>
        <w:t> </w:t>
      </w:r>
      <w:r>
        <w:rPr>
          <w:sz w:val="22"/>
        </w:rPr>
        <w:t>or</w:t>
      </w:r>
      <w:r>
        <w:rPr>
          <w:spacing w:val="-4"/>
          <w:sz w:val="22"/>
        </w:rPr>
        <w:t> </w:t>
      </w:r>
      <w:r>
        <w:rPr>
          <w:sz w:val="22"/>
        </w:rPr>
        <w:t>may</w:t>
      </w:r>
      <w:r>
        <w:rPr>
          <w:spacing w:val="-4"/>
          <w:sz w:val="22"/>
        </w:rPr>
        <w:t> </w:t>
      </w:r>
      <w:r>
        <w:rPr>
          <w:sz w:val="22"/>
        </w:rPr>
        <w:t>not,</w:t>
      </w:r>
      <w:r>
        <w:rPr>
          <w:spacing w:val="-4"/>
          <w:sz w:val="22"/>
        </w:rPr>
        <w:t> </w:t>
      </w:r>
      <w:r>
        <w:rPr>
          <w:sz w:val="22"/>
        </w:rPr>
        <w:t>be</w:t>
      </w:r>
      <w:r>
        <w:rPr>
          <w:spacing w:val="-4"/>
          <w:sz w:val="22"/>
        </w:rPr>
        <w:t> </w:t>
      </w:r>
      <w:r>
        <w:rPr>
          <w:sz w:val="22"/>
        </w:rPr>
        <w:t>accompanied</w:t>
      </w:r>
      <w:r>
        <w:rPr>
          <w:spacing w:val="-4"/>
          <w:sz w:val="22"/>
        </w:rPr>
        <w:t> </w:t>
      </w:r>
      <w:r>
        <w:rPr>
          <w:sz w:val="22"/>
        </w:rPr>
        <w:t>by</w:t>
      </w:r>
      <w:r>
        <w:rPr>
          <w:spacing w:val="-4"/>
          <w:sz w:val="22"/>
        </w:rPr>
        <w:t> </w:t>
      </w:r>
      <w:r>
        <w:rPr>
          <w:sz w:val="22"/>
        </w:rPr>
        <w:t>other submission documentation (e.g. Define files)</w:t>
      </w:r>
    </w:p>
    <w:p>
      <w:pPr>
        <w:pStyle w:val="BodyText"/>
        <w:ind w:left="1260" w:right="1372"/>
      </w:pPr>
      <w:r>
        <w:rPr/>
        <w:t>For</w:t>
      </w:r>
      <w:r>
        <w:rPr>
          <w:spacing w:val="-4"/>
        </w:rPr>
        <w:t> </w:t>
      </w:r>
      <w:r>
        <w:rPr/>
        <w:t>transfers</w:t>
      </w:r>
      <w:r>
        <w:rPr>
          <w:spacing w:val="-4"/>
        </w:rPr>
        <w:t> </w:t>
      </w:r>
      <w:r>
        <w:rPr/>
        <w:t>within</w:t>
      </w:r>
      <w:r>
        <w:rPr>
          <w:spacing w:val="-4"/>
        </w:rPr>
        <w:t> </w:t>
      </w:r>
      <w:r>
        <w:rPr/>
        <w:t>Biostatistics</w:t>
      </w:r>
      <w:r>
        <w:rPr>
          <w:spacing w:val="-4"/>
        </w:rPr>
        <w:t> </w:t>
      </w:r>
      <w:r>
        <w:rPr/>
        <w:t>that</w:t>
      </w:r>
      <w:r>
        <w:rPr>
          <w:spacing w:val="-4"/>
        </w:rPr>
        <w:t> </w:t>
      </w:r>
      <w:r>
        <w:rPr/>
        <w:t>are</w:t>
      </w:r>
      <w:r>
        <w:rPr>
          <w:spacing w:val="-4"/>
        </w:rPr>
        <w:t> </w:t>
      </w:r>
      <w:r>
        <w:rPr/>
        <w:t>conducted</w:t>
      </w:r>
      <w:r>
        <w:rPr>
          <w:spacing w:val="-4"/>
        </w:rPr>
        <w:t> </w:t>
      </w:r>
      <w:r>
        <w:rPr/>
        <w:t>between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blinded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unblinded team, CS_TP_BS0214 (Biostatistics Blinded to Unblinded Team Handover Document) describes the transfer process and DTG are not required.</w:t>
      </w: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23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61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59"/>
              <w:rPr>
                <w:sz w:val="20"/>
              </w:rPr>
            </w:pPr>
            <w:r>
              <w:rPr>
                <w:sz w:val="20"/>
              </w:rPr>
              <w:t>Creates a Biostatistics DTG using the Biostatistics Data Transfer Guidelines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(CS_TP_BS003)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conventions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General and Trial Master File (TMF)-Specific Document Quality – Good Documentation Practices (CS_WI_RM0284).</w:t>
            </w:r>
          </w:p>
          <w:p>
            <w:pPr>
              <w:pStyle w:val="TableParagraph"/>
              <w:spacing w:before="5"/>
              <w:ind w:left="0"/>
              <w:rPr>
                <w:sz w:val="18"/>
              </w:rPr>
            </w:pPr>
          </w:p>
          <w:p>
            <w:pPr>
              <w:pStyle w:val="TableParagraph"/>
              <w:spacing w:line="230" w:lineRule="atLeast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When possible, it is recommended to discuss the transfer process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recipient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during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creation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DTG.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delivery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the data transfer</w:t>
            </w:r>
          </w:p>
        </w:tc>
      </w:tr>
      <w:tr>
        <w:trPr>
          <w:trHeight w:val="212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264" w:type="dxa"/>
          </w:tcPr>
          <w:p>
            <w:pPr>
              <w:pStyle w:val="TableParagraph"/>
              <w:spacing w:line="228" w:lineRule="exact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DTG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5"/>
                <w:sz w:val="20"/>
              </w:rPr>
              <w:t>to: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464" w:val="left" w:leader="none"/>
                <w:tab w:pos="465" w:val="left" w:leader="none"/>
              </w:tabs>
              <w:spacing w:line="243" w:lineRule="exact" w:before="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161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Annotated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 Form (CRF)/File Creation Specifications (RAW)/Dataset Test Transfer (CS_OD_BS0230)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464" w:val="left" w:leader="none"/>
                <w:tab w:pos="465" w:val="left" w:leader="none"/>
              </w:tabs>
              <w:spacing w:line="243" w:lineRule="exact" w:before="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185" w:hanging="360"/>
              <w:jc w:val="left"/>
              <w:rPr>
                <w:sz w:val="20"/>
              </w:rPr>
            </w:pPr>
            <w:r>
              <w:rPr>
                <w:sz w:val="20"/>
              </w:rPr>
              <w:t>General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(TMF)-Specific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Quality – Good Documentation Practices (CS_WI_RM0284)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pgSz w:w="12240" w:h="15840"/>
          <w:pgMar w:header="725" w:footer="1059" w:top="2520" w:bottom="1320" w:left="900" w:right="40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90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 w:right="159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(CS_FM_BS007)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 document review.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460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/>
              <w:ind w:left="104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DTG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recipient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communicate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planned structure, content, and other delivery details.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1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spacing w:line="211" w:lineRule="exact" w:before="81"/>
              <w:ind w:left="104"/>
              <w:rPr>
                <w:sz w:val="20"/>
              </w:rPr>
            </w:pPr>
            <w:r>
              <w:rPr>
                <w:sz w:val="20"/>
              </w:rPr>
              <w:t>Obtains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authorization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DTG.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19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4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392" w:hanging="360"/>
              <w:jc w:val="left"/>
              <w:rPr>
                <w:sz w:val="20"/>
              </w:rPr>
            </w:pPr>
            <w:r>
              <w:rPr>
                <w:sz w:val="20"/>
              </w:rPr>
              <w:t>Updates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DTG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change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transfer process.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161" w:hanging="360"/>
              <w:jc w:val="left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changes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versions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DTG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 the modification history section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464" w:val="left" w:leader="none"/>
                <w:tab w:pos="465" w:val="left" w:leader="none"/>
              </w:tabs>
              <w:spacing w:line="224" w:lineRule="exact" w:before="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Obtains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authorization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updated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DTG.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161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study for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changes to the transfer </w:t>
            </w:r>
            <w:r>
              <w:rPr>
                <w:spacing w:val="-2"/>
                <w:sz w:val="20"/>
              </w:rPr>
              <w:t>process</w:t>
            </w:r>
          </w:p>
        </w:tc>
      </w:tr>
      <w:tr>
        <w:trPr>
          <w:trHeight w:val="188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 w:right="121"/>
              <w:rPr>
                <w:sz w:val="20"/>
              </w:rPr>
            </w:pPr>
            <w:r>
              <w:rPr>
                <w:spacing w:val="-4"/>
                <w:sz w:val="20"/>
              </w:rPr>
              <w:t>PTL/ BPTM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preparing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transfer: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464" w:val="left" w:leader="none"/>
                <w:tab w:pos="465" w:val="left" w:leader="none"/>
              </w:tabs>
              <w:spacing w:line="240" w:lineRule="auto" w:before="1" w:after="0"/>
              <w:ind w:left="464" w:right="248" w:hanging="360"/>
              <w:jc w:val="left"/>
              <w:rPr>
                <w:sz w:val="20"/>
              </w:rPr>
            </w:pPr>
            <w:r>
              <w:rPr>
                <w:sz w:val="20"/>
              </w:rPr>
              <w:t>Creates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Transport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(.xpt)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compile/compress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as indicated by the Biostatistics DTG.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194" w:hanging="360"/>
              <w:jc w:val="left"/>
              <w:rPr>
                <w:sz w:val="20"/>
              </w:rPr>
            </w:pPr>
            <w:r>
              <w:rPr>
                <w:sz w:val="20"/>
              </w:rPr>
              <w:t>Adheres to current best practices in Good Programming Practices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available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under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Tools (Documentation folder) in ELVIS.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464" w:val="left" w:leader="none"/>
                <w:tab w:pos="465" w:val="left" w:leader="none"/>
              </w:tabs>
              <w:spacing w:line="230" w:lineRule="exact" w:before="0" w:after="0"/>
              <w:ind w:left="464" w:right="290" w:hanging="360"/>
              <w:jc w:val="left"/>
              <w:rPr>
                <w:sz w:val="20"/>
              </w:rPr>
            </w:pPr>
            <w:r>
              <w:rPr>
                <w:sz w:val="20"/>
              </w:rPr>
              <w:t>Stores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program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within the Biostatistics Directory Structure.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left="104" w:right="299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preparing files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transfer</w:t>
            </w:r>
          </w:p>
        </w:tc>
      </w:tr>
      <w:tr>
        <w:trPr>
          <w:trHeight w:val="20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6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475" w:hanging="360"/>
              <w:jc w:val="left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prepared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accordance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Biostatistics DTG, contains the expected files, and verifies accurate and successful copy of the correct data.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531" w:hanging="360"/>
              <w:jc w:val="left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Feedback Form (CS_FM_BS007).</w:t>
            </w:r>
          </w:p>
          <w:p>
            <w:pPr>
              <w:pStyle w:val="TableParagraph"/>
              <w:spacing w:before="2"/>
              <w:ind w:left="0"/>
              <w:rPr>
                <w:sz w:val="19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team</w:t>
            </w:r>
          </w:p>
          <w:p>
            <w:pPr>
              <w:pStyle w:val="TableParagraph"/>
              <w:spacing w:line="230" w:lineRule="atLeast"/>
              <w:ind w:left="104" w:right="159"/>
              <w:rPr>
                <w:sz w:val="20"/>
              </w:rPr>
            </w:pPr>
            <w:r>
              <w:rPr>
                <w:sz w:val="20"/>
              </w:rPr>
              <w:t>member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original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creator.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recommended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STL or PTL should be either the creator or reviewer.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67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6.3.8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59"/>
              <w:rPr>
                <w:sz w:val="20"/>
              </w:rPr>
            </w:pPr>
            <w:r>
              <w:rPr>
                <w:sz w:val="20"/>
              </w:rPr>
              <w:t>Sends the data transfer using secure file transfer methods (e.g., sFTP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Server,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System,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etc.)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accordance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Biostatistics DTG.</w:t>
            </w:r>
          </w:p>
          <w:p>
            <w:pPr>
              <w:pStyle w:val="TableParagraph"/>
              <w:spacing w:before="7"/>
              <w:ind w:left="0"/>
              <w:rPr>
                <w:sz w:val="19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However,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sending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external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email: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464" w:val="left" w:leader="none"/>
                <w:tab w:pos="465" w:val="left" w:leader="none"/>
              </w:tabs>
              <w:spacing w:line="240" w:lineRule="auto" w:before="2" w:after="0"/>
              <w:ind w:left="464" w:right="440" w:hanging="360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categorized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Level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3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Restricted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data, which means the data must by encrypted if shared via email (password protection of email attachments alone is not </w:t>
            </w:r>
            <w:r>
              <w:rPr>
                <w:spacing w:val="-2"/>
                <w:sz w:val="20"/>
              </w:rPr>
              <w:t>sufficient).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464" w:val="left" w:leader="none"/>
                <w:tab w:pos="465" w:val="left" w:leader="none"/>
              </w:tabs>
              <w:spacing w:line="240" w:lineRule="auto" w:before="1" w:after="0"/>
              <w:ind w:left="464" w:right="550" w:hanging="360"/>
              <w:jc w:val="left"/>
              <w:rPr>
                <w:sz w:val="20"/>
              </w:rPr>
            </w:pPr>
            <w:r>
              <w:rPr>
                <w:sz w:val="20"/>
              </w:rPr>
              <w:t>Encrypts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instructions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 Information Security in Encrypting An Email In Office 365.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465" w:val="left" w:leader="none"/>
              </w:tabs>
              <w:spacing w:line="240" w:lineRule="auto" w:before="0" w:after="0"/>
              <w:ind w:left="464" w:right="104" w:hanging="360"/>
              <w:jc w:val="both"/>
              <w:rPr>
                <w:sz w:val="20"/>
              </w:rPr>
            </w:pPr>
            <w:r>
              <w:rPr>
                <w:sz w:val="20"/>
              </w:rPr>
              <w:t>Password protects email attachments without exception. See IT Security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Network/Resource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Password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Policy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(CS_WI_IT207)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 further guidance on password complexity requirements.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617" w:hanging="360"/>
              <w:jc w:val="left"/>
              <w:rPr>
                <w:sz w:val="20"/>
              </w:rPr>
            </w:pPr>
            <w:r>
              <w:rPr>
                <w:sz w:val="20"/>
              </w:rPr>
              <w:t>Opens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attachment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sending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verifies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correct deliverable.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137" w:hanging="360"/>
              <w:jc w:val="left"/>
              <w:rPr>
                <w:sz w:val="20"/>
              </w:rPr>
            </w:pPr>
            <w:r>
              <w:rPr>
                <w:sz w:val="20"/>
              </w:rPr>
              <w:t>Do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same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password as was used for the transfer.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464" w:val="left" w:leader="none"/>
                <w:tab w:pos="465" w:val="left" w:leader="none"/>
              </w:tabs>
              <w:spacing w:line="230" w:lineRule="exact" w:before="0" w:after="0"/>
              <w:ind w:left="464" w:right="308" w:hanging="360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password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exactly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person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recipient organization using a new email chain. Asks that person to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Throughout the study when transferring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59" w:top="2520" w:bottom="1240" w:left="900" w:right="40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665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464"/>
              <w:rPr>
                <w:sz w:val="20"/>
              </w:rPr>
            </w:pPr>
            <w:r>
              <w:rPr>
                <w:sz w:val="20"/>
              </w:rPr>
              <w:t>distribute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password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needed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recipient </w:t>
            </w:r>
            <w:r>
              <w:rPr>
                <w:spacing w:val="-2"/>
                <w:sz w:val="20"/>
              </w:rPr>
              <w:t>organization.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450" w:val="left" w:leader="none"/>
                <w:tab w:pos="451" w:val="left" w:leader="none"/>
              </w:tabs>
              <w:spacing w:line="240" w:lineRule="auto" w:before="1" w:after="0"/>
              <w:ind w:left="450" w:right="376" w:hanging="346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password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staff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copied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 new, separate email chain.</w:t>
            </w:r>
          </w:p>
          <w:p>
            <w:pPr>
              <w:pStyle w:val="TableParagraph"/>
              <w:spacing w:before="11"/>
              <w:ind w:left="0"/>
              <w:rPr>
                <w:sz w:val="19"/>
              </w:rPr>
            </w:pPr>
          </w:p>
          <w:p>
            <w:pPr>
              <w:pStyle w:val="TableParagraph"/>
              <w:ind w:left="157" w:hanging="135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acceptance/confirmation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successful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Sponsor/recipient.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Heading2"/>
        <w:numPr>
          <w:ilvl w:val="1"/>
          <w:numId w:val="5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</w:pPr>
      <w:bookmarkStart w:name="Documentation" w:id="8"/>
      <w:bookmarkEnd w:id="8"/>
      <w:r>
        <w:rPr>
          <w:spacing w:val="-2"/>
        </w:rPr>
        <w:t>Documentation</w:t>
      </w:r>
    </w:p>
    <w:p>
      <w:pPr>
        <w:pStyle w:val="BodyText"/>
        <w:spacing w:before="126"/>
        <w:ind w:left="1980" w:right="1019"/>
      </w:pPr>
      <w:r>
        <w:rPr/>
        <w:t>Study Team Members involved in the creation of the Biostatistcs DTG and transfer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data</w:t>
      </w:r>
      <w:r>
        <w:rPr>
          <w:spacing w:val="-3"/>
        </w:rPr>
        <w:t> </w:t>
      </w:r>
      <w:r>
        <w:rPr/>
        <w:t>must</w:t>
      </w:r>
      <w:r>
        <w:rPr>
          <w:spacing w:val="-3"/>
        </w:rPr>
        <w:t> </w:t>
      </w:r>
      <w:r>
        <w:rPr/>
        <w:t>store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electronic</w:t>
      </w:r>
      <w:r>
        <w:rPr>
          <w:spacing w:val="-3"/>
        </w:rPr>
        <w:t> </w:t>
      </w:r>
      <w:r>
        <w:rPr/>
        <w:t>files</w:t>
      </w:r>
      <w:r>
        <w:rPr>
          <w:spacing w:val="-2"/>
        </w:rPr>
        <w:t> </w:t>
      </w:r>
      <w:r>
        <w:rPr/>
        <w:t>and</w:t>
      </w:r>
      <w:r>
        <w:rPr>
          <w:spacing w:val="-7"/>
        </w:rPr>
        <w:t> </w:t>
      </w:r>
      <w:r>
        <w:rPr/>
        <w:t>the</w:t>
      </w:r>
      <w:r>
        <w:rPr>
          <w:spacing w:val="-3"/>
        </w:rPr>
        <w:t> </w:t>
      </w:r>
      <w:r>
        <w:rPr/>
        <w:t>guidelines</w:t>
      </w:r>
      <w:r>
        <w:rPr>
          <w:spacing w:val="-3"/>
        </w:rPr>
        <w:t> </w:t>
      </w:r>
      <w:r>
        <w:rPr/>
        <w:t>according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the Biostatistics Directory Structure and in the eTMF as appropriate.</w:t>
      </w:r>
    </w:p>
    <w:p>
      <w:pPr>
        <w:pStyle w:val="BodyText"/>
        <w:spacing w:before="4"/>
        <w:rPr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97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Files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folder(s)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TMF platform used. The following documentation should be filed: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464" w:val="left" w:leader="none"/>
                <w:tab w:pos="465" w:val="left" w:leader="none"/>
              </w:tabs>
              <w:spacing w:line="240" w:lineRule="auto" w:before="40" w:after="0"/>
              <w:ind w:left="464" w:right="1203" w:hanging="360"/>
              <w:jc w:val="left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authorized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versions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DTG </w:t>
            </w:r>
            <w:r>
              <w:rPr>
                <w:spacing w:val="-2"/>
                <w:sz w:val="20"/>
              </w:rPr>
              <w:t>(CS_TP_BS003).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464" w:val="left" w:leader="none"/>
                <w:tab w:pos="465" w:val="left" w:leader="none"/>
              </w:tabs>
              <w:spacing w:line="232" w:lineRule="auto" w:before="6" w:after="0"/>
              <w:ind w:left="464" w:right="117" w:hanging="360"/>
              <w:jc w:val="left"/>
              <w:rPr>
                <w:sz w:val="20"/>
              </w:rPr>
            </w:pPr>
            <w:r>
              <w:rPr>
                <w:sz w:val="20"/>
              </w:rPr>
              <w:t>Tracking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Outputs </w:t>
            </w:r>
            <w:r>
              <w:rPr>
                <w:spacing w:val="-2"/>
                <w:sz w:val="20"/>
              </w:rPr>
              <w:t>(CS_TP_BS011)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464" w:val="left" w:leader="none"/>
                <w:tab w:pos="465" w:val="left" w:leader="none"/>
              </w:tabs>
              <w:spacing w:line="245" w:lineRule="exact" w:before="4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(CS_FM_BS007)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464" w:val="left" w:leader="none"/>
                <w:tab w:pos="465" w:val="left" w:leader="none"/>
              </w:tabs>
              <w:spacing w:line="240" w:lineRule="auto" w:before="0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(CS_TP_BS014)</w:t>
            </w:r>
          </w:p>
          <w:p>
            <w:pPr>
              <w:pStyle w:val="TableParagraph"/>
              <w:spacing w:before="9"/>
              <w:ind w:left="0"/>
              <w:rPr>
                <w:sz w:val="22"/>
              </w:rPr>
            </w:pPr>
          </w:p>
          <w:p>
            <w:pPr>
              <w:pStyle w:val="TableParagraph"/>
              <w:spacing w:line="242" w:lineRule="auto"/>
              <w:ind w:left="104" w:right="159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sz w:val="20"/>
              </w:rPr>
              <w:t>See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(TMF)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(CS_OP_TMF0007)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and Management and Filing of Biostatistics Deliveries and Documentation (CS_WI_BS0237) for further guidance.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30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days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of finalization or on </w:t>
            </w:r>
            <w:r>
              <w:rPr>
                <w:spacing w:val="-2"/>
                <w:sz w:val="20"/>
              </w:rPr>
              <w:t>receipt</w:t>
            </w:r>
          </w:p>
        </w:tc>
      </w:tr>
    </w:tbl>
    <w:p>
      <w:pPr>
        <w:pStyle w:val="BodyText"/>
        <w:spacing w:before="6"/>
        <w:rPr>
          <w:sz w:val="20"/>
        </w:rPr>
      </w:pPr>
    </w:p>
    <w:p>
      <w:pPr>
        <w:pStyle w:val="ListParagraph"/>
        <w:numPr>
          <w:ilvl w:val="0"/>
          <w:numId w:val="3"/>
        </w:numPr>
        <w:tabs>
          <w:tab w:pos="1259" w:val="left" w:leader="none"/>
          <w:tab w:pos="1260" w:val="left" w:leader="none"/>
        </w:tabs>
        <w:spacing w:line="240" w:lineRule="auto" w:before="0" w:after="6"/>
        <w:ind w:left="1260" w:right="0" w:hanging="720"/>
        <w:jc w:val="left"/>
        <w:rPr>
          <w:b/>
          <w:sz w:val="22"/>
        </w:rPr>
      </w:pPr>
      <w:bookmarkStart w:name="SUPPORTING DOCUMENTATION" w:id="9"/>
      <w:bookmarkEnd w:id="9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35"/>
        <w:gridCol w:w="6667"/>
      </w:tblGrid>
      <w:tr>
        <w:trPr>
          <w:trHeight w:val="321" w:hRule="atLeast"/>
        </w:trPr>
        <w:tc>
          <w:tcPr>
            <w:tcW w:w="3235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667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235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667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450" w:hRule="atLeast"/>
        </w:trPr>
        <w:tc>
          <w:tcPr>
            <w:tcW w:w="3235" w:type="dxa"/>
          </w:tcPr>
          <w:p>
            <w:pPr>
              <w:pStyle w:val="TableParagraph"/>
              <w:tabs>
                <w:tab w:pos="1247" w:val="left" w:leader="none"/>
              </w:tabs>
              <w:spacing w:line="234" w:lineRule="exact" w:before="196"/>
              <w:ind w:left="657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CS_FM_BS007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spacing w:line="248" w:lineRule="exact"/>
              <w:ind w:left="201"/>
              <w:rPr>
                <w:sz w:val="22"/>
              </w:rPr>
            </w:pPr>
            <w:r>
              <w:rPr>
                <w:sz w:val="22"/>
              </w:rPr>
              <w:t>Reviewer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Feedback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762" w:hRule="atLeast"/>
        </w:trPr>
        <w:tc>
          <w:tcPr>
            <w:tcW w:w="3235" w:type="dxa"/>
          </w:tcPr>
          <w:p>
            <w:pPr>
              <w:pStyle w:val="TableParagraph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tabs>
                <w:tab w:pos="1247" w:val="left" w:leader="none"/>
              </w:tabs>
              <w:spacing w:line="234" w:lineRule="exact"/>
              <w:ind w:left="657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CS_OD_BS0230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spacing w:line="254" w:lineRule="exact"/>
              <w:ind w:left="115"/>
              <w:rPr>
                <w:sz w:val="22"/>
              </w:rPr>
            </w:pPr>
            <w:r>
              <w:rPr>
                <w:sz w:val="22"/>
              </w:rPr>
              <w:t>Approaches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QC: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Appendix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B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Annotated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Case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Report Form (CRF)/File Creation Specifications (RAW)/Dataset Test </w:t>
            </w:r>
            <w:r>
              <w:rPr>
                <w:spacing w:val="-2"/>
                <w:sz w:val="22"/>
              </w:rPr>
              <w:t>Transfer</w:t>
            </w:r>
          </w:p>
        </w:tc>
      </w:tr>
      <w:tr>
        <w:trPr>
          <w:trHeight w:val="450" w:hRule="atLeast"/>
        </w:trPr>
        <w:tc>
          <w:tcPr>
            <w:tcW w:w="3235" w:type="dxa"/>
          </w:tcPr>
          <w:p>
            <w:pPr>
              <w:pStyle w:val="TableParagraph"/>
              <w:tabs>
                <w:tab w:pos="1247" w:val="left" w:leader="none"/>
              </w:tabs>
              <w:spacing w:line="234" w:lineRule="exact" w:before="196"/>
              <w:ind w:left="657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CS_OP_TMF0007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spacing w:line="248" w:lineRule="exact"/>
              <w:ind w:left="201"/>
              <w:rPr>
                <w:sz w:val="22"/>
              </w:rPr>
            </w:pPr>
            <w:r>
              <w:rPr>
                <w:sz w:val="22"/>
              </w:rPr>
              <w:t>Trial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(TMF)</w:t>
            </w:r>
          </w:p>
        </w:tc>
      </w:tr>
      <w:tr>
        <w:trPr>
          <w:trHeight w:val="455" w:hRule="atLeast"/>
        </w:trPr>
        <w:tc>
          <w:tcPr>
            <w:tcW w:w="3235" w:type="dxa"/>
          </w:tcPr>
          <w:p>
            <w:pPr>
              <w:pStyle w:val="TableParagraph"/>
              <w:tabs>
                <w:tab w:pos="1247" w:val="left" w:leader="none"/>
              </w:tabs>
              <w:spacing w:line="234" w:lineRule="exact" w:before="201"/>
              <w:ind w:left="657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CS_TP_BS002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ind w:left="201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Plan</w:t>
            </w:r>
          </w:p>
        </w:tc>
      </w:tr>
      <w:tr>
        <w:trPr>
          <w:trHeight w:val="455" w:hRule="atLeast"/>
        </w:trPr>
        <w:tc>
          <w:tcPr>
            <w:tcW w:w="3235" w:type="dxa"/>
          </w:tcPr>
          <w:p>
            <w:pPr>
              <w:pStyle w:val="TableParagraph"/>
              <w:tabs>
                <w:tab w:pos="1247" w:val="left" w:leader="none"/>
              </w:tabs>
              <w:spacing w:line="234" w:lineRule="exact" w:before="201"/>
              <w:ind w:left="657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CS_TP_BS003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ind w:left="201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Transfer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Guidelines</w:t>
            </w:r>
          </w:p>
        </w:tc>
      </w:tr>
      <w:tr>
        <w:trPr>
          <w:trHeight w:val="455" w:hRule="atLeast"/>
        </w:trPr>
        <w:tc>
          <w:tcPr>
            <w:tcW w:w="3235" w:type="dxa"/>
          </w:tcPr>
          <w:p>
            <w:pPr>
              <w:pStyle w:val="TableParagraph"/>
              <w:tabs>
                <w:tab w:pos="1247" w:val="left" w:leader="none"/>
              </w:tabs>
              <w:spacing w:line="234" w:lineRule="exact" w:before="201"/>
              <w:ind w:left="657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7.6</w:t>
            </w:r>
            <w:r>
              <w:rPr>
                <w:b/>
                <w:sz w:val="22"/>
              </w:rPr>
              <w:tab/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CS_TP_BS011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ind w:left="201"/>
              <w:rPr>
                <w:sz w:val="22"/>
              </w:rPr>
            </w:pPr>
            <w:r>
              <w:rPr>
                <w:sz w:val="22"/>
              </w:rPr>
              <w:t>Tracking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Derived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Datasets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Statistical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Outputs</w:t>
            </w:r>
          </w:p>
        </w:tc>
      </w:tr>
      <w:tr>
        <w:trPr>
          <w:trHeight w:val="455" w:hRule="atLeast"/>
        </w:trPr>
        <w:tc>
          <w:tcPr>
            <w:tcW w:w="3235" w:type="dxa"/>
          </w:tcPr>
          <w:p>
            <w:pPr>
              <w:pStyle w:val="TableParagraph"/>
              <w:tabs>
                <w:tab w:pos="1247" w:val="left" w:leader="none"/>
              </w:tabs>
              <w:spacing w:line="234" w:lineRule="exact" w:before="201"/>
              <w:ind w:left="657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7.7</w:t>
            </w:r>
            <w:r>
              <w:rPr>
                <w:b/>
                <w:sz w:val="22"/>
              </w:rPr>
              <w:tab/>
            </w:r>
            <w:hyperlink r:id="rId15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CS_TP_BS014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ind w:left="201"/>
              <w:rPr>
                <w:sz w:val="22"/>
              </w:rPr>
            </w:pPr>
            <w:r>
              <w:rPr>
                <w:sz w:val="22"/>
              </w:rPr>
              <w:t>Data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Issues</w:t>
            </w:r>
            <w:r>
              <w:rPr>
                <w:spacing w:val="-5"/>
                <w:sz w:val="22"/>
              </w:rPr>
              <w:t> Log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1059" w:top="2520" w:bottom="1240" w:left="900" w:right="4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35"/>
        <w:gridCol w:w="6667"/>
      </w:tblGrid>
      <w:tr>
        <w:trPr>
          <w:trHeight w:val="321" w:hRule="atLeast"/>
        </w:trPr>
        <w:tc>
          <w:tcPr>
            <w:tcW w:w="3235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667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503" w:hRule="atLeast"/>
        </w:trPr>
        <w:tc>
          <w:tcPr>
            <w:tcW w:w="3235" w:type="dxa"/>
          </w:tcPr>
          <w:p>
            <w:pPr>
              <w:pStyle w:val="TableParagraph"/>
              <w:spacing w:before="7"/>
              <w:ind w:left="0"/>
              <w:rPr>
                <w:b/>
                <w:sz w:val="21"/>
              </w:rPr>
            </w:pPr>
          </w:p>
          <w:p>
            <w:pPr>
              <w:pStyle w:val="TableParagraph"/>
              <w:tabs>
                <w:tab w:pos="1247" w:val="left" w:leader="none"/>
              </w:tabs>
              <w:spacing w:line="234" w:lineRule="exact" w:before="1"/>
              <w:ind w:left="657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7.8</w:t>
            </w:r>
            <w:r>
              <w:rPr>
                <w:b/>
                <w:sz w:val="22"/>
              </w:rPr>
              <w:tab/>
            </w:r>
            <w:hyperlink r:id="rId16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CS_TP_BS0214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spacing w:line="248" w:lineRule="exact"/>
              <w:ind w:left="115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Blinded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Unblinded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Handover</w:t>
            </w:r>
          </w:p>
          <w:p>
            <w:pPr>
              <w:pStyle w:val="TableParagraph"/>
              <w:spacing w:line="234" w:lineRule="exact" w:before="1"/>
              <w:ind w:left="201"/>
              <w:rPr>
                <w:sz w:val="22"/>
              </w:rPr>
            </w:pPr>
            <w:r>
              <w:rPr>
                <w:spacing w:val="-2"/>
                <w:sz w:val="22"/>
              </w:rPr>
              <w:t>Document</w:t>
            </w:r>
          </w:p>
        </w:tc>
      </w:tr>
      <w:tr>
        <w:trPr>
          <w:trHeight w:val="455" w:hRule="atLeast"/>
        </w:trPr>
        <w:tc>
          <w:tcPr>
            <w:tcW w:w="3235" w:type="dxa"/>
          </w:tcPr>
          <w:p>
            <w:pPr>
              <w:pStyle w:val="TableParagraph"/>
              <w:tabs>
                <w:tab w:pos="1247" w:val="left" w:leader="none"/>
              </w:tabs>
              <w:spacing w:line="234" w:lineRule="exact" w:before="201"/>
              <w:ind w:left="657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7.9</w:t>
            </w:r>
            <w:r>
              <w:rPr>
                <w:b/>
                <w:sz w:val="22"/>
              </w:rPr>
              <w:tab/>
            </w:r>
            <w:hyperlink r:id="rId17">
              <w:r>
                <w:rPr>
                  <w:color w:val="0000FF"/>
                  <w:spacing w:val="-2"/>
                  <w:sz w:val="22"/>
                  <w:u w:val="single" w:color="0000FF"/>
                </w:rPr>
                <w:t>CS_TP_DM0286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ind w:left="201"/>
              <w:rPr>
                <w:sz w:val="22"/>
              </w:rPr>
            </w:pPr>
            <w:r>
              <w:rPr>
                <w:sz w:val="22"/>
              </w:rPr>
              <w:t>Interim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Database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Lock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Plan</w:t>
            </w:r>
          </w:p>
        </w:tc>
      </w:tr>
      <w:tr>
        <w:trPr>
          <w:trHeight w:val="503" w:hRule="atLeast"/>
        </w:trPr>
        <w:tc>
          <w:tcPr>
            <w:tcW w:w="3235" w:type="dxa"/>
          </w:tcPr>
          <w:p>
            <w:pPr>
              <w:pStyle w:val="TableParagraph"/>
              <w:spacing w:before="7"/>
              <w:ind w:left="0"/>
              <w:rPr>
                <w:b/>
                <w:sz w:val="21"/>
              </w:rPr>
            </w:pPr>
          </w:p>
          <w:p>
            <w:pPr>
              <w:pStyle w:val="TableParagraph"/>
              <w:spacing w:line="234" w:lineRule="exact" w:before="1"/>
              <w:ind w:left="657"/>
              <w:rPr>
                <w:sz w:val="22"/>
              </w:rPr>
            </w:pPr>
            <w:r>
              <w:rPr>
                <w:b/>
                <w:sz w:val="22"/>
              </w:rPr>
              <w:t>7.10</w:t>
            </w:r>
            <w:r>
              <w:rPr>
                <w:b/>
                <w:spacing w:val="97"/>
                <w:sz w:val="22"/>
              </w:rPr>
              <w:t> </w:t>
            </w:r>
            <w:hyperlink r:id="rId18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CS_WI_BS008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spacing w:line="250" w:lineRule="exact"/>
              <w:ind w:left="201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Authorization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Management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Plan </w:t>
            </w:r>
            <w:r>
              <w:rPr>
                <w:spacing w:val="-2"/>
                <w:sz w:val="22"/>
              </w:rPr>
              <w:t>Documents</w:t>
            </w:r>
          </w:p>
        </w:tc>
      </w:tr>
      <w:tr>
        <w:trPr>
          <w:trHeight w:val="455" w:hRule="atLeast"/>
        </w:trPr>
        <w:tc>
          <w:tcPr>
            <w:tcW w:w="3235" w:type="dxa"/>
          </w:tcPr>
          <w:p>
            <w:pPr>
              <w:pStyle w:val="TableParagraph"/>
              <w:spacing w:line="234" w:lineRule="exact" w:before="201"/>
              <w:ind w:left="657"/>
              <w:rPr>
                <w:sz w:val="22"/>
              </w:rPr>
            </w:pPr>
            <w:r>
              <w:rPr>
                <w:b/>
                <w:sz w:val="22"/>
              </w:rPr>
              <w:t>7.11</w:t>
            </w:r>
            <w:r>
              <w:rPr>
                <w:b/>
                <w:spacing w:val="97"/>
                <w:sz w:val="22"/>
              </w:rPr>
              <w:t> </w:t>
            </w:r>
            <w:hyperlink r:id="rId19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CS_WI_BS015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ind w:left="201"/>
              <w:rPr>
                <w:sz w:val="22"/>
              </w:rPr>
            </w:pPr>
            <w:r>
              <w:rPr>
                <w:sz w:val="22"/>
              </w:rPr>
              <w:t>Approaches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QC</w:t>
            </w:r>
          </w:p>
        </w:tc>
      </w:tr>
      <w:tr>
        <w:trPr>
          <w:trHeight w:val="508" w:hRule="atLeast"/>
        </w:trPr>
        <w:tc>
          <w:tcPr>
            <w:tcW w:w="3235" w:type="dxa"/>
          </w:tcPr>
          <w:p>
            <w:pPr>
              <w:pStyle w:val="TableParagraph"/>
              <w:spacing w:before="1"/>
              <w:ind w:left="0"/>
              <w:rPr>
                <w:b/>
                <w:sz w:val="22"/>
              </w:rPr>
            </w:pPr>
          </w:p>
          <w:p>
            <w:pPr>
              <w:pStyle w:val="TableParagraph"/>
              <w:spacing w:line="234" w:lineRule="exact"/>
              <w:ind w:left="657"/>
              <w:rPr>
                <w:sz w:val="22"/>
              </w:rPr>
            </w:pPr>
            <w:r>
              <w:rPr>
                <w:b/>
                <w:sz w:val="22"/>
              </w:rPr>
              <w:t>7.12</w:t>
            </w:r>
            <w:r>
              <w:rPr>
                <w:b/>
                <w:spacing w:val="68"/>
                <w:w w:val="150"/>
                <w:sz w:val="22"/>
              </w:rPr>
              <w:t> </w:t>
            </w:r>
            <w:hyperlink r:id="rId20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CS_WI_BS0237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spacing w:line="254" w:lineRule="exact"/>
              <w:ind w:left="201"/>
              <w:rPr>
                <w:sz w:val="22"/>
              </w:rPr>
            </w:pPr>
            <w:r>
              <w:rPr>
                <w:sz w:val="22"/>
              </w:rPr>
              <w:t>Management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Filing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Deliveries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Documentation</w:t>
            </w:r>
          </w:p>
        </w:tc>
      </w:tr>
      <w:tr>
        <w:trPr>
          <w:trHeight w:val="470" w:hRule="atLeast"/>
        </w:trPr>
        <w:tc>
          <w:tcPr>
            <w:tcW w:w="3235" w:type="dxa"/>
          </w:tcPr>
          <w:p>
            <w:pPr>
              <w:pStyle w:val="TableParagraph"/>
              <w:spacing w:line="234" w:lineRule="exact" w:before="216"/>
              <w:ind w:left="657"/>
              <w:rPr>
                <w:sz w:val="22"/>
              </w:rPr>
            </w:pPr>
            <w:r>
              <w:rPr>
                <w:b/>
                <w:sz w:val="22"/>
              </w:rPr>
              <w:t>7.13</w:t>
            </w:r>
            <w:r>
              <w:rPr>
                <w:b/>
                <w:spacing w:val="68"/>
                <w:w w:val="150"/>
                <w:sz w:val="22"/>
              </w:rPr>
              <w:t> </w:t>
            </w:r>
            <w:hyperlink r:id="rId21">
              <w:r>
                <w:rPr>
                  <w:color w:val="0000FF"/>
                  <w:spacing w:val="-2"/>
                  <w:sz w:val="22"/>
                  <w:u w:val="single" w:color="0000FF"/>
                </w:rPr>
                <w:t>CS_WI_DM0412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ind w:left="201"/>
              <w:rPr>
                <w:sz w:val="22"/>
              </w:rPr>
            </w:pPr>
            <w:r>
              <w:rPr>
                <w:sz w:val="22"/>
              </w:rPr>
              <w:t>Data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Transfer</w:t>
            </w:r>
          </w:p>
        </w:tc>
      </w:tr>
      <w:tr>
        <w:trPr>
          <w:trHeight w:val="253" w:hRule="atLeast"/>
        </w:trPr>
        <w:tc>
          <w:tcPr>
            <w:tcW w:w="3235" w:type="dxa"/>
          </w:tcPr>
          <w:p>
            <w:pPr>
              <w:pStyle w:val="TableParagraph"/>
              <w:spacing w:line="234" w:lineRule="exact"/>
              <w:ind w:left="657"/>
              <w:rPr>
                <w:sz w:val="22"/>
              </w:rPr>
            </w:pPr>
            <w:r>
              <w:rPr>
                <w:b/>
                <w:sz w:val="22"/>
              </w:rPr>
              <w:t>7.14</w:t>
            </w:r>
            <w:r>
              <w:rPr>
                <w:b/>
                <w:spacing w:val="97"/>
                <w:sz w:val="22"/>
              </w:rPr>
              <w:t> </w:t>
            </w:r>
            <w:hyperlink r:id="rId22">
              <w:r>
                <w:rPr>
                  <w:color w:val="0000FF"/>
                  <w:spacing w:val="-2"/>
                  <w:sz w:val="22"/>
                  <w:u w:val="single" w:color="0000FF"/>
                </w:rPr>
                <w:t>CS_WI_IT207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spacing w:line="234" w:lineRule="exact"/>
              <w:ind w:left="201"/>
              <w:rPr>
                <w:sz w:val="22"/>
              </w:rPr>
            </w:pPr>
            <w:r>
              <w:rPr>
                <w:sz w:val="22"/>
              </w:rPr>
              <w:t>IT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Security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Network/Resource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Password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Policy</w:t>
            </w:r>
          </w:p>
        </w:tc>
      </w:tr>
      <w:tr>
        <w:trPr>
          <w:trHeight w:val="508" w:hRule="atLeast"/>
        </w:trPr>
        <w:tc>
          <w:tcPr>
            <w:tcW w:w="3235" w:type="dxa"/>
          </w:tcPr>
          <w:p>
            <w:pPr>
              <w:pStyle w:val="TableParagraph"/>
              <w:spacing w:before="1"/>
              <w:ind w:left="0"/>
              <w:rPr>
                <w:b/>
                <w:sz w:val="22"/>
              </w:rPr>
            </w:pPr>
          </w:p>
          <w:p>
            <w:pPr>
              <w:pStyle w:val="TableParagraph"/>
              <w:spacing w:line="234" w:lineRule="exact"/>
              <w:ind w:left="657"/>
              <w:rPr>
                <w:sz w:val="22"/>
              </w:rPr>
            </w:pPr>
            <w:r>
              <w:rPr>
                <w:b/>
                <w:sz w:val="22"/>
              </w:rPr>
              <w:t>7.15</w:t>
            </w:r>
            <w:r>
              <w:rPr>
                <w:b/>
                <w:spacing w:val="68"/>
                <w:w w:val="150"/>
                <w:sz w:val="22"/>
              </w:rPr>
              <w:t> </w:t>
            </w:r>
            <w:hyperlink r:id="rId23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CS_WI_RM0284</w:t>
              </w:r>
            </w:hyperlink>
          </w:p>
        </w:tc>
        <w:tc>
          <w:tcPr>
            <w:tcW w:w="6667" w:type="dxa"/>
          </w:tcPr>
          <w:p>
            <w:pPr>
              <w:pStyle w:val="TableParagraph"/>
              <w:spacing w:line="254" w:lineRule="exact"/>
              <w:ind w:left="201"/>
              <w:rPr>
                <w:sz w:val="22"/>
              </w:rPr>
            </w:pPr>
            <w:r>
              <w:rPr>
                <w:sz w:val="22"/>
              </w:rPr>
              <w:t>General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(TMF)-Specific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– Good Documentation Practices</w:t>
            </w:r>
          </w:p>
        </w:tc>
      </w:tr>
      <w:tr>
        <w:trPr>
          <w:trHeight w:val="316" w:hRule="atLeast"/>
        </w:trPr>
        <w:tc>
          <w:tcPr>
            <w:tcW w:w="3235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Other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667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762" w:hRule="atLeast"/>
        </w:trPr>
        <w:tc>
          <w:tcPr>
            <w:tcW w:w="3235" w:type="dxa"/>
          </w:tcPr>
          <w:p>
            <w:pPr>
              <w:pStyle w:val="TableParagraph"/>
              <w:ind w:left="657"/>
              <w:rPr>
                <w:sz w:val="22"/>
              </w:rPr>
            </w:pPr>
            <w:r>
              <w:rPr>
                <w:b/>
                <w:sz w:val="22"/>
              </w:rPr>
              <w:t>7.16</w:t>
            </w:r>
            <w:r>
              <w:rPr>
                <w:b/>
                <w:spacing w:val="68"/>
                <w:w w:val="150"/>
                <w:sz w:val="22"/>
              </w:rPr>
              <w:t> </w:t>
            </w:r>
            <w:r>
              <w:rPr>
                <w:spacing w:val="-2"/>
                <w:sz w:val="22"/>
              </w:rPr>
              <w:t>Biostatistics</w:t>
            </w:r>
          </w:p>
          <w:p>
            <w:pPr>
              <w:pStyle w:val="TableParagraph"/>
              <w:spacing w:line="250" w:lineRule="atLeast"/>
              <w:ind w:left="1247" w:right="209"/>
              <w:rPr>
                <w:sz w:val="22"/>
              </w:rPr>
            </w:pPr>
            <w:r>
              <w:rPr>
                <w:spacing w:val="-2"/>
                <w:sz w:val="22"/>
              </w:rPr>
              <w:t>General Guidelines</w:t>
            </w:r>
          </w:p>
        </w:tc>
        <w:tc>
          <w:tcPr>
            <w:tcW w:w="6667" w:type="dxa"/>
          </w:tcPr>
          <w:p>
            <w:pPr>
              <w:pStyle w:val="TableParagraph"/>
              <w:ind w:left="201"/>
              <w:rPr>
                <w:sz w:val="22"/>
              </w:rPr>
            </w:pPr>
            <w:hyperlink r:id="rId24">
              <w:r>
                <w:rPr>
                  <w:color w:val="0000FF"/>
                  <w:sz w:val="22"/>
                  <w:u w:val="single" w:color="0000FF"/>
                </w:rPr>
                <w:t>Biostatistics</w:t>
              </w:r>
              <w:r>
                <w:rPr>
                  <w:color w:val="0000FF"/>
                  <w:spacing w:val="-11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Directory</w:t>
              </w:r>
              <w:r>
                <w:rPr>
                  <w:color w:val="0000FF"/>
                  <w:spacing w:val="-11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pacing w:val="-2"/>
                  <w:sz w:val="22"/>
                  <w:u w:val="single" w:color="0000FF"/>
                </w:rPr>
                <w:t>Structure</w:t>
              </w:r>
            </w:hyperlink>
          </w:p>
        </w:tc>
      </w:tr>
      <w:tr>
        <w:trPr>
          <w:trHeight w:val="758" w:hRule="atLeast"/>
        </w:trPr>
        <w:tc>
          <w:tcPr>
            <w:tcW w:w="3235" w:type="dxa"/>
          </w:tcPr>
          <w:p>
            <w:pPr>
              <w:pStyle w:val="TableParagraph"/>
              <w:spacing w:line="248" w:lineRule="exact"/>
              <w:ind w:left="657"/>
              <w:rPr>
                <w:sz w:val="22"/>
              </w:rPr>
            </w:pPr>
            <w:r>
              <w:rPr>
                <w:b/>
                <w:sz w:val="22"/>
              </w:rPr>
              <w:t>7.17</w:t>
            </w:r>
            <w:r>
              <w:rPr>
                <w:b/>
                <w:spacing w:val="68"/>
                <w:w w:val="150"/>
                <w:sz w:val="22"/>
              </w:rPr>
              <w:t> </w:t>
            </w:r>
            <w:r>
              <w:rPr>
                <w:spacing w:val="-2"/>
                <w:sz w:val="22"/>
              </w:rPr>
              <w:t>Biostatistics</w:t>
            </w:r>
          </w:p>
          <w:p>
            <w:pPr>
              <w:pStyle w:val="TableParagraph"/>
              <w:spacing w:line="250" w:lineRule="atLeast"/>
              <w:ind w:left="1247" w:right="209"/>
              <w:rPr>
                <w:sz w:val="22"/>
              </w:rPr>
            </w:pPr>
            <w:r>
              <w:rPr>
                <w:spacing w:val="-2"/>
                <w:sz w:val="22"/>
              </w:rPr>
              <w:t>General Guidelines</w:t>
            </w:r>
          </w:p>
        </w:tc>
        <w:tc>
          <w:tcPr>
            <w:tcW w:w="6667" w:type="dxa"/>
          </w:tcPr>
          <w:p>
            <w:pPr>
              <w:pStyle w:val="TableParagraph"/>
              <w:spacing w:line="248" w:lineRule="exact"/>
              <w:ind w:left="201"/>
              <w:rPr>
                <w:sz w:val="22"/>
              </w:rPr>
            </w:pPr>
            <w:hyperlink r:id="rId25">
              <w:r>
                <w:rPr>
                  <w:color w:val="0000FF"/>
                  <w:sz w:val="22"/>
                  <w:u w:val="single" w:color="0000FF"/>
                </w:rPr>
                <w:t>Good</w:t>
              </w:r>
              <w:r>
                <w:rPr>
                  <w:color w:val="0000FF"/>
                  <w:spacing w:val="-8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Programming</w:t>
              </w:r>
              <w:r>
                <w:rPr>
                  <w:color w:val="0000FF"/>
                  <w:spacing w:val="-7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pacing w:val="-2"/>
                  <w:sz w:val="22"/>
                  <w:u w:val="single" w:color="0000FF"/>
                </w:rPr>
                <w:t>Practices</w:t>
              </w:r>
            </w:hyperlink>
          </w:p>
        </w:tc>
      </w:tr>
      <w:tr>
        <w:trPr>
          <w:trHeight w:val="758" w:hRule="atLeast"/>
        </w:trPr>
        <w:tc>
          <w:tcPr>
            <w:tcW w:w="3235" w:type="dxa"/>
          </w:tcPr>
          <w:p>
            <w:pPr>
              <w:pStyle w:val="TableParagraph"/>
              <w:spacing w:line="251" w:lineRule="exact"/>
              <w:ind w:left="657"/>
              <w:rPr>
                <w:sz w:val="22"/>
              </w:rPr>
            </w:pPr>
            <w:r>
              <w:rPr>
                <w:b/>
                <w:sz w:val="22"/>
              </w:rPr>
              <w:t>7.18</w:t>
            </w:r>
            <w:r>
              <w:rPr>
                <w:b/>
                <w:spacing w:val="68"/>
                <w:w w:val="150"/>
                <w:sz w:val="22"/>
              </w:rPr>
              <w:t> </w:t>
            </w:r>
            <w:r>
              <w:rPr>
                <w:spacing w:val="-2"/>
                <w:sz w:val="22"/>
              </w:rPr>
              <w:t>Information</w:t>
            </w:r>
          </w:p>
          <w:p>
            <w:pPr>
              <w:pStyle w:val="TableParagraph"/>
              <w:spacing w:line="254" w:lineRule="exact"/>
              <w:ind w:left="1247"/>
              <w:rPr>
                <w:sz w:val="22"/>
              </w:rPr>
            </w:pPr>
            <w:r>
              <w:rPr>
                <w:sz w:val="22"/>
              </w:rPr>
              <w:t>Security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General </w:t>
            </w:r>
            <w:r>
              <w:rPr>
                <w:spacing w:val="-2"/>
                <w:sz w:val="22"/>
              </w:rPr>
              <w:t>Guidelines</w:t>
            </w:r>
          </w:p>
        </w:tc>
        <w:tc>
          <w:tcPr>
            <w:tcW w:w="6667" w:type="dxa"/>
          </w:tcPr>
          <w:p>
            <w:pPr>
              <w:pStyle w:val="TableParagraph"/>
              <w:ind w:left="201"/>
              <w:rPr>
                <w:sz w:val="22"/>
              </w:rPr>
            </w:pPr>
            <w:hyperlink r:id="rId26">
              <w:r>
                <w:rPr>
                  <w:color w:val="0000FF"/>
                  <w:sz w:val="22"/>
                  <w:u w:val="single" w:color="0000FF"/>
                </w:rPr>
                <w:t>Encrypting</w:t>
              </w:r>
              <w:r>
                <w:rPr>
                  <w:color w:val="0000FF"/>
                  <w:spacing w:val="-5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An</w:t>
              </w:r>
              <w:r>
                <w:rPr>
                  <w:color w:val="0000FF"/>
                  <w:spacing w:val="-5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Email</w:t>
              </w:r>
              <w:r>
                <w:rPr>
                  <w:color w:val="0000FF"/>
                  <w:spacing w:val="-5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In</w:t>
              </w:r>
              <w:r>
                <w:rPr>
                  <w:color w:val="0000FF"/>
                  <w:spacing w:val="-5"/>
                  <w:sz w:val="22"/>
                  <w:u w:val="single" w:color="0000FF"/>
                </w:rPr>
                <w:t> </w:t>
              </w:r>
              <w:r>
                <w:rPr>
                  <w:color w:val="0000FF"/>
                  <w:sz w:val="22"/>
                  <w:u w:val="single" w:color="0000FF"/>
                </w:rPr>
                <w:t>Office</w:t>
              </w:r>
              <w:r>
                <w:rPr>
                  <w:color w:val="0000FF"/>
                  <w:spacing w:val="-5"/>
                  <w:sz w:val="22"/>
                  <w:u w:val="single" w:color="0000FF"/>
                </w:rPr>
                <w:t> 365</w:t>
              </w:r>
            </w:hyperlink>
          </w:p>
        </w:tc>
      </w:tr>
    </w:tbl>
    <w:p>
      <w:pPr>
        <w:pStyle w:val="BodyText"/>
        <w:spacing w:before="8"/>
        <w:rPr>
          <w:b/>
          <w:sz w:val="12"/>
        </w:rPr>
      </w:pPr>
    </w:p>
    <w:p>
      <w:pPr>
        <w:pStyle w:val="ListParagraph"/>
        <w:numPr>
          <w:ilvl w:val="0"/>
          <w:numId w:val="3"/>
        </w:numPr>
        <w:tabs>
          <w:tab w:pos="1259" w:val="left" w:leader="none"/>
          <w:tab w:pos="1260" w:val="left" w:leader="none"/>
        </w:tabs>
        <w:spacing w:line="240" w:lineRule="auto" w:before="94" w:after="7"/>
        <w:ind w:left="1260" w:right="0" w:hanging="720"/>
        <w:jc w:val="left"/>
        <w:rPr>
          <w:b/>
          <w:sz w:val="22"/>
        </w:rPr>
      </w:pPr>
      <w:bookmarkStart w:name="SUPERSEDES" w:id="10"/>
      <w:bookmarkEnd w:id="10"/>
      <w:r>
        <w:rPr>
          <w:b/>
          <w:spacing w:val="-2"/>
          <w:sz w:val="22"/>
        </w:rPr>
        <w:t>SUPER</w:t>
      </w:r>
      <w:r>
        <w:rPr>
          <w:b/>
          <w:spacing w:val="-2"/>
          <w:sz w:val="22"/>
        </w:rPr>
        <w:t>SEDES</w:t>
      </w:r>
    </w:p>
    <w:tbl>
      <w:tblPr>
        <w:tblW w:w="0" w:type="auto"/>
        <w:jc w:val="left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802"/>
        <w:gridCol w:w="2338"/>
      </w:tblGrid>
      <w:tr>
        <w:trPr>
          <w:trHeight w:val="287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02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8" w:type="dxa"/>
            <w:shd w:val="clear" w:color="auto" w:fill="BFBFBF"/>
          </w:tcPr>
          <w:p>
            <w:pPr>
              <w:pStyle w:val="TableParagraph"/>
              <w:spacing w:line="248" w:lineRule="exact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287" w:hRule="atLeast"/>
        </w:trPr>
        <w:tc>
          <w:tcPr>
            <w:tcW w:w="3778" w:type="dxa"/>
          </w:tcPr>
          <w:p>
            <w:pPr>
              <w:pStyle w:val="TableParagraph"/>
              <w:tabs>
                <w:tab w:pos="1238" w:val="left" w:leader="none"/>
              </w:tabs>
              <w:ind w:left="647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CS_WI_BS020</w:t>
            </w:r>
          </w:p>
        </w:tc>
        <w:tc>
          <w:tcPr>
            <w:tcW w:w="3802" w:type="dxa"/>
          </w:tcPr>
          <w:p>
            <w:pPr>
              <w:pStyle w:val="TableParagraph"/>
              <w:ind w:left="138"/>
              <w:rPr>
                <w:sz w:val="22"/>
              </w:rPr>
            </w:pPr>
            <w:r>
              <w:rPr>
                <w:sz w:val="22"/>
              </w:rPr>
              <w:t>Handling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Transfers</w:t>
            </w:r>
          </w:p>
        </w:tc>
        <w:tc>
          <w:tcPr>
            <w:tcW w:w="2338" w:type="dxa"/>
          </w:tcPr>
          <w:p>
            <w:pPr>
              <w:pStyle w:val="TableParagraph"/>
              <w:ind w:left="104"/>
              <w:rPr>
                <w:sz w:val="22"/>
              </w:rPr>
            </w:pPr>
            <w:r>
              <w:rPr>
                <w:spacing w:val="-5"/>
                <w:sz w:val="22"/>
              </w:rPr>
              <w:t>10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1059" w:top="2520" w:bottom="1320" w:left="900" w:right="40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3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MODIFICATION FROM PREVIOUS REVISION" w:id="11"/>
      <w:bookmarkEnd w:id="11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1059" w:top="2520" w:bottom="1320" w:left="900" w:right="4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left="110" w:right="123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Statistical Programmer (LP) to Programming Team Lead</w:t>
            </w:r>
            <w:r>
              <w:rPr>
                <w:spacing w:val="40"/>
                <w:sz w:val="22"/>
              </w:rPr>
              <w:t> </w:t>
            </w:r>
            <w:r>
              <w:rPr>
                <w:spacing w:val="-2"/>
                <w:sz w:val="22"/>
              </w:rPr>
              <w:t>(PTL)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3.0, 6.1, 6.2,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6.3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Consistency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other Biostatistics SOPs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Added note to clarify requirements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no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test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transfer </w:t>
            </w:r>
            <w:r>
              <w:rPr>
                <w:spacing w:val="-2"/>
                <w:sz w:val="22"/>
              </w:rPr>
              <w:t>received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6.0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current </w:t>
            </w:r>
            <w:r>
              <w:rPr>
                <w:spacing w:val="-2"/>
                <w:sz w:val="22"/>
              </w:rPr>
              <w:t>process</w:t>
            </w:r>
          </w:p>
        </w:tc>
      </w:tr>
      <w:tr>
        <w:trPr>
          <w:trHeight w:val="55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71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note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referencing GPP for Storage of Data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6.1.2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reflect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latest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applicable procedures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standards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left="110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PROC CONTENTS and added reference to DLEC tool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6.1.3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current </w:t>
            </w:r>
            <w:r>
              <w:rPr>
                <w:spacing w:val="-2"/>
                <w:sz w:val="22"/>
              </w:rPr>
              <w:t>process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left="110" w:right="171"/>
              <w:rPr>
                <w:sz w:val="22"/>
              </w:rPr>
            </w:pPr>
            <w:r>
              <w:rPr>
                <w:sz w:val="22"/>
              </w:rPr>
              <w:t>Clarified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this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step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applies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 both test transfers and subsequent production </w:t>
            </w:r>
            <w:r>
              <w:rPr>
                <w:spacing w:val="-2"/>
                <w:sz w:val="22"/>
              </w:rPr>
              <w:t>transfers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6.1.4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current </w:t>
            </w:r>
            <w:r>
              <w:rPr>
                <w:spacing w:val="-2"/>
                <w:sz w:val="22"/>
              </w:rPr>
              <w:t>process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13"/>
              <w:jc w:val="both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requirement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add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 new tab in Data Issues Log for each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transfer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(purpose-built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tab already exists)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6.1.4, </w:t>
            </w:r>
            <w:r>
              <w:rPr>
                <w:spacing w:val="-2"/>
                <w:sz w:val="22"/>
              </w:rPr>
              <w:t>6.2.6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reflect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latest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applicable procedures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standards</w:t>
            </w:r>
          </w:p>
        </w:tc>
      </w:tr>
      <w:tr>
        <w:trPr>
          <w:trHeight w:val="79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71"/>
              <w:rPr>
                <w:sz w:val="22"/>
              </w:rPr>
            </w:pPr>
            <w:r>
              <w:rPr>
                <w:sz w:val="22"/>
              </w:rPr>
              <w:t>Updated this step to occur before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test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transfer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instead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 before production transfer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6.2.2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current </w:t>
            </w:r>
            <w:r>
              <w:rPr>
                <w:spacing w:val="-2"/>
                <w:sz w:val="22"/>
              </w:rPr>
              <w:t>process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49" w:lineRule="exact" w:before="24"/>
              <w:ind w:left="110"/>
              <w:rPr>
                <w:sz w:val="22"/>
              </w:rPr>
            </w:pPr>
            <w:r>
              <w:rPr>
                <w:sz w:val="22"/>
              </w:rPr>
              <w:t>Swapped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order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steps</w:t>
            </w:r>
          </w:p>
          <w:p>
            <w:pPr>
              <w:pStyle w:val="TableParagraph"/>
              <w:spacing w:line="249" w:lineRule="exact"/>
              <w:ind w:left="110"/>
              <w:rPr>
                <w:sz w:val="22"/>
              </w:rPr>
            </w:pPr>
            <w:r>
              <w:rPr>
                <w:sz w:val="22"/>
              </w:rPr>
              <w:t>6.2.5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6.2.6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6.2.5,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6.2.5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current </w:t>
            </w:r>
            <w:r>
              <w:rPr>
                <w:spacing w:val="-2"/>
                <w:sz w:val="22"/>
              </w:rPr>
              <w:t>process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left="110"/>
              <w:rPr>
                <w:sz w:val="22"/>
              </w:rPr>
            </w:pPr>
            <w:r>
              <w:rPr>
                <w:sz w:val="22"/>
              </w:rPr>
              <w:t>Added reference to other submission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documentation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e.g. </w:t>
            </w:r>
            <w:r>
              <w:rPr>
                <w:spacing w:val="-2"/>
                <w:sz w:val="22"/>
              </w:rPr>
              <w:t>Define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current </w:t>
            </w:r>
            <w:r>
              <w:rPr>
                <w:spacing w:val="-2"/>
                <w:sz w:val="22"/>
              </w:rPr>
              <w:t>process</w:t>
            </w:r>
          </w:p>
        </w:tc>
      </w:tr>
      <w:tr>
        <w:trPr>
          <w:trHeight w:val="176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13"/>
              <w:rPr>
                <w:sz w:val="22"/>
              </w:rPr>
            </w:pPr>
            <w:r>
              <w:rPr>
                <w:sz w:val="22"/>
              </w:rPr>
              <w:t>Added reference to Approaches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QC: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Appendix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10"/>
                <w:sz w:val="22"/>
              </w:rPr>
              <w:t>B</w:t>
            </w:r>
          </w:p>
          <w:p>
            <w:pPr>
              <w:pStyle w:val="TableParagraph"/>
              <w:spacing w:line="228" w:lineRule="auto"/>
              <w:ind w:left="110" w:right="103"/>
              <w:rPr>
                <w:sz w:val="22"/>
              </w:rPr>
            </w:pPr>
            <w:r>
              <w:rPr>
                <w:sz w:val="22"/>
              </w:rPr>
              <w:t>-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Annotated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Case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Report Form (CRF)/File Creation Specifications (RAW)/Dataset Test Transfer </w:t>
            </w:r>
            <w:r>
              <w:rPr>
                <w:spacing w:val="-2"/>
                <w:sz w:val="22"/>
              </w:rPr>
              <w:t>(CS_OD_BS0230)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6.3.2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current </w:t>
            </w:r>
            <w:r>
              <w:rPr>
                <w:spacing w:val="-2"/>
                <w:sz w:val="22"/>
              </w:rPr>
              <w:t>process</w:t>
            </w:r>
          </w:p>
        </w:tc>
      </w:tr>
      <w:tr>
        <w:trPr>
          <w:trHeight w:val="151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27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 Reviewer Feedback Form (CS_FM_BS007) instead of Tracking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Derived Datasets and Statistical Outputs (CS_TP_BS011)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6.3.7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current </w:t>
            </w:r>
            <w:r>
              <w:rPr>
                <w:spacing w:val="-2"/>
                <w:sz w:val="22"/>
              </w:rPr>
              <w:t>process</w:t>
            </w:r>
          </w:p>
        </w:tc>
      </w:tr>
    </w:tbl>
    <w:p>
      <w:pPr>
        <w:spacing w:after="0" w:line="228" w:lineRule="auto"/>
        <w:rPr>
          <w:sz w:val="22"/>
        </w:rPr>
        <w:sectPr>
          <w:pgSz w:w="12240" w:h="15840"/>
          <w:pgMar w:header="725" w:footer="1059" w:top="2520" w:bottom="1240" w:left="900" w:right="4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71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requirement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data encryption for Level 3 Restricted data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6.3.8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reflect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latest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applicable procedures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standards</w:t>
            </w:r>
          </w:p>
        </w:tc>
      </w:tr>
      <w:tr>
        <w:trPr>
          <w:trHeight w:val="55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guidance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password complexity requirements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6.3.8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current </w:t>
            </w:r>
            <w:r>
              <w:rPr>
                <w:spacing w:val="-2"/>
                <w:sz w:val="22"/>
              </w:rPr>
              <w:t>process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requirement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request acceptance/confirmation of transfer from sponsor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6.3.8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current </w:t>
            </w:r>
            <w:r>
              <w:rPr>
                <w:spacing w:val="-2"/>
                <w:sz w:val="22"/>
              </w:rPr>
              <w:t>process</w:t>
            </w:r>
          </w:p>
        </w:tc>
      </w:tr>
      <w:tr>
        <w:trPr>
          <w:trHeight w:val="128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71"/>
              <w:rPr>
                <w:sz w:val="22"/>
              </w:rPr>
            </w:pPr>
            <w:r>
              <w:rPr>
                <w:sz w:val="22"/>
              </w:rPr>
              <w:t>Added reference to Management and Filing of Biostatistics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Deliveries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Documentation (CS_WI_BS0237)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6.4.1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current </w:t>
            </w:r>
            <w:r>
              <w:rPr>
                <w:spacing w:val="-2"/>
                <w:sz w:val="22"/>
              </w:rPr>
              <w:t>process</w:t>
            </w:r>
          </w:p>
        </w:tc>
      </w:tr>
      <w:tr>
        <w:trPr>
          <w:trHeight w:val="200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71"/>
              <w:rPr>
                <w:sz w:val="22"/>
              </w:rPr>
            </w:pPr>
            <w:r>
              <w:rPr>
                <w:sz w:val="22"/>
              </w:rPr>
              <w:t>Added reference to Management and Filing of Biostatistics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Deliveries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Documentation </w:t>
            </w:r>
            <w:r>
              <w:rPr>
                <w:sz w:val="22"/>
              </w:rPr>
              <w:t>(CS_WI_BS0237) and IT</w:t>
            </w:r>
          </w:p>
          <w:p>
            <w:pPr>
              <w:pStyle w:val="TableParagraph"/>
              <w:spacing w:line="228" w:lineRule="auto"/>
              <w:ind w:left="110" w:right="171"/>
              <w:rPr>
                <w:sz w:val="22"/>
              </w:rPr>
            </w:pPr>
            <w:r>
              <w:rPr>
                <w:sz w:val="22"/>
              </w:rPr>
              <w:t>Security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Network/Resource Password Policy </w:t>
            </w:r>
            <w:r>
              <w:rPr>
                <w:spacing w:val="-2"/>
                <w:sz w:val="22"/>
              </w:rPr>
              <w:t>(CS_WI_IT207)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7.0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reflect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latest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applicable procedures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standards</w:t>
            </w:r>
          </w:p>
        </w:tc>
      </w:tr>
    </w:tbl>
    <w:p>
      <w:pPr>
        <w:spacing w:after="0" w:line="228" w:lineRule="auto"/>
        <w:rPr>
          <w:sz w:val="22"/>
        </w:rPr>
        <w:sectPr>
          <w:pgSz w:w="12240" w:h="15840"/>
          <w:pgMar w:header="725" w:footer="1059" w:top="2520" w:bottom="1240" w:left="900" w:right="40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3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APPENDICES" w:id="12"/>
      <w:bookmarkEnd w:id="12"/>
      <w:r>
        <w:rPr/>
      </w:r>
      <w:bookmarkStart w:name="Appendix A: Data Transfer Workflow" w:id="13"/>
      <w:bookmarkEnd w:id="13"/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1"/>
        </w:rPr>
      </w:pPr>
    </w:p>
    <w:p>
      <w:pPr>
        <w:pStyle w:val="Heading2"/>
        <w:numPr>
          <w:ilvl w:val="1"/>
          <w:numId w:val="3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</w:pPr>
      <w:r>
        <w:rPr/>
        <w:t>Appendix</w:t>
      </w:r>
      <w:r>
        <w:rPr>
          <w:spacing w:val="-8"/>
        </w:rPr>
        <w:t> </w:t>
      </w:r>
      <w:r>
        <w:rPr/>
        <w:t>A:</w:t>
      </w:r>
      <w:r>
        <w:rPr>
          <w:spacing w:val="-4"/>
        </w:rPr>
        <w:t> </w:t>
      </w:r>
      <w:r>
        <w:rPr/>
        <w:t>Data</w:t>
      </w:r>
      <w:r>
        <w:rPr>
          <w:spacing w:val="-8"/>
        </w:rPr>
        <w:t> </w:t>
      </w:r>
      <w:r>
        <w:rPr/>
        <w:t>Transfer</w:t>
      </w:r>
      <w:r>
        <w:rPr>
          <w:spacing w:val="-7"/>
        </w:rPr>
        <w:t> </w:t>
      </w:r>
      <w:r>
        <w:rPr>
          <w:spacing w:val="-2"/>
        </w:rPr>
        <w:t>Workflow</w:t>
      </w:r>
    </w:p>
    <w:p>
      <w:pPr>
        <w:spacing w:after="0" w:line="240" w:lineRule="auto"/>
        <w:jc w:val="left"/>
        <w:sectPr>
          <w:pgSz w:w="12240" w:h="15840"/>
          <w:pgMar w:header="725" w:footer="1059" w:top="2520" w:bottom="1240" w:left="900" w:right="40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spacing w:before="94"/>
        <w:ind w:left="540" w:right="0" w:firstLine="0"/>
        <w:jc w:val="left"/>
        <w:rPr>
          <w:b/>
          <w:sz w:val="22"/>
        </w:rPr>
      </w:pPr>
      <w:bookmarkStart w:name="Appendix A: Data Transfer Workflow" w:id="14"/>
      <w:bookmarkEnd w:id="14"/>
      <w:r>
        <w:rPr/>
      </w:r>
      <w:r>
        <w:rPr>
          <w:b/>
          <w:sz w:val="22"/>
        </w:rPr>
        <w:t>Appendix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Data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Transfer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pStyle w:val="BodyText"/>
        <w:rPr>
          <w:b/>
          <w:sz w:val="8"/>
        </w:rPr>
      </w:pPr>
      <w:r>
        <w:rPr/>
        <w:drawing>
          <wp:anchor distT="0" distB="0" distL="0" distR="0" allowOverlap="1" layoutInCell="1" locked="0" behindDoc="0" simplePos="0" relativeHeight="2">
            <wp:simplePos x="0" y="0"/>
            <wp:positionH relativeFrom="page">
              <wp:posOffset>911352</wp:posOffset>
            </wp:positionH>
            <wp:positionV relativeFrom="paragraph">
              <wp:posOffset>73999</wp:posOffset>
            </wp:positionV>
            <wp:extent cx="6541008" cy="4700016"/>
            <wp:effectExtent l="0" t="0" r="0" b="0"/>
            <wp:wrapTopAndBottom/>
            <wp:docPr id="7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.pn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41008" cy="4700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5"/>
        <w:rPr>
          <w:b/>
          <w:sz w:val="21"/>
        </w:rPr>
      </w:pPr>
      <w:r>
        <w:rPr/>
        <w:pict>
          <v:rect style="position:absolute;margin-left:66pt;margin-top:13.535625pt;width:475.44pt;height:.24pt;mso-position-horizontal-relative:page;mso-position-vertical-relative:paragraph;z-index:-15727104;mso-wrap-distance-left:0;mso-wrap-distance-right:0" id="docshape8" filled="true" fillcolor="#000000" stroked="false">
            <v:fill type="solid"/>
            <w10:wrap type="topAndBottom"/>
          </v:rect>
        </w:pict>
      </w:r>
    </w:p>
    <w:p>
      <w:pPr>
        <w:spacing w:line="183" w:lineRule="exact" w:before="22"/>
        <w:ind w:left="467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5"/>
          <w:sz w:val="16"/>
        </w:rPr>
        <w:t> </w:t>
      </w:r>
      <w:r>
        <w:rPr>
          <w:sz w:val="16"/>
        </w:rPr>
        <w:t>12</w:t>
      </w:r>
      <w:r>
        <w:rPr>
          <w:spacing w:val="-6"/>
          <w:sz w:val="16"/>
        </w:rPr>
        <w:t> </w:t>
      </w:r>
      <w:r>
        <w:rPr>
          <w:sz w:val="16"/>
        </w:rPr>
        <w:t>of</w:t>
      </w:r>
      <w:r>
        <w:rPr>
          <w:spacing w:val="-2"/>
          <w:sz w:val="16"/>
        </w:rPr>
        <w:t> </w:t>
      </w:r>
      <w:r>
        <w:rPr>
          <w:spacing w:val="-5"/>
          <w:sz w:val="16"/>
        </w:rPr>
        <w:t>12</w:t>
      </w:r>
    </w:p>
    <w:p>
      <w:pPr>
        <w:spacing w:line="240" w:lineRule="auto" w:before="0"/>
        <w:ind w:left="448" w:right="1019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3"/>
          <w:sz w:val="16"/>
        </w:rPr>
        <w:t> </w:t>
      </w:r>
      <w:r>
        <w:rPr>
          <w:sz w:val="16"/>
        </w:rPr>
        <w:t>2003,</w:t>
      </w:r>
      <w:r>
        <w:rPr>
          <w:spacing w:val="-3"/>
          <w:sz w:val="16"/>
        </w:rPr>
        <w:t> </w:t>
      </w:r>
      <w:r>
        <w:rPr>
          <w:sz w:val="16"/>
        </w:rPr>
        <w:t>2006,</w:t>
      </w:r>
      <w:r>
        <w:rPr>
          <w:spacing w:val="-3"/>
          <w:sz w:val="16"/>
        </w:rPr>
        <w:t> </w:t>
      </w:r>
      <w:r>
        <w:rPr>
          <w:sz w:val="16"/>
        </w:rPr>
        <w:t>2008,</w:t>
      </w:r>
      <w:r>
        <w:rPr>
          <w:spacing w:val="-3"/>
          <w:sz w:val="16"/>
        </w:rPr>
        <w:t> </w:t>
      </w:r>
      <w:r>
        <w:rPr>
          <w:sz w:val="16"/>
        </w:rPr>
        <w:t>2010,</w:t>
      </w:r>
      <w:r>
        <w:rPr>
          <w:spacing w:val="-3"/>
          <w:sz w:val="16"/>
        </w:rPr>
        <w:t> </w:t>
      </w:r>
      <w:r>
        <w:rPr>
          <w:sz w:val="16"/>
        </w:rPr>
        <w:t>2012,</w:t>
      </w:r>
      <w:r>
        <w:rPr>
          <w:spacing w:val="-3"/>
          <w:sz w:val="16"/>
        </w:rPr>
        <w:t> </w:t>
      </w:r>
      <w:r>
        <w:rPr>
          <w:sz w:val="16"/>
        </w:rPr>
        <w:t>2014,</w:t>
      </w:r>
      <w:r>
        <w:rPr>
          <w:spacing w:val="-3"/>
          <w:sz w:val="16"/>
        </w:rPr>
        <w:t> </w:t>
      </w:r>
      <w:r>
        <w:rPr>
          <w:sz w:val="16"/>
        </w:rPr>
        <w:t>2016,</w:t>
      </w:r>
      <w:r>
        <w:rPr>
          <w:spacing w:val="-3"/>
          <w:sz w:val="16"/>
        </w:rPr>
        <w:t> </w:t>
      </w:r>
      <w:r>
        <w:rPr>
          <w:sz w:val="16"/>
        </w:rPr>
        <w:t>2018,</w:t>
      </w:r>
      <w:r>
        <w:rPr>
          <w:spacing w:val="-3"/>
          <w:sz w:val="16"/>
        </w:rPr>
        <w:t> </w:t>
      </w:r>
      <w:r>
        <w:rPr>
          <w:sz w:val="16"/>
        </w:rPr>
        <w:t>2020,</w:t>
      </w:r>
      <w:r>
        <w:rPr>
          <w:spacing w:val="-2"/>
          <w:sz w:val="16"/>
        </w:rPr>
        <w:t> </w:t>
      </w:r>
      <w:r>
        <w:rPr>
          <w:sz w:val="16"/>
        </w:rPr>
        <w:t>2022</w:t>
      </w:r>
      <w:r>
        <w:rPr>
          <w:spacing w:val="-2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3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3"/>
          <w:sz w:val="16"/>
        </w:rPr>
        <w:t> </w:t>
      </w:r>
      <w:r>
        <w:rPr>
          <w:sz w:val="16"/>
        </w:rPr>
        <w:t>document are confidential and proprietary to IQVIA Holdings Inc. and its subsidiaries. Unauthorized use, disclosure or reproduction is strictly </w:t>
      </w:r>
      <w:r>
        <w:rPr>
          <w:spacing w:val="-2"/>
          <w:sz w:val="16"/>
        </w:rPr>
        <w:t>prohibited.</w:t>
      </w:r>
    </w:p>
    <w:p>
      <w:pPr>
        <w:spacing w:after="0" w:line="240" w:lineRule="auto"/>
        <w:jc w:val="left"/>
        <w:rPr>
          <w:sz w:val="16"/>
        </w:rPr>
        <w:sectPr>
          <w:headerReference w:type="default" r:id="rId27"/>
          <w:footerReference w:type="default" r:id="rId28"/>
          <w:pgSz w:w="12240" w:h="15840"/>
          <w:pgMar w:header="725" w:footer="268" w:top="2520" w:bottom="460" w:left="900" w:right="400"/>
        </w:sectPr>
      </w:pPr>
    </w:p>
    <w:p>
      <w:pPr>
        <w:spacing w:line="321" w:lineRule="exact" w:before="79"/>
        <w:ind w:left="608" w:right="1075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0688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9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3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8" w:right="110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8" w:right="110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90" w:right="110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673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Marcus,</w:t>
      </w:r>
      <w:r>
        <w:rPr>
          <w:spacing w:val="-10"/>
          <w:sz w:val="20"/>
        </w:rPr>
        <w:t> </w:t>
      </w:r>
      <w:r>
        <w:rPr>
          <w:sz w:val="20"/>
        </w:rPr>
        <w:t>Ari</w:t>
      </w:r>
      <w:r>
        <w:rPr>
          <w:spacing w:val="36"/>
          <w:sz w:val="20"/>
        </w:rPr>
        <w:t> </w:t>
      </w:r>
      <w:r>
        <w:rPr>
          <w:sz w:val="20"/>
        </w:rPr>
        <w:t>(q774256)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543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Tuesday,</w:t>
      </w:r>
      <w:r>
        <w:rPr>
          <w:spacing w:val="-3"/>
          <w:sz w:val="20"/>
        </w:rPr>
        <w:t> </w:t>
      </w:r>
      <w:r>
        <w:rPr>
          <w:sz w:val="20"/>
        </w:rPr>
        <w:t>16</w:t>
      </w:r>
      <w:r>
        <w:rPr>
          <w:spacing w:val="-4"/>
          <w:sz w:val="20"/>
        </w:rPr>
        <w:t> </w:t>
      </w:r>
      <w:r>
        <w:rPr>
          <w:sz w:val="20"/>
        </w:rPr>
        <w:t>August</w:t>
      </w:r>
      <w:r>
        <w:rPr>
          <w:spacing w:val="-3"/>
          <w:sz w:val="20"/>
        </w:rPr>
        <w:t> </w:t>
      </w:r>
      <w:r>
        <w:rPr>
          <w:sz w:val="20"/>
        </w:rPr>
        <w:t>2022,</w:t>
      </w:r>
      <w:r>
        <w:rPr>
          <w:spacing w:val="-4"/>
          <w:sz w:val="20"/>
        </w:rPr>
        <w:t> </w:t>
      </w:r>
      <w:r>
        <w:rPr>
          <w:sz w:val="20"/>
        </w:rPr>
        <w:t>08:51</w:t>
      </w:r>
      <w:r>
        <w:rPr>
          <w:spacing w:val="-4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3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633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Bickford,</w:t>
      </w:r>
      <w:r>
        <w:rPr>
          <w:spacing w:val="-10"/>
          <w:sz w:val="20"/>
        </w:rPr>
        <w:t> </w:t>
      </w:r>
      <w:r>
        <w:rPr>
          <w:sz w:val="20"/>
        </w:rPr>
        <w:t>Emma</w:t>
      </w:r>
      <w:r>
        <w:rPr>
          <w:spacing w:val="36"/>
          <w:sz w:val="20"/>
        </w:rPr>
        <w:t> </w:t>
      </w:r>
      <w:r>
        <w:rPr>
          <w:sz w:val="20"/>
        </w:rPr>
        <w:t>(q637065)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543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17</w:t>
      </w:r>
      <w:r>
        <w:rPr>
          <w:spacing w:val="-5"/>
          <w:sz w:val="20"/>
        </w:rPr>
        <w:t> </w:t>
      </w:r>
      <w:r>
        <w:rPr>
          <w:sz w:val="20"/>
        </w:rPr>
        <w:t>August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09:45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740" w:right="633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Ranjan,</w:t>
      </w:r>
      <w:r>
        <w:rPr>
          <w:spacing w:val="-11"/>
          <w:sz w:val="20"/>
        </w:rPr>
        <w:t> </w:t>
      </w:r>
      <w:r>
        <w:rPr>
          <w:sz w:val="20"/>
        </w:rPr>
        <w:t>Santosh</w:t>
      </w:r>
      <w:r>
        <w:rPr>
          <w:spacing w:val="36"/>
          <w:sz w:val="20"/>
        </w:rPr>
        <w:t> </w:t>
      </w:r>
      <w:r>
        <w:rPr>
          <w:sz w:val="20"/>
        </w:rPr>
        <w:t>(q723916)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543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24</w:t>
      </w:r>
      <w:r>
        <w:rPr>
          <w:spacing w:val="-5"/>
          <w:sz w:val="20"/>
        </w:rPr>
        <w:t> </w:t>
      </w:r>
      <w:r>
        <w:rPr>
          <w:sz w:val="20"/>
        </w:rPr>
        <w:t>August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12:07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30"/>
      <w:footerReference w:type="default" r:id="rId31"/>
      <w:pgSz w:w="12240" w:h="15840"/>
      <w:pgMar w:header="0" w:footer="268" w:top="1360" w:bottom="460" w:left="900" w:right="4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Courier New">
    <w:altName w:val="Courier New"/>
    <w:charset w:val="0"/>
    <w:family w:val="modern"/>
    <w:pitch w:val="fixed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24.799988pt;width:470.88pt;height:.48pt;mso-position-horizontal-relative:page;mso-position-vertical-relative:page;z-index:-16306688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25.750244pt;width:468.1pt;height:58.25pt;mso-position-horizontal-relative:page;mso-position-vertical-relative:page;z-index:-16306176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244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12</w:t>
                </w:r>
              </w:p>
              <w:p>
                <w:pPr>
                  <w:spacing w:line="240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2003,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2006,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2008,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2010,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2012,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2014,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2016,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2018,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2022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 are confidential and proprietary to IQVIA Holdings Inc. and its subsidiaries. Unauthorized use, disclosure or reproduction is strictly </w:t>
                </w:r>
                <w:r>
                  <w:rPr>
                    <w:spacing w:val="-2"/>
                    <w:sz w:val="16"/>
                  </w:rPr>
                  <w:t>prohibited.</w:t>
                </w:r>
              </w:p>
              <w:p>
                <w:pPr>
                  <w:spacing w:before="111"/>
                  <w:ind w:left="8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CS_WI_BS020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11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15-Sep-2022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25.039978pt;width:475.44pt;height:.24pt;mso-position-horizontal-relative:page;mso-position-vertical-relative:page;z-index:-16305152" id="docshape4" filled="true" fillcolor="#000000" stroked="false">
          <v:fill type="solid"/>
          <w10:wrap type="none"/>
        </v:rect>
      </w:pict>
    </w:r>
    <w:r>
      <w:rPr/>
      <w:pict>
        <v:shape style="position:absolute;margin-left:66.440002pt;margin-top:725.750244pt;width:468.1pt;height:58.25pt;mso-position-horizontal-relative:page;mso-position-vertical-relative:page;z-index:-16304640" type="#_x0000_t202" id="docshape5" filled="false" stroked="false">
          <v:textbox inset="0,0,0,0">
            <w:txbxContent>
              <w:p>
                <w:pPr>
                  <w:spacing w:line="183" w:lineRule="exact" w:before="13"/>
                  <w:ind w:left="4244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10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1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12</w:t>
                </w:r>
              </w:p>
              <w:p>
                <w:pPr>
                  <w:spacing w:line="240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2003,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2006,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2008,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2010,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2012,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2014,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2016,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2018,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2022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 are confidential and proprietary to IQVIA Holdings Inc. and its subsidiaries. Unauthorized use, disclosure or reproduction is strictly </w:t>
                </w:r>
                <w:r>
                  <w:rPr>
                    <w:spacing w:val="-2"/>
                    <w:sz w:val="16"/>
                  </w:rPr>
                  <w:t>prohibited.</w:t>
                </w:r>
              </w:p>
              <w:p>
                <w:pPr>
                  <w:spacing w:before="111"/>
                  <w:ind w:left="911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CS_WI_BS020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11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15-Sep-2022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1.008003pt;margin-top:767.575989pt;width:390pt;height:16.45pt;mso-position-horizontal-relative:page;mso-position-vertical-relative:page;z-index:-16303616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CS_WI_BS020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11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15-Sep-2022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1.008003pt;margin-top:767.575989pt;width:390pt;height:16.45pt;mso-position-horizontal-relative:page;mso-position-vertical-relative:page;z-index:-16303104" type="#_x0000_t202" id="docshape9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CS_WI_BS020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11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15-Sep-2022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9pt;margin-top:36pt;width:475.2pt;height:90.45pt;mso-position-horizontal-relative:page;mso-position-vertical-relative:page;z-index:15728640" type="#_x0000_t202" id="docshape3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258"/>
                  <w:gridCol w:w="5117"/>
                </w:tblGrid>
                <w:tr>
                  <w:trPr>
                    <w:trHeight w:val="892" w:hRule="atLeast"/>
                  </w:trPr>
                  <w:tc>
                    <w:tcPr>
                      <w:tcW w:w="425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77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2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Handling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Data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Transfers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25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CS_WI_BS020</w:t>
                      </w:r>
                      <w:r>
                        <w:rPr>
                          <w:spacing w:val="-14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12"/>
                          <w:sz w:val="20"/>
                        </w:rPr>
                        <w:t> </w:t>
                      </w:r>
                      <w:r>
                        <w:rPr>
                          <w:spacing w:val="-5"/>
                          <w:sz w:val="20"/>
                        </w:rPr>
                        <w:t>11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010816">
          <wp:simplePos x="0" y="0"/>
          <wp:positionH relativeFrom="page">
            <wp:posOffset>1271016</wp:posOffset>
          </wp:positionH>
          <wp:positionV relativeFrom="page">
            <wp:posOffset>871727</wp:posOffset>
          </wp:positionV>
          <wp:extent cx="1978152" cy="347472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9pt;margin-top:36pt;width:475.2pt;height:90.45pt;mso-position-horizontal-relative:page;mso-position-vertical-relative:page;z-index:15729152" type="#_x0000_t202" id="docshape6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258"/>
                  <w:gridCol w:w="5117"/>
                </w:tblGrid>
                <w:tr>
                  <w:trPr>
                    <w:trHeight w:val="892" w:hRule="atLeast"/>
                  </w:trPr>
                  <w:tc>
                    <w:tcPr>
                      <w:tcW w:w="425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77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2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Handling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Data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Transfers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25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CS_WI_BS020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5"/>
                          <w:sz w:val="20"/>
                        </w:rPr>
                        <w:t> 11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012352">
          <wp:simplePos x="0" y="0"/>
          <wp:positionH relativeFrom="page">
            <wp:posOffset>1271016</wp:posOffset>
          </wp:positionH>
          <wp:positionV relativeFrom="page">
            <wp:posOffset>871727</wp:posOffset>
          </wp:positionV>
          <wp:extent cx="1978152" cy="347472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0"/>
      <w:numFmt w:val="bullet"/>
      <w:lvlText w:val=""/>
      <w:lvlJc w:val="left"/>
      <w:pPr>
        <w:ind w:left="198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o"/>
      <w:lvlJc w:val="left"/>
      <w:pPr>
        <w:ind w:left="2248" w:hanging="269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206" w:hanging="26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73" w:hanging="26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40" w:hanging="26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06" w:hanging="26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073" w:hanging="26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40" w:hanging="26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06" w:hanging="269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/>
        <w:bCs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0"/>
      <w:numFmt w:val="bullet"/>
      <w:lvlText w:val=""/>
      <w:lvlJc w:val="left"/>
      <w:pPr>
        <w:ind w:left="450" w:hanging="346"/>
      </w:pPr>
      <w:rPr>
        <w:rFonts w:hint="default" w:ascii="Symbol" w:hAnsi="Symbol" w:eastAsia="Symbol" w:cs="Symbol"/>
        <w:b/>
        <w:bCs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4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4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4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4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4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4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4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46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/>
        <w:bCs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/>
        <w:bCs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o"/>
      <w:lvlJc w:val="left"/>
      <w:pPr>
        <w:ind w:left="1184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8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9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0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20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71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2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3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39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6"/>
      <w:numFmt w:val="decimal"/>
      <w:lvlText w:val="%1"/>
      <w:lvlJc w:val="left"/>
      <w:pPr>
        <w:ind w:left="1980" w:hanging="72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"/>
      <w:lvlJc w:val="left"/>
      <w:pPr>
        <w:ind w:left="198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66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5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46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5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5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48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3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75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1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66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62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57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53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48" w:hanging="72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2"/>
      <w:numFmt w:val="decimal"/>
      <w:lvlText w:val="%1"/>
      <w:lvlJc w:val="left"/>
      <w:pPr>
        <w:ind w:left="1082" w:hanging="543"/>
        <w:jc w:val="left"/>
      </w:pPr>
      <w:rPr>
        <w:rFonts w:hint="default"/>
        <w:lang w:val="en-US" w:eastAsia="en-US" w:bidi="ar-SA"/>
      </w:rPr>
    </w:lvl>
    <w:lvl w:ilvl="1">
      <w:start w:val="0"/>
      <w:numFmt w:val="decimal"/>
      <w:lvlText w:val="%1.%2"/>
      <w:lvlJc w:val="left"/>
      <w:pPr>
        <w:ind w:left="1082" w:hanging="543"/>
        <w:jc w:val="righ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52" w:hanging="54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38" w:hanging="54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24" w:hanging="54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10" w:hanging="54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96" w:hanging="54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82" w:hanging="54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68" w:hanging="543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1082" w:hanging="543"/>
        <w:jc w:val="left"/>
      </w:pPr>
      <w:rPr>
        <w:rFonts w:hint="default"/>
        <w:lang w:val="en-US" w:eastAsia="en-US" w:bidi="ar-SA"/>
      </w:rPr>
    </w:lvl>
    <w:lvl w:ilvl="1">
      <w:start w:val="0"/>
      <w:numFmt w:val="decimal"/>
      <w:lvlText w:val="%1.%2"/>
      <w:lvlJc w:val="left"/>
      <w:pPr>
        <w:ind w:left="1082" w:hanging="543"/>
        <w:jc w:val="righ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52" w:hanging="54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38" w:hanging="54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24" w:hanging="54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10" w:hanging="54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96" w:hanging="54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82" w:hanging="54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68" w:hanging="543"/>
      </w:pPr>
      <w:rPr>
        <w:rFonts w:hint="default"/>
        <w:lang w:val="en-US" w:eastAsia="en-US" w:bidi="ar-SA"/>
      </w:rPr>
    </w:lvl>
  </w:abstractNum>
  <w:num w:numId="4">
    <w:abstractNumId w:val="3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94"/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980" w:hanging="720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98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9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S_FM_BS007" TargetMode="External"/><Relationship Id="rId10" Type="http://schemas.openxmlformats.org/officeDocument/2006/relationships/hyperlink" Target="https://elvis.quintiles.com/livelink/llisapi.dll/open/CS_OD_BS0230" TargetMode="External"/><Relationship Id="rId11" Type="http://schemas.openxmlformats.org/officeDocument/2006/relationships/hyperlink" Target="https://elvis.quintiles.com/livelink/llisapi.dll/open/CS_OP_TMF0007" TargetMode="External"/><Relationship Id="rId12" Type="http://schemas.openxmlformats.org/officeDocument/2006/relationships/hyperlink" Target="https://elvis.quintiles.com/livelink/llisapi.dll/open/CS_TP_BS002" TargetMode="External"/><Relationship Id="rId13" Type="http://schemas.openxmlformats.org/officeDocument/2006/relationships/hyperlink" Target="https://elvis.quintiles.com/livelink/llisapi.dll/open/CS_TP_BS003" TargetMode="External"/><Relationship Id="rId14" Type="http://schemas.openxmlformats.org/officeDocument/2006/relationships/hyperlink" Target="https://elvis.quintiles.com/livelink/llisapi.dll/open/CS_TP_BS011" TargetMode="External"/><Relationship Id="rId15" Type="http://schemas.openxmlformats.org/officeDocument/2006/relationships/hyperlink" Target="https://elvis.quintiles.com/livelink/llisapi.dll/open/CS_TP_BS014" TargetMode="External"/><Relationship Id="rId16" Type="http://schemas.openxmlformats.org/officeDocument/2006/relationships/hyperlink" Target="https://elvis.quintiles.com/livelink/llisapi.dll/open/CS_TP_BS0214" TargetMode="External"/><Relationship Id="rId17" Type="http://schemas.openxmlformats.org/officeDocument/2006/relationships/hyperlink" Target="https://elvis.quintiles.com/livelink/llisapi.dll/open/CS_TP_DM0286" TargetMode="External"/><Relationship Id="rId18" Type="http://schemas.openxmlformats.org/officeDocument/2006/relationships/hyperlink" Target="https://elvis.quintiles.com/livelink/llisapi.dll/open/CS_WI_BS008" TargetMode="External"/><Relationship Id="rId19" Type="http://schemas.openxmlformats.org/officeDocument/2006/relationships/hyperlink" Target="https://elvis.quintiles.com/livelink/llisapi.dll/open/CS_WI_BS015" TargetMode="External"/><Relationship Id="rId20" Type="http://schemas.openxmlformats.org/officeDocument/2006/relationships/hyperlink" Target="https://elvis.quintiles.com/livelink/llisapi.dll/open/CS_WI_BS0237" TargetMode="External"/><Relationship Id="rId21" Type="http://schemas.openxmlformats.org/officeDocument/2006/relationships/hyperlink" Target="https://elvis.quintiles.com/livelink/llisapi.dll/open/CS_WI_DM0412" TargetMode="External"/><Relationship Id="rId22" Type="http://schemas.openxmlformats.org/officeDocument/2006/relationships/hyperlink" Target="https://elvis.quintiles.com/livelink/llisapi.dll/open/CS_WI_IT207" TargetMode="External"/><Relationship Id="rId23" Type="http://schemas.openxmlformats.org/officeDocument/2006/relationships/hyperlink" Target="https://elvis.quintiles.com/livelink/llisapi.dll/open/CS_WI_RM0284" TargetMode="External"/><Relationship Id="rId24" Type="http://schemas.openxmlformats.org/officeDocument/2006/relationships/hyperlink" Target="https://elvis.quintiles.com/livelink/llisapi.dll?func=ll&amp;objId=55213196&amp;objAction=browse&amp;viewType=1" TargetMode="External"/><Relationship Id="rId25" Type="http://schemas.openxmlformats.org/officeDocument/2006/relationships/hyperlink" Target="https://elvis.quintiles.com/livelink/llisapi.dll?func=ll&amp;objId=174789386&amp;objAction=browse&amp;viewType=1" TargetMode="External"/><Relationship Id="rId26" Type="http://schemas.openxmlformats.org/officeDocument/2006/relationships/hyperlink" Target="https://quintiles.sharepoint.com/sites/QISO/SiteAssets/Forms/AllItems.aspx?id=/sites/QISO/SiteAssets/One%20Pager%20-%20Slide/Encryption_Poster.pdf&amp;parent=/sites/QISO/SiteAssets/One%20Pager%20-%20Slide" TargetMode="External"/><Relationship Id="rId27" Type="http://schemas.openxmlformats.org/officeDocument/2006/relationships/header" Target="header2.xml"/><Relationship Id="rId28" Type="http://schemas.openxmlformats.org/officeDocument/2006/relationships/footer" Target="footer3.xml"/><Relationship Id="rId29" Type="http://schemas.openxmlformats.org/officeDocument/2006/relationships/image" Target="media/image2.png"/><Relationship Id="rId30" Type="http://schemas.openxmlformats.org/officeDocument/2006/relationships/header" Target="header3.xml"/><Relationship Id="rId31" Type="http://schemas.openxmlformats.org/officeDocument/2006/relationships/footer" Target="footer4.xml"/><Relationship Id="rId32" Type="http://schemas.openxmlformats.org/officeDocument/2006/relationships/image" Target="media/image3.png"/><Relationship Id="rId33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2023-04-11T16:42:45Z</dcterms:created>
  <dcterms:modified xsi:type="dcterms:W3CDTF">2023-04-11T16:42:45Z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2022-08-15T00:00:00Z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