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Default Extension="jpeg" ContentType="image/jpeg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/>
              <w:ind w:left="1259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Submission</w:t>
            </w:r>
            <w:r>
              <w:rPr>
                <w:b/>
                <w:spacing w:val="-10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Deliverables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CS_WI_BS022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10"/>
                <w:sz w:val="20"/>
              </w:rPr>
              <w:t>7</w:t>
            </w:r>
          </w:p>
        </w:tc>
      </w:tr>
      <w:tr>
        <w:trPr>
          <w:trHeight w:val="560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29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29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Gerhard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Becker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7"/>
        <w:ind w:left="1259" w:right="677"/>
      </w:pPr>
      <w:r>
        <w:rPr/>
        <w:t>To describe the planning, production, review, documentation, and archival of submission-ready</w:t>
      </w:r>
      <w:r>
        <w:rPr>
          <w:spacing w:val="-4"/>
        </w:rPr>
        <w:t> </w:t>
      </w:r>
      <w:r>
        <w:rPr/>
        <w:t>derived</w:t>
      </w:r>
      <w:r>
        <w:rPr>
          <w:spacing w:val="-4"/>
        </w:rPr>
        <w:t> </w:t>
      </w:r>
      <w:r>
        <w:rPr/>
        <w:t>datasets</w:t>
      </w:r>
      <w:r>
        <w:rPr>
          <w:spacing w:val="-4"/>
        </w:rPr>
        <w:t> </w:t>
      </w:r>
      <w:r>
        <w:rPr/>
        <w:t>(DDs)</w:t>
      </w:r>
      <w:r>
        <w:rPr>
          <w:spacing w:val="-4"/>
        </w:rPr>
        <w:t> </w:t>
      </w:r>
      <w:r>
        <w:rPr/>
        <w:t>including</w:t>
      </w:r>
      <w:r>
        <w:rPr>
          <w:spacing w:val="-4"/>
        </w:rPr>
        <w:t> </w:t>
      </w:r>
      <w:r>
        <w:rPr/>
        <w:t>transport</w:t>
      </w:r>
      <w:r>
        <w:rPr>
          <w:spacing w:val="-4"/>
        </w:rPr>
        <w:t> </w:t>
      </w:r>
      <w:r>
        <w:rPr/>
        <w:t>files,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Define</w:t>
      </w:r>
      <w:r>
        <w:rPr>
          <w:spacing w:val="-4"/>
        </w:rPr>
        <w:t> </w:t>
      </w:r>
      <w:r>
        <w:rPr/>
        <w:t>document describing the dataset and variable metadata, applicable Reviewer’s Guide(s), and the Biostatistics Submission Annotated Case Report Form (CRF)/electronic Case Report Form (eCRF).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ListParagraph"/>
        <w:numPr>
          <w:ilvl w:val="1"/>
          <w:numId w:val="1"/>
        </w:numPr>
        <w:tabs>
          <w:tab w:pos="1711" w:val="left" w:leader="none"/>
          <w:tab w:pos="1712" w:val="left" w:leader="none"/>
        </w:tabs>
        <w:spacing w:line="240" w:lineRule="auto" w:before="2" w:after="0"/>
        <w:ind w:left="1711" w:right="749" w:hanging="629"/>
        <w:jc w:val="left"/>
        <w:rPr>
          <w:sz w:val="22"/>
        </w:rPr>
      </w:pP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all</w:t>
      </w:r>
      <w:r>
        <w:rPr>
          <w:spacing w:val="-4"/>
          <w:sz w:val="22"/>
        </w:rPr>
        <w:t> </w:t>
      </w:r>
      <w:r>
        <w:rPr>
          <w:sz w:val="22"/>
        </w:rPr>
        <w:t>projects</w:t>
      </w:r>
      <w:r>
        <w:rPr>
          <w:spacing w:val="-4"/>
          <w:sz w:val="22"/>
        </w:rPr>
        <w:t> </w:t>
      </w:r>
      <w:r>
        <w:rPr>
          <w:sz w:val="22"/>
        </w:rPr>
        <w:t>where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4"/>
          <w:sz w:val="22"/>
        </w:rPr>
        <w:t> </w:t>
      </w:r>
      <w:r>
        <w:rPr>
          <w:sz w:val="22"/>
        </w:rPr>
        <w:t>Biostatistics</w:t>
      </w:r>
      <w:r>
        <w:rPr>
          <w:spacing w:val="-4"/>
          <w:sz w:val="22"/>
        </w:rPr>
        <w:t> </w:t>
      </w:r>
      <w:r>
        <w:rPr>
          <w:sz w:val="22"/>
        </w:rPr>
        <w:t>produces</w:t>
      </w:r>
      <w:r>
        <w:rPr>
          <w:spacing w:val="-4"/>
          <w:sz w:val="22"/>
        </w:rPr>
        <w:t> </w:t>
      </w:r>
      <w:r>
        <w:rPr>
          <w:sz w:val="22"/>
        </w:rPr>
        <w:t>submission</w:t>
      </w:r>
      <w:r>
        <w:rPr>
          <w:spacing w:val="-4"/>
          <w:sz w:val="22"/>
        </w:rPr>
        <w:t> </w:t>
      </w:r>
      <w:r>
        <w:rPr>
          <w:sz w:val="22"/>
        </w:rPr>
        <w:t>deliverables according to the ICH M2: Electronic Common Technical Document (eCTD) Specification including:</w:t>
      </w:r>
    </w:p>
    <w:p>
      <w:pPr>
        <w:pStyle w:val="ListParagraph"/>
        <w:numPr>
          <w:ilvl w:val="2"/>
          <w:numId w:val="1"/>
        </w:numPr>
        <w:tabs>
          <w:tab w:pos="2522" w:val="left" w:leader="none"/>
          <w:tab w:pos="2523" w:val="left" w:leader="none"/>
        </w:tabs>
        <w:spacing w:line="252" w:lineRule="exact" w:before="0" w:after="0"/>
        <w:ind w:left="2522" w:right="0" w:hanging="812"/>
        <w:jc w:val="left"/>
        <w:rPr>
          <w:sz w:val="22"/>
        </w:rPr>
      </w:pPr>
      <w:r>
        <w:rPr>
          <w:sz w:val="22"/>
        </w:rPr>
        <w:t>Submission-ready</w:t>
      </w:r>
      <w:r>
        <w:rPr>
          <w:spacing w:val="-9"/>
          <w:sz w:val="22"/>
        </w:rPr>
        <w:t> </w:t>
      </w:r>
      <w:r>
        <w:rPr>
          <w:sz w:val="22"/>
        </w:rPr>
        <w:t>DDs</w:t>
      </w:r>
      <w:r>
        <w:rPr>
          <w:spacing w:val="-9"/>
          <w:sz w:val="22"/>
        </w:rPr>
        <w:t> </w:t>
      </w:r>
      <w:r>
        <w:rPr>
          <w:sz w:val="22"/>
        </w:rPr>
        <w:t>(including</w:t>
      </w:r>
      <w:r>
        <w:rPr>
          <w:spacing w:val="-8"/>
          <w:sz w:val="22"/>
        </w:rPr>
        <w:t> </w:t>
      </w:r>
      <w:r>
        <w:rPr>
          <w:sz w:val="22"/>
        </w:rPr>
        <w:t>tabulation</w:t>
      </w:r>
      <w:r>
        <w:rPr>
          <w:spacing w:val="-9"/>
          <w:sz w:val="22"/>
        </w:rPr>
        <w:t> </w:t>
      </w:r>
      <w:r>
        <w:rPr>
          <w:sz w:val="22"/>
        </w:rPr>
        <w:t>and/or</w:t>
      </w:r>
      <w:r>
        <w:rPr>
          <w:spacing w:val="-9"/>
          <w:sz w:val="22"/>
        </w:rPr>
        <w:t> </w:t>
      </w:r>
      <w:r>
        <w:rPr>
          <w:sz w:val="22"/>
        </w:rPr>
        <w:t>analysis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datasets)</w:t>
      </w:r>
    </w:p>
    <w:p>
      <w:pPr>
        <w:pStyle w:val="ListParagraph"/>
        <w:numPr>
          <w:ilvl w:val="2"/>
          <w:numId w:val="1"/>
        </w:numPr>
        <w:tabs>
          <w:tab w:pos="2522" w:val="left" w:leader="none"/>
          <w:tab w:pos="2523" w:val="left" w:leader="none"/>
        </w:tabs>
        <w:spacing w:line="240" w:lineRule="auto" w:before="1" w:after="0"/>
        <w:ind w:left="2522" w:right="1238" w:hanging="812"/>
        <w:jc w:val="left"/>
        <w:rPr>
          <w:sz w:val="22"/>
        </w:rPr>
      </w:pPr>
      <w:r>
        <w:rPr>
          <w:sz w:val="22"/>
        </w:rPr>
        <w:t>Define</w:t>
      </w:r>
      <w:r>
        <w:rPr>
          <w:spacing w:val="-5"/>
          <w:sz w:val="22"/>
        </w:rPr>
        <w:t> </w:t>
      </w:r>
      <w:r>
        <w:rPr>
          <w:sz w:val="22"/>
        </w:rPr>
        <w:t>document</w:t>
      </w:r>
      <w:r>
        <w:rPr>
          <w:spacing w:val="-5"/>
          <w:sz w:val="22"/>
        </w:rPr>
        <w:t> </w:t>
      </w:r>
      <w:r>
        <w:rPr>
          <w:sz w:val="22"/>
        </w:rPr>
        <w:t>(in</w:t>
      </w:r>
      <w:r>
        <w:rPr>
          <w:spacing w:val="-7"/>
          <w:sz w:val="22"/>
        </w:rPr>
        <w:t> </w:t>
      </w:r>
      <w:r>
        <w:rPr>
          <w:sz w:val="22"/>
        </w:rPr>
        <w:t>Extensible</w:t>
      </w:r>
      <w:r>
        <w:rPr>
          <w:spacing w:val="-5"/>
          <w:sz w:val="22"/>
        </w:rPr>
        <w:t> </w:t>
      </w:r>
      <w:r>
        <w:rPr>
          <w:sz w:val="22"/>
        </w:rPr>
        <w:t>Markup</w:t>
      </w:r>
      <w:r>
        <w:rPr>
          <w:spacing w:val="-5"/>
          <w:sz w:val="22"/>
        </w:rPr>
        <w:t> </w:t>
      </w:r>
      <w:r>
        <w:rPr>
          <w:sz w:val="22"/>
        </w:rPr>
        <w:t>Language</w:t>
      </w:r>
      <w:r>
        <w:rPr>
          <w:spacing w:val="-5"/>
          <w:sz w:val="22"/>
        </w:rPr>
        <w:t> </w:t>
      </w:r>
      <w:r>
        <w:rPr>
          <w:sz w:val="22"/>
        </w:rPr>
        <w:t>(XML)</w:t>
      </w:r>
      <w:r>
        <w:rPr>
          <w:spacing w:val="-5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Portable Document Format (PDF) format)</w:t>
      </w:r>
    </w:p>
    <w:p>
      <w:pPr>
        <w:pStyle w:val="ListParagraph"/>
        <w:numPr>
          <w:ilvl w:val="2"/>
          <w:numId w:val="1"/>
        </w:numPr>
        <w:tabs>
          <w:tab w:pos="2522" w:val="left" w:leader="none"/>
          <w:tab w:pos="2523" w:val="left" w:leader="none"/>
        </w:tabs>
        <w:spacing w:line="251" w:lineRule="exact" w:before="3" w:after="0"/>
        <w:ind w:left="2522" w:right="0" w:hanging="812"/>
        <w:jc w:val="left"/>
        <w:rPr>
          <w:sz w:val="22"/>
        </w:rPr>
      </w:pPr>
      <w:r>
        <w:rPr>
          <w:sz w:val="22"/>
        </w:rPr>
        <w:t>Reviewer’s</w:t>
      </w:r>
      <w:r>
        <w:rPr>
          <w:spacing w:val="-8"/>
          <w:sz w:val="22"/>
        </w:rPr>
        <w:t> </w:t>
      </w:r>
      <w:r>
        <w:rPr>
          <w:sz w:val="22"/>
        </w:rPr>
        <w:t>Guide(s)</w:t>
      </w:r>
      <w:r>
        <w:rPr>
          <w:spacing w:val="-8"/>
          <w:sz w:val="22"/>
        </w:rPr>
        <w:t> </w:t>
      </w:r>
      <w:r>
        <w:rPr>
          <w:sz w:val="22"/>
        </w:rPr>
        <w:t>(for</w:t>
      </w:r>
      <w:r>
        <w:rPr>
          <w:spacing w:val="-10"/>
          <w:sz w:val="22"/>
        </w:rPr>
        <w:t> </w:t>
      </w:r>
      <w:r>
        <w:rPr>
          <w:sz w:val="22"/>
        </w:rPr>
        <w:t>tabulation</w:t>
      </w:r>
      <w:r>
        <w:rPr>
          <w:spacing w:val="-7"/>
          <w:sz w:val="22"/>
        </w:rPr>
        <w:t> </w:t>
      </w:r>
      <w:r>
        <w:rPr>
          <w:sz w:val="22"/>
        </w:rPr>
        <w:t>and/or</w:t>
      </w:r>
      <w:r>
        <w:rPr>
          <w:spacing w:val="-8"/>
          <w:sz w:val="22"/>
        </w:rPr>
        <w:t> </w:t>
      </w:r>
      <w:r>
        <w:rPr>
          <w:sz w:val="22"/>
        </w:rPr>
        <w:t>analysis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datasets)</w:t>
      </w:r>
    </w:p>
    <w:p>
      <w:pPr>
        <w:pStyle w:val="ListParagraph"/>
        <w:numPr>
          <w:ilvl w:val="2"/>
          <w:numId w:val="1"/>
        </w:numPr>
        <w:tabs>
          <w:tab w:pos="2522" w:val="left" w:leader="none"/>
          <w:tab w:pos="2523" w:val="left" w:leader="none"/>
        </w:tabs>
        <w:spacing w:line="251" w:lineRule="exact" w:before="0" w:after="0"/>
        <w:ind w:left="2522" w:right="0" w:hanging="812"/>
        <w:jc w:val="left"/>
        <w:rPr>
          <w:sz w:val="22"/>
        </w:rPr>
      </w:pPr>
      <w:r>
        <w:rPr>
          <w:sz w:val="22"/>
        </w:rPr>
        <w:t>Biostatistics</w:t>
      </w:r>
      <w:r>
        <w:rPr>
          <w:spacing w:val="-11"/>
          <w:sz w:val="22"/>
        </w:rPr>
        <w:t> </w:t>
      </w:r>
      <w:r>
        <w:rPr>
          <w:sz w:val="22"/>
        </w:rPr>
        <w:t>Submission</w:t>
      </w:r>
      <w:r>
        <w:rPr>
          <w:spacing w:val="-11"/>
          <w:sz w:val="22"/>
        </w:rPr>
        <w:t> </w:t>
      </w:r>
      <w:r>
        <w:rPr>
          <w:sz w:val="22"/>
        </w:rPr>
        <w:t>Annotated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(e)CRF</w:t>
      </w:r>
    </w:p>
    <w:p>
      <w:pPr>
        <w:pStyle w:val="BodyText"/>
        <w:spacing w:before="3"/>
      </w:pPr>
    </w:p>
    <w:p>
      <w:pPr>
        <w:pStyle w:val="ListParagraph"/>
        <w:numPr>
          <w:ilvl w:val="1"/>
          <w:numId w:val="1"/>
        </w:numPr>
        <w:tabs>
          <w:tab w:pos="1711" w:val="left" w:leader="none"/>
          <w:tab w:pos="1712" w:val="left" w:leader="none"/>
        </w:tabs>
        <w:spacing w:line="240" w:lineRule="auto" w:before="0" w:after="0"/>
        <w:ind w:left="1711" w:right="637" w:hanging="629"/>
        <w:jc w:val="left"/>
        <w:rPr>
          <w:sz w:val="22"/>
        </w:rPr>
      </w:pPr>
      <w:r>
        <w:rPr>
          <w:sz w:val="22"/>
        </w:rPr>
        <w:t>Includes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application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standards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tabulation</w:t>
      </w:r>
      <w:r>
        <w:rPr>
          <w:spacing w:val="-3"/>
          <w:sz w:val="22"/>
        </w:rPr>
        <w:t> </w:t>
      </w:r>
      <w:r>
        <w:rPr>
          <w:sz w:val="22"/>
        </w:rPr>
        <w:t>and/or</w:t>
      </w:r>
      <w:r>
        <w:rPr>
          <w:spacing w:val="-3"/>
          <w:sz w:val="22"/>
        </w:rPr>
        <w:t> </w:t>
      </w:r>
      <w:r>
        <w:rPr>
          <w:sz w:val="22"/>
        </w:rPr>
        <w:t>analysis</w:t>
      </w:r>
      <w:r>
        <w:rPr>
          <w:spacing w:val="-3"/>
          <w:sz w:val="22"/>
        </w:rPr>
        <w:t> </w:t>
      </w:r>
      <w:r>
        <w:rPr>
          <w:sz w:val="22"/>
        </w:rPr>
        <w:t>datasets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/or Define</w:t>
      </w:r>
      <w:r>
        <w:rPr>
          <w:spacing w:val="-4"/>
          <w:sz w:val="22"/>
        </w:rPr>
        <w:t> </w:t>
      </w:r>
      <w:r>
        <w:rPr>
          <w:sz w:val="22"/>
        </w:rPr>
        <w:t>documents,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example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Study</w:t>
      </w:r>
      <w:r>
        <w:rPr>
          <w:spacing w:val="-4"/>
          <w:sz w:val="22"/>
        </w:rPr>
        <w:t> </w:t>
      </w:r>
      <w:r>
        <w:rPr>
          <w:sz w:val="22"/>
        </w:rPr>
        <w:t>Data</w:t>
      </w:r>
      <w:r>
        <w:rPr>
          <w:spacing w:val="-4"/>
          <w:sz w:val="22"/>
        </w:rPr>
        <w:t> </w:t>
      </w:r>
      <w:r>
        <w:rPr>
          <w:sz w:val="22"/>
        </w:rPr>
        <w:t>Tabulation</w:t>
      </w:r>
      <w:r>
        <w:rPr>
          <w:spacing w:val="-3"/>
          <w:sz w:val="22"/>
        </w:rPr>
        <w:t> </w:t>
      </w:r>
      <w:r>
        <w:rPr>
          <w:sz w:val="22"/>
        </w:rPr>
        <w:t>Model</w:t>
      </w:r>
      <w:r>
        <w:rPr>
          <w:spacing w:val="-5"/>
          <w:sz w:val="22"/>
        </w:rPr>
        <w:t> </w:t>
      </w:r>
      <w:r>
        <w:rPr>
          <w:sz w:val="22"/>
        </w:rPr>
        <w:t>(SDTM),</w:t>
      </w:r>
      <w:r>
        <w:rPr>
          <w:spacing w:val="-1"/>
          <w:sz w:val="22"/>
        </w:rPr>
        <w:t> </w:t>
      </w:r>
      <w:r>
        <w:rPr>
          <w:sz w:val="22"/>
        </w:rPr>
        <w:t>Analysis Data Model (ADaM) and Define-XML Specification published by the Clinical Data Interchange Standards Consortium (CDISC).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roles</w:t>
      </w:r>
      <w:r>
        <w:rPr>
          <w:spacing w:val="-5"/>
        </w:rPr>
        <w:t> </w:t>
      </w:r>
      <w:r>
        <w:rPr/>
        <w:t>perform</w:t>
      </w:r>
      <w:r>
        <w:rPr>
          <w:spacing w:val="-5"/>
        </w:rPr>
        <w:t> </w:t>
      </w:r>
      <w:r>
        <w:rPr/>
        <w:t>tasks</w:t>
      </w:r>
      <w:r>
        <w:rPr>
          <w:spacing w:val="-5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3"/>
        </w:rPr>
        <w:t> </w:t>
      </w:r>
      <w:r>
        <w:rPr/>
        <w:t>Work</w:t>
      </w:r>
      <w:r>
        <w:rPr>
          <w:spacing w:val="-5"/>
        </w:rPr>
        <w:t> </w:t>
      </w:r>
      <w:r>
        <w:rPr>
          <w:spacing w:val="-2"/>
        </w:rPr>
        <w:t>Instruction:</w:t>
      </w:r>
    </w:p>
    <w:p>
      <w:pPr>
        <w:pStyle w:val="BodyText"/>
        <w:spacing w:before="6" w:after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54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Programming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(PTL)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Programmer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(Prog)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54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(QC)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(BPTM)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Senior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Biostatistical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(SBR)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6.3,</w:t>
            </w:r>
            <w:r>
              <w:rPr>
                <w:spacing w:val="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</w:tbl>
    <w:p>
      <w:pPr>
        <w:pStyle w:val="BodyText"/>
        <w:spacing w:before="1"/>
      </w:pPr>
    </w:p>
    <w:p>
      <w:pPr>
        <w:pStyle w:val="BodyText"/>
        <w:ind w:left="1260"/>
      </w:pPr>
      <w:r>
        <w:rPr/>
        <w:t>The</w:t>
      </w:r>
      <w:r>
        <w:rPr>
          <w:spacing w:val="-7"/>
        </w:rPr>
        <w:t> </w:t>
      </w:r>
      <w:r>
        <w:rPr/>
        <w:t>Prog</w:t>
      </w:r>
      <w:r>
        <w:rPr>
          <w:spacing w:val="-5"/>
        </w:rPr>
        <w:t> </w:t>
      </w:r>
      <w:r>
        <w:rPr/>
        <w:t>role</w:t>
      </w:r>
      <w:r>
        <w:rPr>
          <w:spacing w:val="-5"/>
        </w:rPr>
        <w:t> </w:t>
      </w:r>
      <w:r>
        <w:rPr/>
        <w:t>refers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both</w:t>
      </w:r>
      <w:r>
        <w:rPr>
          <w:spacing w:val="-5"/>
        </w:rPr>
        <w:t> </w:t>
      </w:r>
      <w:r>
        <w:rPr/>
        <w:t>Production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Quality</w:t>
      </w:r>
      <w:r>
        <w:rPr>
          <w:spacing w:val="-5"/>
        </w:rPr>
        <w:t> </w:t>
      </w:r>
      <w:r>
        <w:rPr/>
        <w:t>Control</w:t>
      </w:r>
      <w:r>
        <w:rPr>
          <w:spacing w:val="-5"/>
        </w:rPr>
        <w:t> </w:t>
      </w:r>
      <w:r>
        <w:rPr>
          <w:spacing w:val="-2"/>
        </w:rPr>
        <w:t>Programmers.</w:t>
      </w:r>
    </w:p>
    <w:p>
      <w:pPr>
        <w:pStyle w:val="BodyText"/>
        <w:spacing w:before="5"/>
      </w:pPr>
    </w:p>
    <w:p>
      <w:pPr>
        <w:pStyle w:val="BodyText"/>
        <w:spacing w:line="237" w:lineRule="auto"/>
        <w:ind w:left="1260" w:right="677"/>
      </w:pPr>
      <w:r>
        <w:rPr/>
        <w:t>The</w:t>
      </w:r>
      <w:r>
        <w:rPr>
          <w:spacing w:val="-4"/>
        </w:rPr>
        <w:t> </w:t>
      </w:r>
      <w:r>
        <w:rPr/>
        <w:t>SBR</w:t>
      </w:r>
      <w:r>
        <w:rPr>
          <w:spacing w:val="-4"/>
        </w:rPr>
        <w:t> </w:t>
      </w:r>
      <w:r>
        <w:rPr/>
        <w:t>role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any</w:t>
      </w:r>
      <w:r>
        <w:rPr>
          <w:spacing w:val="-4"/>
        </w:rPr>
        <w:t> </w:t>
      </w:r>
      <w:r>
        <w:rPr/>
        <w:t>qualified</w:t>
      </w:r>
      <w:r>
        <w:rPr>
          <w:spacing w:val="-4"/>
        </w:rPr>
        <w:t> </w:t>
      </w:r>
      <w:r>
        <w:rPr/>
        <w:t>senior</w:t>
      </w:r>
      <w:r>
        <w:rPr>
          <w:spacing w:val="-4"/>
        </w:rPr>
        <w:t> </w:t>
      </w:r>
      <w:r>
        <w:rPr/>
        <w:t>reviewer</w:t>
      </w:r>
      <w:r>
        <w:rPr>
          <w:spacing w:val="-4"/>
        </w:rPr>
        <w:t> </w:t>
      </w:r>
      <w:r>
        <w:rPr/>
        <w:t>(statistician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programmer)</w:t>
      </w:r>
      <w:r>
        <w:rPr>
          <w:spacing w:val="-4"/>
        </w:rPr>
        <w:t> </w:t>
      </w:r>
      <w:r>
        <w:rPr/>
        <w:t>with appropriate knowledge and understanding of CDISC standards.</w:t>
      </w:r>
    </w:p>
    <w:p>
      <w:pPr>
        <w:pStyle w:val="BodyText"/>
        <w:spacing w:before="2"/>
      </w:pPr>
    </w:p>
    <w:p>
      <w:pPr>
        <w:pStyle w:val="BodyText"/>
        <w:spacing w:before="1"/>
        <w:ind w:left="1259"/>
      </w:pPr>
      <w:r>
        <w:rPr/>
        <w:t>The</w:t>
      </w:r>
      <w:r>
        <w:rPr>
          <w:spacing w:val="-8"/>
        </w:rPr>
        <w:t> </w:t>
      </w:r>
      <w:r>
        <w:rPr/>
        <w:t>QC</w:t>
      </w:r>
      <w:r>
        <w:rPr>
          <w:spacing w:val="-5"/>
        </w:rPr>
        <w:t> </w:t>
      </w:r>
      <w:r>
        <w:rPr/>
        <w:t>role</w:t>
      </w:r>
      <w:r>
        <w:rPr>
          <w:spacing w:val="-5"/>
        </w:rPr>
        <w:t> </w:t>
      </w:r>
      <w:r>
        <w:rPr/>
        <w:t>can</w:t>
      </w:r>
      <w:r>
        <w:rPr>
          <w:spacing w:val="-7"/>
        </w:rPr>
        <w:t> </w:t>
      </w:r>
      <w:r>
        <w:rPr/>
        <w:t>be</w:t>
      </w:r>
      <w:r>
        <w:rPr>
          <w:spacing w:val="-6"/>
        </w:rPr>
        <w:t> </w:t>
      </w:r>
      <w:r>
        <w:rPr/>
        <w:t>any</w:t>
      </w:r>
      <w:r>
        <w:rPr>
          <w:spacing w:val="-5"/>
        </w:rPr>
        <w:t> </w:t>
      </w:r>
      <w:r>
        <w:rPr/>
        <w:t>appropriate</w:t>
      </w:r>
      <w:r>
        <w:rPr>
          <w:spacing w:val="-5"/>
        </w:rPr>
        <w:t> </w:t>
      </w:r>
      <w:r>
        <w:rPr/>
        <w:t>reviewer</w:t>
      </w:r>
      <w:r>
        <w:rPr>
          <w:spacing w:val="-5"/>
        </w:rPr>
        <w:t> </w:t>
      </w:r>
      <w:r>
        <w:rPr/>
        <w:t>(statistician</w:t>
      </w:r>
      <w:r>
        <w:rPr>
          <w:spacing w:val="-6"/>
        </w:rPr>
        <w:t> </w:t>
      </w:r>
      <w:r>
        <w:rPr/>
        <w:t>or</w:t>
      </w:r>
      <w:r>
        <w:rPr>
          <w:spacing w:val="-5"/>
        </w:rPr>
        <w:t> </w:t>
      </w:r>
      <w:r>
        <w:rPr/>
        <w:t>programmer)</w:t>
      </w:r>
      <w:r>
        <w:rPr>
          <w:spacing w:val="-5"/>
        </w:rPr>
        <w:t> </w:t>
      </w:r>
      <w:r>
        <w:rPr/>
        <w:t>who</w:t>
      </w:r>
      <w:r>
        <w:rPr>
          <w:spacing w:val="-5"/>
        </w:rPr>
        <w:t> </w:t>
      </w:r>
      <w:r>
        <w:rPr/>
        <w:t>has</w:t>
      </w:r>
      <w:r>
        <w:rPr>
          <w:spacing w:val="-5"/>
        </w:rPr>
        <w:t> the</w:t>
      </w: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7"/>
        </w:rPr>
      </w:pPr>
      <w:r>
        <w:rPr/>
        <w:pict>
          <v:rect style="position:absolute;margin-left:70.559998pt;margin-top:11.121485pt;width:470.88pt;height:.48pt;mso-position-horizontal-relative:page;mso-position-vertical-relative:paragraph;z-index:-15728640;mso-wrap-distance-left:0;mso-wrap-distance-right:0" id="docshape2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17</w:t>
      </w:r>
    </w:p>
    <w:p>
      <w:pPr>
        <w:spacing w:line="244" w:lineRule="auto" w:before="0"/>
        <w:ind w:left="539" w:right="677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2008,</w:t>
      </w:r>
      <w:r>
        <w:rPr>
          <w:spacing w:val="-3"/>
          <w:sz w:val="16"/>
        </w:rPr>
        <w:t> </w:t>
      </w:r>
      <w:r>
        <w:rPr>
          <w:sz w:val="16"/>
        </w:rPr>
        <w:t>2010,</w:t>
      </w:r>
      <w:r>
        <w:rPr>
          <w:spacing w:val="-3"/>
          <w:sz w:val="16"/>
        </w:rPr>
        <w:t> </w:t>
      </w:r>
      <w:r>
        <w:rPr>
          <w:sz w:val="16"/>
        </w:rPr>
        <w:t>2012,</w:t>
      </w:r>
      <w:r>
        <w:rPr>
          <w:spacing w:val="-3"/>
          <w:sz w:val="16"/>
        </w:rPr>
        <w:t> </w:t>
      </w:r>
      <w:r>
        <w:rPr>
          <w:sz w:val="16"/>
        </w:rPr>
        <w:t>2016,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3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2022</w:t>
      </w:r>
      <w:r>
        <w:rPr>
          <w:spacing w:val="-3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 are</w:t>
      </w:r>
      <w:r>
        <w:rPr>
          <w:spacing w:val="-3"/>
          <w:sz w:val="16"/>
        </w:rPr>
        <w:t> </w:t>
      </w:r>
      <w:r>
        <w:rPr>
          <w:sz w:val="16"/>
        </w:rPr>
        <w:t>confidential 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footerReference w:type="default" r:id="rId5"/>
          <w:type w:val="continuous"/>
          <w:pgSz w:w="12240" w:h="15840"/>
          <w:pgMar w:footer="268" w:header="0" w:top="700" w:bottom="460" w:left="900" w:right="90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BodyText"/>
        <w:spacing w:before="94"/>
        <w:ind w:left="1260"/>
      </w:pPr>
      <w:r>
        <w:rPr/>
        <w:t>necessary</w:t>
      </w:r>
      <w:r>
        <w:rPr>
          <w:spacing w:val="-6"/>
        </w:rPr>
        <w:t> </w:t>
      </w:r>
      <w:r>
        <w:rPr/>
        <w:t>QC</w:t>
      </w:r>
      <w:r>
        <w:rPr>
          <w:spacing w:val="-5"/>
        </w:rPr>
        <w:t> </w:t>
      </w:r>
      <w:r>
        <w:rPr>
          <w:spacing w:val="-2"/>
        </w:rPr>
        <w:t>knowledge.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127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spacing w:before="126"/>
        <w:ind w:left="1260" w:right="677"/>
      </w:pPr>
      <w:r>
        <w:rPr/>
        <w:t>The</w:t>
      </w:r>
      <w:r>
        <w:rPr>
          <w:spacing w:val="-4"/>
        </w:rPr>
        <w:t> </w:t>
      </w:r>
      <w:r>
        <w:rPr/>
        <w:t>workflow</w:t>
      </w:r>
      <w:r>
        <w:rPr>
          <w:spacing w:val="-4"/>
        </w:rPr>
        <w:t> </w:t>
      </w:r>
      <w:r>
        <w:rPr/>
        <w:t>diagram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Appendix</w:t>
      </w:r>
      <w:r>
        <w:rPr>
          <w:spacing w:val="-4"/>
        </w:rPr>
        <w:t> </w:t>
      </w:r>
      <w:r>
        <w:rPr/>
        <w:t>A.</w:t>
      </w:r>
      <w:r>
        <w:rPr>
          <w:spacing w:val="-4"/>
        </w:rPr>
        <w:t> </w:t>
      </w:r>
      <w:r>
        <w:rPr/>
        <w:t>The</w:t>
      </w:r>
      <w:r>
        <w:rPr>
          <w:spacing w:val="-1"/>
        </w:rPr>
        <w:t> </w:t>
      </w:r>
      <w:r>
        <w:rPr/>
        <w:t>seven main</w:t>
      </w:r>
      <w:r>
        <w:rPr>
          <w:spacing w:val="-5"/>
        </w:rPr>
        <w:t> </w:t>
      </w:r>
      <w:r>
        <w:rPr/>
        <w:t>steps involved in the creation of the Submission Annotated (e)CRF, submission-ready DDs and transport files, Define document, and Reviewer’s Guide(s) are: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9" w:lineRule="exact" w:before="119" w:after="0"/>
        <w:ind w:left="1980" w:right="0" w:hanging="360"/>
        <w:jc w:val="left"/>
        <w:rPr>
          <w:sz w:val="22"/>
        </w:rPr>
      </w:pPr>
      <w:r>
        <w:rPr>
          <w:spacing w:val="-2"/>
          <w:sz w:val="22"/>
        </w:rPr>
        <w:t>Planning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6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Production,</w:t>
      </w:r>
      <w:r>
        <w:rPr>
          <w:spacing w:val="-7"/>
          <w:sz w:val="22"/>
        </w:rPr>
        <w:t> </w:t>
      </w:r>
      <w:r>
        <w:rPr>
          <w:sz w:val="22"/>
        </w:rPr>
        <w:t>review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delivery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7"/>
          <w:sz w:val="22"/>
        </w:rPr>
        <w:t> </w:t>
      </w:r>
      <w:r>
        <w:rPr>
          <w:sz w:val="22"/>
        </w:rPr>
        <w:t>Submission</w:t>
      </w:r>
      <w:r>
        <w:rPr>
          <w:spacing w:val="-7"/>
          <w:sz w:val="22"/>
        </w:rPr>
        <w:t> </w:t>
      </w:r>
      <w:r>
        <w:rPr>
          <w:sz w:val="22"/>
        </w:rPr>
        <w:t>Annotated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(e)CRF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763" w:hanging="360"/>
        <w:jc w:val="left"/>
        <w:rPr>
          <w:sz w:val="22"/>
        </w:rPr>
      </w:pPr>
      <w:r>
        <w:rPr>
          <w:sz w:val="22"/>
        </w:rPr>
        <w:t>Production,</w:t>
      </w:r>
      <w:r>
        <w:rPr>
          <w:spacing w:val="-8"/>
          <w:sz w:val="22"/>
        </w:rPr>
        <w:t> </w:t>
      </w:r>
      <w:r>
        <w:rPr>
          <w:sz w:val="22"/>
        </w:rPr>
        <w:t>Quality</w:t>
      </w:r>
      <w:r>
        <w:rPr>
          <w:spacing w:val="-5"/>
          <w:sz w:val="22"/>
        </w:rPr>
        <w:t> </w:t>
      </w:r>
      <w:r>
        <w:rPr>
          <w:sz w:val="22"/>
        </w:rPr>
        <w:t>Control</w:t>
      </w:r>
      <w:r>
        <w:rPr>
          <w:spacing w:val="-5"/>
          <w:sz w:val="22"/>
        </w:rPr>
        <w:t> </w:t>
      </w:r>
      <w:r>
        <w:rPr>
          <w:sz w:val="22"/>
        </w:rPr>
        <w:t>(QC),</w:t>
      </w:r>
      <w:r>
        <w:rPr>
          <w:spacing w:val="-2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delivery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submission-ready</w:t>
      </w:r>
      <w:r>
        <w:rPr>
          <w:spacing w:val="-3"/>
          <w:sz w:val="22"/>
        </w:rPr>
        <w:t> </w:t>
      </w:r>
      <w:r>
        <w:rPr>
          <w:sz w:val="22"/>
        </w:rPr>
        <w:t>DDs and transport files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9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Production,</w:t>
      </w:r>
      <w:r>
        <w:rPr>
          <w:spacing w:val="-7"/>
          <w:sz w:val="22"/>
        </w:rPr>
        <w:t> </w:t>
      </w:r>
      <w:r>
        <w:rPr>
          <w:sz w:val="22"/>
        </w:rPr>
        <w:t>QC,</w:t>
      </w:r>
      <w:r>
        <w:rPr>
          <w:spacing w:val="-2"/>
          <w:sz w:val="22"/>
        </w:rPr>
        <w:t> </w:t>
      </w:r>
      <w:r>
        <w:rPr>
          <w:sz w:val="22"/>
        </w:rPr>
        <w:t>review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delivery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Define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document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9" w:lineRule="exact" w:before="0" w:after="0"/>
        <w:ind w:left="1980" w:right="0" w:hanging="360"/>
        <w:jc w:val="left"/>
        <w:rPr>
          <w:sz w:val="22"/>
        </w:rPr>
      </w:pPr>
      <w:r>
        <w:rPr>
          <w:sz w:val="22"/>
        </w:rPr>
        <w:t>Production,</w:t>
      </w:r>
      <w:r>
        <w:rPr>
          <w:spacing w:val="-10"/>
          <w:sz w:val="22"/>
        </w:rPr>
        <w:t> </w:t>
      </w:r>
      <w:r>
        <w:rPr>
          <w:sz w:val="22"/>
        </w:rPr>
        <w:t>QC,</w:t>
      </w:r>
      <w:r>
        <w:rPr>
          <w:spacing w:val="-2"/>
          <w:sz w:val="22"/>
        </w:rPr>
        <w:t> </w:t>
      </w:r>
      <w:r>
        <w:rPr>
          <w:sz w:val="22"/>
        </w:rPr>
        <w:t>review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delivery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Reviewer’s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Guide(s)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6" w:lineRule="exact" w:before="0" w:after="0"/>
        <w:ind w:left="1980" w:right="0" w:hanging="360"/>
        <w:jc w:val="left"/>
        <w:rPr>
          <w:sz w:val="22"/>
        </w:rPr>
      </w:pPr>
      <w:r>
        <w:rPr>
          <w:spacing w:val="-2"/>
          <w:sz w:val="22"/>
        </w:rPr>
        <w:t>Documentation</w:t>
      </w:r>
    </w:p>
    <w:p>
      <w:pPr>
        <w:pStyle w:val="ListParagraph"/>
        <w:numPr>
          <w:ilvl w:val="0"/>
          <w:numId w:val="2"/>
        </w:numPr>
        <w:tabs>
          <w:tab w:pos="1979" w:val="left" w:leader="none"/>
          <w:tab w:pos="1980" w:val="left" w:leader="none"/>
        </w:tabs>
        <w:spacing w:line="267" w:lineRule="exact" w:before="0" w:after="0"/>
        <w:ind w:left="1980" w:right="0" w:hanging="360"/>
        <w:jc w:val="left"/>
        <w:rPr>
          <w:sz w:val="22"/>
        </w:rPr>
      </w:pPr>
      <w:r>
        <w:rPr>
          <w:spacing w:val="-2"/>
          <w:sz w:val="22"/>
        </w:rPr>
        <w:t>Archival</w:t>
      </w: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233" w:after="0"/>
        <w:ind w:left="1980" w:right="0" w:hanging="720"/>
        <w:jc w:val="left"/>
        <w:rPr>
          <w:b/>
          <w:sz w:val="22"/>
        </w:rPr>
      </w:pPr>
      <w:bookmarkStart w:name="Planning" w:id="7"/>
      <w:bookmarkEnd w:id="7"/>
      <w:r>
        <w:rPr>
          <w:b/>
          <w:spacing w:val="-2"/>
          <w:sz w:val="22"/>
        </w:rPr>
        <w:t>Planning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58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226"/>
              <w:rPr>
                <w:sz w:val="20"/>
              </w:rPr>
            </w:pPr>
            <w:r>
              <w:rPr>
                <w:sz w:val="20"/>
              </w:rPr>
              <w:t>Determines the following information and documents the 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(CS_TP_BS002):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9" w:lineRule="auto" w:before="40" w:after="0"/>
              <w:ind w:left="829" w:right="128" w:hanging="360"/>
              <w:jc w:val="left"/>
              <w:rPr>
                <w:sz w:val="20"/>
              </w:rPr>
            </w:pPr>
            <w:r>
              <w:rPr>
                <w:sz w:val="20"/>
              </w:rPr>
              <w:t>Scope of submission delivery and which files (e.g., Define.xml,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(cSDRG), Analysis Data Reviewer’s Guide (ADRG)) and datasets (e.g., Derived Datasets) are required for the submission delivery package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9" w:lineRule="auto" w:before="0" w:after="0"/>
              <w:ind w:left="829" w:right="420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 requirements for the submission of data to a regulatory agency, including publishing requirements/standards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Bookmarking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 Contents) that should be applied to the Submission Annotated (e)CRF and Reviewer’s Guide(s)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33" w:lineRule="exact" w:before="0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Which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agencies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to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488" w:hanging="360"/>
              <w:jc w:val="left"/>
              <w:rPr>
                <w:sz w:val="20"/>
              </w:rPr>
            </w:pPr>
            <w:r>
              <w:rPr>
                <w:sz w:val="20"/>
              </w:rPr>
              <w:t>Whether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CDISC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 customer standards:</w:t>
            </w:r>
          </w:p>
          <w:p>
            <w:pPr>
              <w:pStyle w:val="TableParagraph"/>
              <w:numPr>
                <w:ilvl w:val="1"/>
                <w:numId w:val="3"/>
              </w:numPr>
              <w:tabs>
                <w:tab w:pos="1550" w:val="left" w:leader="none"/>
              </w:tabs>
              <w:spacing w:line="230" w:lineRule="exact" w:before="0" w:after="0"/>
              <w:ind w:left="1549" w:right="519" w:hanging="360"/>
              <w:jc w:val="left"/>
              <w:rPr>
                <w:sz w:val="20"/>
              </w:rPr>
            </w:pPr>
            <w:r>
              <w:rPr>
                <w:sz w:val="20"/>
              </w:rPr>
              <w:t>If based on CDISC standards, which model(s), version(s)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Implementation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Guide(s)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(IGs) (e.g., SDTM and/or ADaM) and Controlled Terminology (CT) are to be used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06"/>
              <w:rPr>
                <w:sz w:val="20"/>
              </w:rPr>
            </w:pPr>
            <w:r>
              <w:rPr>
                <w:sz w:val="20"/>
              </w:rPr>
              <w:t>Prior to starting 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submission annotation and creating DD </w:t>
            </w:r>
            <w:r>
              <w:rPr>
                <w:spacing w:val="-2"/>
                <w:sz w:val="20"/>
              </w:rPr>
              <w:t>specifications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4"/>
        <w:rPr>
          <w:b/>
          <w:sz w:val="24"/>
        </w:rPr>
      </w:pPr>
      <w:r>
        <w:rPr/>
        <w:pict>
          <v:rect style="position:absolute;margin-left:66pt;margin-top:15.201953pt;width:475.44pt;height:.24pt;mso-position-horizontal-relative:page;mso-position-vertical-relative:paragraph;z-index:-15727616;mso-wrap-distance-left:0;mso-wrap-distance-right:0" id="docshape5" filled="true" fillcolor="#000000" stroked="false">
            <v:fill type="solid"/>
            <w10:wrap type="topAndBottom"/>
          </v:rect>
        </w:pict>
      </w:r>
    </w:p>
    <w:p>
      <w:pPr>
        <w:spacing w:after="0"/>
        <w:rPr>
          <w:sz w:val="24"/>
        </w:rPr>
        <w:sectPr>
          <w:headerReference w:type="default" r:id="rId7"/>
          <w:footerReference w:type="default" r:id="rId8"/>
          <w:pgSz w:w="12240" w:h="15840"/>
          <w:pgMar w:header="725" w:footer="666" w:top="2520" w:bottom="860" w:left="900" w:right="900"/>
          <w:pgNumType w:start="2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801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1550" w:val="left" w:leader="none"/>
              </w:tabs>
              <w:spacing w:line="230" w:lineRule="auto" w:before="6" w:after="0"/>
              <w:ind w:left="1549" w:right="118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standards,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customer standards are to be used (including </w:t>
            </w:r>
            <w:r>
              <w:rPr>
                <w:spacing w:val="-2"/>
                <w:sz w:val="20"/>
              </w:rPr>
              <w:t>checklist(s)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5" w:after="0"/>
              <w:ind w:left="829" w:right="276" w:hanging="360"/>
              <w:jc w:val="left"/>
              <w:rPr>
                <w:sz w:val="20"/>
              </w:rPr>
            </w:pPr>
            <w:r>
              <w:rPr>
                <w:sz w:val="20"/>
              </w:rPr>
              <w:t>Version(s) of coding dictionaries (e.g., Medical Dictionary for Regulatory Authorities (MedDRA) and World Health Organization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Dictionary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(WHO-DD))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 the study and if ongoing upgrading of these version(s)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will be expected during the lifecycle of the study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2" w:lineRule="exact" w:before="0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Template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Guide(s)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5" w:lineRule="exact" w:before="0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Format/version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document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137" w:hanging="360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covered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Approaches to QC (CS_WI_BS015) for each submission deliverable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125" w:hanging="360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validation,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 of the tool used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862" w:hanging="360"/>
              <w:jc w:val="left"/>
              <w:rPr>
                <w:sz w:val="20"/>
              </w:rPr>
            </w:pPr>
            <w:r>
              <w:rPr>
                <w:sz w:val="20"/>
              </w:rPr>
              <w:t>Method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package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9" w:right="226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origin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create the tabulation submission-ready DDs.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00"/>
              <w:rPr>
                <w:sz w:val="20"/>
              </w:rPr>
            </w:pPr>
            <w:r>
              <w:rPr>
                <w:sz w:val="20"/>
              </w:rPr>
              <w:t>Prior to creating DD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specifications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tabulation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raw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 source for the analysis datasets.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00"/>
              <w:rPr>
                <w:sz w:val="20"/>
              </w:rPr>
            </w:pPr>
            <w:r>
              <w:rPr>
                <w:sz w:val="20"/>
              </w:rPr>
              <w:t>Prior to creating DD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specifications</w:t>
            </w:r>
          </w:p>
        </w:tc>
      </w:tr>
      <w:tr>
        <w:trPr>
          <w:trHeight w:val="5898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0" w:lineRule="auto" w:before="43" w:after="0"/>
              <w:ind w:left="829" w:right="117" w:hanging="360"/>
              <w:jc w:val="left"/>
              <w:rPr>
                <w:sz w:val="20"/>
              </w:rPr>
            </w:pPr>
            <w:r>
              <w:rPr>
                <w:sz w:val="20"/>
              </w:rPr>
              <w:t>If IQVIA Data Management (DM) creates the raw files, obtains a complete set of the (e)CRFs (non-annotated and SAS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Annotated)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(DTL)/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Technical Designer (TD) and confirms that the version number and dates are the same between the non-annotated and SAS annotated (e)CRFs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254" w:hanging="360"/>
              <w:jc w:val="left"/>
              <w:rPr>
                <w:sz w:val="20"/>
              </w:rPr>
            </w:pPr>
            <w:r>
              <w:rPr>
                <w:sz w:val="20"/>
              </w:rPr>
              <w:t>If the customer/ vendor creates the raw files, obtains a complete set of the (e)CRFs (non-annotated and/or SAS Annotated) from Project Lead (PL), customer or vendor contact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obtains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correct and final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363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and/or mapping specifications or equivalent documentation to show how the raw variables map back to the (e)CRF (for 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mapping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called Data Transfer Specifications (DTS))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37" w:lineRule="auto" w:before="0" w:after="0"/>
              <w:ind w:left="829" w:right="148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and reviews all Non-CRF Data Guidelines (CS_TP_DM027) to show how vendor data variables map back to the vendor datasets. Non-CRF Data Guidelines not available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point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available to be incorporated in the submission deliverables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0" w:lineRule="auto" w:before="4" w:after="0"/>
              <w:ind w:left="829" w:right="162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CDISC,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IQVIA DM creates “semi-SDTM”, “SDTM-like” or CDASH datasets, provides input on mappings to facilitate the creation of “full SDTM” datasets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00"/>
              <w:rPr>
                <w:sz w:val="20"/>
              </w:rPr>
            </w:pPr>
            <w:r>
              <w:rPr>
                <w:sz w:val="20"/>
              </w:rPr>
              <w:t>Prior to creating DD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specifications</w:t>
            </w:r>
          </w:p>
        </w:tc>
      </w:tr>
    </w:tbl>
    <w:p>
      <w:pPr>
        <w:spacing w:after="0"/>
        <w:rPr>
          <w:sz w:val="20"/>
        </w:rPr>
        <w:sectPr>
          <w:headerReference w:type="default" r:id="rId9"/>
          <w:footerReference w:type="default" r:id="rId10"/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52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spacing w:line="261" w:lineRule="auto" w:before="42"/>
              <w:ind w:left="109" w:right="226"/>
              <w:rPr>
                <w:sz w:val="20"/>
              </w:rPr>
            </w:pPr>
            <w:r>
              <w:rPr>
                <w:sz w:val="20"/>
              </w:rPr>
              <w:t>Verifies that all variables in the raw datasets are present either on the annotated (e)CRF or mapping specifications and vice versa. 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Authorization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Management</w:t>
            </w:r>
          </w:p>
          <w:p>
            <w:pPr>
              <w:pStyle w:val="TableParagraph"/>
              <w:spacing w:line="208" w:lineRule="exact"/>
              <w:ind w:left="109"/>
              <w:rPr>
                <w:sz w:val="20"/>
              </w:rPr>
            </w:pPr>
            <w:r>
              <w:rPr>
                <w:sz w:val="20"/>
              </w:rPr>
              <w:t>Plan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(CS_WI_BS008)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details.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09" w:right="100"/>
              <w:rPr>
                <w:sz w:val="20"/>
              </w:rPr>
            </w:pPr>
            <w:r>
              <w:rPr>
                <w:sz w:val="20"/>
              </w:rPr>
              <w:t>After the test transfer of raw data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 creation of DD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979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line="242" w:lineRule="auto" w:before="52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(SOSD)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Subject Retention Communication Program (SRCP) data) do not require annotations on the (e)CRF. Refer to EDC Database Build</w:t>
            </w:r>
          </w:p>
          <w:p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sz w:val="20"/>
              </w:rPr>
              <w:t>(CS_WI_DM0404)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details.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80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226"/>
              <w:rPr>
                <w:sz w:val="20"/>
              </w:rPr>
            </w:pPr>
            <w:r>
              <w:rPr>
                <w:sz w:val="20"/>
              </w:rPr>
              <w:t>Contacts the DTL/ TD (for IQVIA DM raw data) or the PL/customer/vendor (for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non-IQVIA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raw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 discrepancies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previous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applicable). Feedback can be provided via the Data Issues Log (CS_TP_BS014) or applicable Biostatistics web-based </w:t>
            </w:r>
            <w:r>
              <w:rPr>
                <w:spacing w:val="-2"/>
                <w:sz w:val="20"/>
              </w:rPr>
              <w:t>solution/system.</w:t>
            </w:r>
          </w:p>
          <w:p>
            <w:pPr>
              <w:pStyle w:val="TableParagraph"/>
              <w:spacing w:before="7"/>
              <w:ind w:left="0"/>
              <w:rPr>
                <w:b/>
                <w:sz w:val="30"/>
              </w:rPr>
            </w:pPr>
          </w:p>
          <w:p>
            <w:pPr>
              <w:pStyle w:val="TableParagraph"/>
              <w:spacing w:line="261" w:lineRule="auto"/>
              <w:ind w:left="109" w:right="22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 single Data Issues Log or applicable Biostatistics web- based solution/system (CS_TP_BS014) should be used for 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resolution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throughout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life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study.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0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test transfer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370" w:lineRule="atLeast" w:before="154" w:after="0"/>
        <w:ind w:left="1980" w:right="1477" w:hanging="720"/>
        <w:jc w:val="left"/>
        <w:rPr>
          <w:sz w:val="22"/>
        </w:rPr>
      </w:pPr>
      <w:bookmarkStart w:name="Production, Review, and Delivery of Subm" w:id="8"/>
      <w:bookmarkEnd w:id="8"/>
      <w:r>
        <w:rPr>
          <w:b/>
          <w:sz w:val="22"/>
        </w:rPr>
        <w:t>Production</w:t>
      </w:r>
      <w:r>
        <w:rPr>
          <w:b/>
          <w:sz w:val="22"/>
        </w:rPr>
        <w:t>,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Delivery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Annotated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(e)CRF Note: </w:t>
      </w:r>
      <w:r>
        <w:rPr>
          <w:sz w:val="22"/>
        </w:rPr>
        <w:t>(e)CRF annotations are not required for:</w:t>
      </w:r>
    </w:p>
    <w:p>
      <w:pPr>
        <w:pStyle w:val="ListParagraph"/>
        <w:numPr>
          <w:ilvl w:val="0"/>
          <w:numId w:val="7"/>
        </w:numPr>
        <w:tabs>
          <w:tab w:pos="2339" w:val="left" w:leader="none"/>
          <w:tab w:pos="2340" w:val="left" w:leader="none"/>
        </w:tabs>
        <w:spacing w:line="269" w:lineRule="exact" w:before="10" w:after="0"/>
        <w:ind w:left="2340" w:right="0" w:hanging="361"/>
        <w:jc w:val="left"/>
        <w:rPr>
          <w:sz w:val="22"/>
        </w:rPr>
      </w:pPr>
      <w:r>
        <w:rPr>
          <w:sz w:val="22"/>
        </w:rPr>
        <w:t>Non-(e)CRF</w:t>
      </w:r>
      <w:r>
        <w:rPr>
          <w:spacing w:val="-5"/>
          <w:sz w:val="22"/>
        </w:rPr>
        <w:t> </w:t>
      </w:r>
      <w:r>
        <w:rPr>
          <w:sz w:val="22"/>
        </w:rPr>
        <w:t>raw</w:t>
      </w:r>
      <w:r>
        <w:rPr>
          <w:spacing w:val="-4"/>
          <w:sz w:val="22"/>
        </w:rPr>
        <w:t> </w:t>
      </w:r>
      <w:r>
        <w:rPr>
          <w:sz w:val="22"/>
        </w:rPr>
        <w:t>data</w:t>
      </w:r>
      <w:r>
        <w:rPr>
          <w:spacing w:val="-4"/>
          <w:sz w:val="22"/>
        </w:rPr>
        <w:t> </w:t>
      </w:r>
      <w:r>
        <w:rPr>
          <w:sz w:val="22"/>
        </w:rPr>
        <w:t>(e.g.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labs)</w:t>
      </w:r>
    </w:p>
    <w:p>
      <w:pPr>
        <w:pStyle w:val="ListParagraph"/>
        <w:numPr>
          <w:ilvl w:val="0"/>
          <w:numId w:val="7"/>
        </w:numPr>
        <w:tabs>
          <w:tab w:pos="2339" w:val="left" w:leader="none"/>
          <w:tab w:pos="2340" w:val="left" w:leader="none"/>
        </w:tabs>
        <w:spacing w:line="269" w:lineRule="exact" w:before="0" w:after="0"/>
        <w:ind w:left="2340" w:right="0" w:hanging="361"/>
        <w:jc w:val="left"/>
        <w:rPr>
          <w:sz w:val="22"/>
        </w:rPr>
      </w:pPr>
      <w:r>
        <w:rPr>
          <w:sz w:val="22"/>
        </w:rPr>
        <w:t>Derived</w:t>
      </w:r>
      <w:r>
        <w:rPr>
          <w:spacing w:val="-8"/>
          <w:sz w:val="22"/>
        </w:rPr>
        <w:t> </w:t>
      </w:r>
      <w:r>
        <w:rPr>
          <w:sz w:val="22"/>
        </w:rPr>
        <w:t>analysis</w:t>
      </w:r>
      <w:r>
        <w:rPr>
          <w:spacing w:val="-6"/>
          <w:sz w:val="22"/>
        </w:rPr>
        <w:t> </w:t>
      </w:r>
      <w:r>
        <w:rPr>
          <w:sz w:val="22"/>
        </w:rPr>
        <w:t>variables</w:t>
      </w:r>
      <w:r>
        <w:rPr>
          <w:spacing w:val="-6"/>
          <w:sz w:val="22"/>
        </w:rPr>
        <w:t> </w:t>
      </w:r>
      <w:r>
        <w:rPr>
          <w:sz w:val="22"/>
        </w:rPr>
        <w:t>(e.g.</w:t>
      </w:r>
      <w:r>
        <w:rPr>
          <w:spacing w:val="-6"/>
          <w:sz w:val="22"/>
        </w:rPr>
        <w:t> </w:t>
      </w:r>
      <w:r>
        <w:rPr>
          <w:sz w:val="22"/>
        </w:rPr>
        <w:t>total</w:t>
      </w:r>
      <w:r>
        <w:rPr>
          <w:spacing w:val="-6"/>
          <w:sz w:val="22"/>
        </w:rPr>
        <w:t> </w:t>
      </w:r>
      <w:r>
        <w:rPr>
          <w:sz w:val="22"/>
        </w:rPr>
        <w:t>symptom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scores)</w:t>
      </w:r>
    </w:p>
    <w:p>
      <w:pPr>
        <w:pStyle w:val="ListParagraph"/>
        <w:numPr>
          <w:ilvl w:val="0"/>
          <w:numId w:val="7"/>
        </w:numPr>
        <w:tabs>
          <w:tab w:pos="2339" w:val="left" w:leader="none"/>
          <w:tab w:pos="2340" w:val="left" w:leader="none"/>
        </w:tabs>
        <w:spacing w:line="235" w:lineRule="auto" w:before="4" w:after="0"/>
        <w:ind w:left="2340" w:right="624" w:hanging="360"/>
        <w:jc w:val="left"/>
        <w:rPr>
          <w:sz w:val="22"/>
        </w:rPr>
      </w:pPr>
      <w:r>
        <w:rPr>
          <w:sz w:val="22"/>
        </w:rPr>
        <w:t>Variables</w:t>
      </w:r>
      <w:r>
        <w:rPr>
          <w:spacing w:val="-2"/>
          <w:sz w:val="22"/>
        </w:rPr>
        <w:t> </w:t>
      </w:r>
      <w:r>
        <w:rPr>
          <w:sz w:val="22"/>
        </w:rPr>
        <w:t>that</w:t>
      </w:r>
      <w:r>
        <w:rPr>
          <w:spacing w:val="-4"/>
          <w:sz w:val="22"/>
        </w:rPr>
        <w:t> </w:t>
      </w:r>
      <w:r>
        <w:rPr>
          <w:sz w:val="22"/>
        </w:rPr>
        <w:t>are</w:t>
      </w:r>
      <w:r>
        <w:rPr>
          <w:spacing w:val="-4"/>
          <w:sz w:val="22"/>
        </w:rPr>
        <w:t> </w:t>
      </w:r>
      <w:r>
        <w:rPr>
          <w:sz w:val="22"/>
        </w:rPr>
        <w:t>not</w:t>
      </w:r>
      <w:r>
        <w:rPr>
          <w:spacing w:val="-4"/>
          <w:sz w:val="22"/>
        </w:rPr>
        <w:t> </w:t>
      </w:r>
      <w:r>
        <w:rPr>
          <w:sz w:val="22"/>
        </w:rPr>
        <w:t>part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submission-ready</w:t>
      </w:r>
      <w:r>
        <w:rPr>
          <w:spacing w:val="-2"/>
          <w:sz w:val="22"/>
        </w:rPr>
        <w:t> </w:t>
      </w:r>
      <w:r>
        <w:rPr>
          <w:sz w:val="22"/>
        </w:rPr>
        <w:t>DDs</w:t>
      </w:r>
      <w:r>
        <w:rPr>
          <w:spacing w:val="-2"/>
          <w:sz w:val="22"/>
        </w:rPr>
        <w:t> </w:t>
      </w:r>
      <w:r>
        <w:rPr>
          <w:sz w:val="22"/>
        </w:rPr>
        <w:t>(usually</w:t>
      </w:r>
      <w:r>
        <w:rPr>
          <w:spacing w:val="-4"/>
          <w:sz w:val="22"/>
        </w:rPr>
        <w:t> </w:t>
      </w:r>
      <w:r>
        <w:rPr>
          <w:sz w:val="22"/>
        </w:rPr>
        <w:t>indicated</w:t>
      </w:r>
      <w:r>
        <w:rPr>
          <w:spacing w:val="-4"/>
          <w:sz w:val="22"/>
        </w:rPr>
        <w:t> </w:t>
      </w:r>
      <w:r>
        <w:rPr>
          <w:sz w:val="22"/>
        </w:rPr>
        <w:t>as “NOT SUBMITTED” on the Submission Annotated (e)CRF)</w:t>
      </w:r>
    </w:p>
    <w:p>
      <w:pPr>
        <w:pStyle w:val="BodyText"/>
        <w:spacing w:before="3" w:after="1"/>
      </w:pPr>
    </w:p>
    <w:tbl>
      <w:tblPr>
        <w:tblW w:w="0" w:type="auto"/>
        <w:jc w:val="left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4"/>
        <w:gridCol w:w="1839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39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22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404" w:type="dxa"/>
          </w:tcPr>
          <w:p>
            <w:pPr>
              <w:pStyle w:val="TableParagraph"/>
              <w:spacing w:before="38"/>
              <w:ind w:left="104" w:right="109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non-annotated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conforms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the publication standards (font, page size or similar) of the customer or regulator as required.</w:t>
            </w:r>
          </w:p>
          <w:p>
            <w:pPr>
              <w:pStyle w:val="TableParagraph"/>
              <w:spacing w:before="9"/>
              <w:ind w:left="0"/>
              <w:rPr>
                <w:sz w:val="26"/>
              </w:rPr>
            </w:pPr>
          </w:p>
          <w:p>
            <w:pPr>
              <w:pStyle w:val="TableParagraph"/>
              <w:ind w:left="104" w:right="38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Modifications to below process can be based on customer- supplied standards. Production must begin after the raw (e)CRF database structure is considered final (i.e. database structure (including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DTS)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available Non-CRF Data Guidelines are final.</w:t>
            </w:r>
          </w:p>
        </w:tc>
        <w:tc>
          <w:tcPr>
            <w:tcW w:w="1839" w:type="dxa"/>
          </w:tcPr>
          <w:p>
            <w:pPr>
              <w:pStyle w:val="TableParagraph"/>
              <w:spacing w:before="38"/>
              <w:ind w:left="103" w:right="308"/>
              <w:rPr>
                <w:sz w:val="20"/>
              </w:rPr>
            </w:pPr>
            <w:r>
              <w:rPr>
                <w:sz w:val="20"/>
              </w:rPr>
              <w:t>Before starting 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submission </w:t>
            </w:r>
            <w:r>
              <w:rPr>
                <w:spacing w:val="-2"/>
                <w:sz w:val="20"/>
              </w:rPr>
              <w:t>annotation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4" w:type="dxa"/>
          </w:tcPr>
          <w:p>
            <w:pPr>
              <w:pStyle w:val="TableParagraph"/>
              <w:spacing w:before="42"/>
              <w:ind w:left="104" w:right="150"/>
              <w:rPr>
                <w:sz w:val="20"/>
              </w:rPr>
            </w:pPr>
            <w:r>
              <w:rPr>
                <w:sz w:val="20"/>
              </w:rPr>
              <w:t>Annotates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DDs. The Submission Annotated (e)CRF may be dependent or independent of the SAS annotated (e)CRF.</w:t>
            </w:r>
          </w:p>
        </w:tc>
        <w:tc>
          <w:tcPr>
            <w:tcW w:w="1839" w:type="dxa"/>
          </w:tcPr>
          <w:p>
            <w:pPr>
              <w:pStyle w:val="TableParagraph"/>
              <w:spacing w:before="42"/>
              <w:ind w:left="103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writing of DD </w:t>
            </w:r>
            <w:r>
              <w:rPr>
                <w:spacing w:val="-2"/>
                <w:sz w:val="20"/>
              </w:rPr>
              <w:t>specifications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4"/>
        <w:gridCol w:w="1839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39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0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CDISC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standards,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annotates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SDTM Metadata Submission Guidelines and/or customer-specific standards. Applies any publishing requirements/standards (e.g.</w:t>
            </w:r>
          </w:p>
          <w:p>
            <w:pPr>
              <w:pStyle w:val="TableParagraph"/>
              <w:spacing w:before="2"/>
              <w:ind w:left="104"/>
              <w:rPr>
                <w:sz w:val="20"/>
              </w:rPr>
            </w:pPr>
            <w:r>
              <w:rPr>
                <w:sz w:val="20"/>
              </w:rPr>
              <w:t>Bookmarking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Contents).</w:t>
            </w:r>
          </w:p>
          <w:p>
            <w:pPr>
              <w:pStyle w:val="TableParagraph"/>
              <w:spacing w:before="3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/>
              <w:ind w:left="104" w:right="109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Depending on customer requirements, publishing-ready 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might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action can be delayed until then.</w:t>
            </w:r>
          </w:p>
        </w:tc>
        <w:tc>
          <w:tcPr>
            <w:tcW w:w="1839" w:type="dxa"/>
          </w:tcPr>
          <w:p>
            <w:pPr>
              <w:pStyle w:val="TableParagraph"/>
              <w:spacing w:before="42"/>
              <w:ind w:left="103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during writing of DD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232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5" w:val="left" w:leader="none"/>
              </w:tabs>
              <w:spacing w:line="243" w:lineRule="exact" w:before="40" w:after="0"/>
              <w:ind w:left="82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5" w:val="left" w:leader="none"/>
              </w:tabs>
              <w:spacing w:line="242" w:lineRule="exact" w:before="0" w:after="0"/>
              <w:ind w:left="82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5" w:val="left" w:leader="none"/>
              </w:tabs>
              <w:spacing w:line="240" w:lineRule="auto" w:before="0" w:after="0"/>
              <w:ind w:left="824" w:right="325" w:hanging="360"/>
              <w:jc w:val="both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Materials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(CS_OD_BS0234) (QC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Annotated CRF worksheet)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5" w:val="left" w:leader="none"/>
              </w:tabs>
              <w:spacing w:line="240" w:lineRule="auto" w:before="1" w:after="0"/>
              <w:ind w:left="82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before="2"/>
              <w:ind w:left="0"/>
              <w:rPr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Annotator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same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person.</w:t>
            </w:r>
          </w:p>
        </w:tc>
        <w:tc>
          <w:tcPr>
            <w:tcW w:w="1839" w:type="dxa"/>
          </w:tcPr>
          <w:p>
            <w:pPr>
              <w:pStyle w:val="TableParagraph"/>
              <w:spacing w:before="38"/>
              <w:ind w:left="10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(e)CRF has been </w:t>
            </w:r>
            <w:r>
              <w:rPr>
                <w:spacing w:val="-2"/>
                <w:sz w:val="20"/>
              </w:rPr>
              <w:t>submission annotated</w:t>
            </w:r>
          </w:p>
        </w:tc>
      </w:tr>
      <w:tr>
        <w:trPr>
          <w:trHeight w:val="173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4" w:type="dxa"/>
          </w:tcPr>
          <w:p>
            <w:pPr>
              <w:pStyle w:val="TableParagraph"/>
              <w:spacing w:line="242" w:lineRule="auto" w:before="38"/>
              <w:ind w:left="104" w:right="383"/>
              <w:rPr>
                <w:sz w:val="20"/>
              </w:rPr>
            </w:pPr>
            <w:r>
              <w:rPr>
                <w:sz w:val="20"/>
              </w:rPr>
              <w:t>Verifies that all unique (e)CRF pages are correctly specified by checking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raw, SAS annotated (e)CRF.</w:t>
            </w:r>
          </w:p>
          <w:p>
            <w:pPr>
              <w:pStyle w:val="TableParagraph"/>
              <w:spacing w:before="2"/>
              <w:ind w:left="0"/>
              <w:rPr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typical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Annotated</w:t>
            </w:r>
          </w:p>
          <w:p>
            <w:pPr>
              <w:pStyle w:val="TableParagraph"/>
              <w:spacing w:line="230" w:lineRule="atLeast"/>
              <w:ind w:left="104" w:right="109"/>
              <w:rPr>
                <w:sz w:val="20"/>
              </w:rPr>
            </w:pPr>
            <w:r>
              <w:rPr>
                <w:sz w:val="20"/>
              </w:rPr>
              <w:t>(e)CRF.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customer/vendor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equivalent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 if a SAS (e)CRF is unavailable.</w:t>
            </w:r>
          </w:p>
        </w:tc>
        <w:tc>
          <w:tcPr>
            <w:tcW w:w="1839" w:type="dxa"/>
          </w:tcPr>
          <w:p>
            <w:pPr>
              <w:pStyle w:val="TableParagraph"/>
              <w:spacing w:line="242" w:lineRule="auto" w:before="38"/>
              <w:ind w:left="104" w:right="118"/>
              <w:rPr>
                <w:sz w:val="20"/>
              </w:rPr>
            </w:pPr>
            <w:r>
              <w:rPr>
                <w:sz w:val="20"/>
              </w:rPr>
              <w:t>During review of </w:t>
            </w:r>
            <w:r>
              <w:rPr>
                <w:spacing w:val="-2"/>
                <w:sz w:val="20"/>
              </w:rPr>
              <w:t>submission </w:t>
            </w:r>
            <w:r>
              <w:rPr>
                <w:sz w:val="20"/>
              </w:rPr>
              <w:t>annotated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(e)CRF</w:t>
            </w:r>
          </w:p>
        </w:tc>
      </w:tr>
      <w:tr>
        <w:trPr>
          <w:trHeight w:val="3277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40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5" w:val="left" w:leader="none"/>
              </w:tabs>
              <w:spacing w:line="237" w:lineRule="auto" w:before="2" w:after="0"/>
              <w:ind w:left="824" w:right="325" w:hanging="360"/>
              <w:jc w:val="both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Materials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(CS_OD_BS0234) (QC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Annotated CRF worksheet)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37" w:lineRule="auto" w:before="2" w:after="0"/>
              <w:ind w:left="824" w:right="243" w:hanging="360"/>
              <w:jc w:val="left"/>
              <w:rPr>
                <w:rFonts w:ascii="Symbol" w:hAnsi="Symbol"/>
                <w:sz w:val="22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(SBR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Annotated CRF worksheet)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4" w:val="left" w:leader="none"/>
                <w:tab w:pos="825" w:val="left" w:leader="none"/>
              </w:tabs>
              <w:spacing w:line="240" w:lineRule="auto" w:before="2" w:after="0"/>
              <w:ind w:left="824" w:right="0" w:hanging="361"/>
              <w:jc w:val="left"/>
              <w:rPr>
                <w:rFonts w:ascii="Symbol" w:hAnsi="Symbol"/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before="2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/>
              <w:ind w:left="104" w:right="383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SBR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mandatory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SDTM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aCRF’s.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the SDTM aCRF is required.</w:t>
            </w:r>
          </w:p>
        </w:tc>
        <w:tc>
          <w:tcPr>
            <w:tcW w:w="1839" w:type="dxa"/>
          </w:tcPr>
          <w:p>
            <w:pPr>
              <w:pStyle w:val="TableParagraph"/>
              <w:spacing w:before="38"/>
              <w:ind w:left="104" w:right="118"/>
              <w:rPr>
                <w:sz w:val="20"/>
              </w:rPr>
            </w:pPr>
            <w:r>
              <w:rPr>
                <w:sz w:val="20"/>
              </w:rPr>
              <w:t>During review of </w:t>
            </w:r>
            <w:r>
              <w:rPr>
                <w:spacing w:val="-2"/>
                <w:sz w:val="20"/>
              </w:rPr>
              <w:t>submission </w:t>
            </w:r>
            <w:r>
              <w:rPr>
                <w:sz w:val="20"/>
              </w:rPr>
              <w:t>annotated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(e)CRF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right="43"/>
              <w:rPr>
                <w:sz w:val="20"/>
              </w:rPr>
            </w:pPr>
            <w:r>
              <w:rPr>
                <w:sz w:val="20"/>
              </w:rPr>
              <w:t>BPTM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&amp; </w:t>
            </w:r>
            <w:r>
              <w:rPr>
                <w:spacing w:val="-6"/>
                <w:sz w:val="20"/>
              </w:rPr>
              <w:t>QC</w:t>
            </w:r>
          </w:p>
        </w:tc>
        <w:tc>
          <w:tcPr>
            <w:tcW w:w="6404" w:type="dxa"/>
          </w:tcPr>
          <w:p>
            <w:pPr>
              <w:pStyle w:val="TableParagraph"/>
              <w:spacing w:before="38"/>
              <w:ind w:left="104" w:right="109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adds review comments to applicable Biostatistics web-based solution/system, to document review.</w:t>
            </w:r>
          </w:p>
        </w:tc>
        <w:tc>
          <w:tcPr>
            <w:tcW w:w="1839" w:type="dxa"/>
          </w:tcPr>
          <w:p>
            <w:pPr>
              <w:pStyle w:val="TableParagraph"/>
              <w:spacing w:before="38"/>
              <w:ind w:left="104" w:right="118"/>
              <w:rPr>
                <w:sz w:val="20"/>
              </w:rPr>
            </w:pPr>
            <w:r>
              <w:rPr>
                <w:sz w:val="20"/>
              </w:rPr>
              <w:t>After review of </w:t>
            </w:r>
            <w:r>
              <w:rPr>
                <w:spacing w:val="-2"/>
                <w:sz w:val="20"/>
              </w:rPr>
              <w:t>submission </w:t>
            </w:r>
            <w:r>
              <w:rPr>
                <w:sz w:val="20"/>
              </w:rPr>
              <w:t>annotated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(e)CRF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404" w:type="dxa"/>
          </w:tcPr>
          <w:p>
            <w:pPr>
              <w:pStyle w:val="TableParagraph"/>
              <w:spacing w:before="38"/>
              <w:ind w:left="104" w:right="192"/>
              <w:rPr>
                <w:sz w:val="20"/>
              </w:rPr>
            </w:pPr>
            <w:r>
              <w:rPr>
                <w:sz w:val="20"/>
              </w:rPr>
              <w:t>Transfers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finalized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Annotated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(e)CRF to the customer as agreed.</w:t>
            </w:r>
          </w:p>
        </w:tc>
        <w:tc>
          <w:tcPr>
            <w:tcW w:w="1839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delivery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4" w:type="dxa"/>
          </w:tcPr>
          <w:p>
            <w:pPr>
              <w:pStyle w:val="TableParagraph"/>
              <w:spacing w:before="38"/>
              <w:ind w:left="104" w:right="383"/>
              <w:rPr>
                <w:sz w:val="20"/>
              </w:rPr>
            </w:pPr>
            <w:r>
              <w:rPr>
                <w:sz w:val="20"/>
              </w:rPr>
              <w:t>Maintains,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reviews,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Submission Annotated (e)CRF according to above steps.</w:t>
            </w:r>
          </w:p>
        </w:tc>
        <w:tc>
          <w:tcPr>
            <w:tcW w:w="1839" w:type="dxa"/>
          </w:tcPr>
          <w:p>
            <w:pPr>
              <w:pStyle w:val="TableParagraph"/>
              <w:spacing w:before="38"/>
              <w:ind w:left="104" w:right="184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maintenance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4"/>
        <w:gridCol w:w="1839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39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34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40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39" w:type="dxa"/>
          </w:tcPr>
          <w:p>
            <w:pPr>
              <w:pStyle w:val="TableParagraph"/>
              <w:ind w:left="104" w:right="118"/>
              <w:rPr>
                <w:sz w:val="20"/>
              </w:rPr>
            </w:pPr>
            <w:r>
              <w:rPr>
                <w:sz w:val="20"/>
              </w:rPr>
              <w:t>review of </w:t>
            </w:r>
            <w:r>
              <w:rPr>
                <w:spacing w:val="-2"/>
                <w:sz w:val="20"/>
              </w:rPr>
              <w:t>submission </w:t>
            </w:r>
            <w:r>
              <w:rPr>
                <w:sz w:val="20"/>
              </w:rPr>
              <w:t>annotated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(e)CRF</w:t>
            </w:r>
          </w:p>
        </w:tc>
      </w:tr>
    </w:tbl>
    <w:p>
      <w:pPr>
        <w:pStyle w:val="BodyText"/>
        <w:spacing w:before="10"/>
        <w:rPr>
          <w:sz w:val="1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1272" w:hanging="720"/>
        <w:jc w:val="left"/>
        <w:rPr>
          <w:b/>
          <w:sz w:val="22"/>
        </w:rPr>
      </w:pPr>
      <w:bookmarkStart w:name="Production, QC, Review, and Delivery of " w:id="9"/>
      <w:bookmarkEnd w:id="9"/>
      <w:r>
        <w:rPr>
          <w:b/>
          <w:sz w:val="22"/>
        </w:rPr>
        <w:t>Production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QC,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Review,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Delivery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Submission-Ready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DDs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 Transport Files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185"/>
        <w:gridCol w:w="6398"/>
        <w:gridCol w:w="1814"/>
      </w:tblGrid>
      <w:tr>
        <w:trPr>
          <w:trHeight w:val="311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5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426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830" w:val="left" w:leader="none"/>
                <w:tab w:pos="831" w:val="left" w:leader="none"/>
              </w:tabs>
              <w:spacing w:line="240" w:lineRule="auto" w:before="38" w:after="0"/>
              <w:ind w:left="831" w:right="165" w:hanging="360"/>
              <w:jc w:val="left"/>
              <w:rPr>
                <w:sz w:val="20"/>
              </w:rPr>
            </w:pPr>
            <w:r>
              <w:rPr>
                <w:sz w:val="20"/>
              </w:rPr>
              <w:t>Writes DD specifications, including Trial Design datasets, 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(CS_WI_BS013)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way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 facilitates creation of the Define document (e.g. all relevant metadata is included and Define comments are in a column of their own and separate from programmer notes)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131" w:hanging="360"/>
              <w:jc w:val="left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 based solution/system as per Derived Datasets (CS_WI_BS013) to track status of domains</w:t>
            </w:r>
          </w:p>
          <w:p>
            <w:pPr>
              <w:pStyle w:val="TableParagraph"/>
              <w:spacing w:before="1"/>
              <w:ind w:left="0"/>
              <w:rPr>
                <w:b/>
                <w:sz w:val="28"/>
              </w:rPr>
            </w:pPr>
          </w:p>
          <w:p>
            <w:pPr>
              <w:pStyle w:val="TableParagraph"/>
              <w:spacing w:line="242" w:lineRule="auto" w:before="1"/>
              <w:ind w:left="111" w:right="116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Tabulation datasets must be produced as early on as possible 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study,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especially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tabulation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adhere to the instructions below.</w:t>
            </w:r>
          </w:p>
        </w:tc>
        <w:tc>
          <w:tcPr>
            <w:tcW w:w="1814" w:type="dxa"/>
          </w:tcPr>
          <w:p>
            <w:pPr>
              <w:pStyle w:val="TableParagraph"/>
              <w:ind w:left="106" w:right="146"/>
              <w:rPr>
                <w:sz w:val="20"/>
              </w:rPr>
            </w:pPr>
            <w:r>
              <w:rPr>
                <w:sz w:val="20"/>
              </w:rPr>
              <w:t>During DD </w:t>
            </w:r>
            <w:r>
              <w:rPr>
                <w:spacing w:val="-2"/>
                <w:sz w:val="20"/>
              </w:rPr>
              <w:t>specification writing</w:t>
            </w:r>
          </w:p>
        </w:tc>
      </w:tr>
      <w:tr>
        <w:trPr>
          <w:trHeight w:val="772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spacing w:line="242" w:lineRule="auto" w:before="38"/>
              <w:ind w:left="111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consistently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uniquely across the submission, not just within the study for integrated </w:t>
            </w:r>
            <w:r>
              <w:rPr>
                <w:spacing w:val="-2"/>
                <w:sz w:val="20"/>
              </w:rPr>
              <w:t>submissions.</w:t>
            </w:r>
          </w:p>
        </w:tc>
        <w:tc>
          <w:tcPr>
            <w:tcW w:w="1814" w:type="dxa"/>
          </w:tcPr>
          <w:p>
            <w:pPr>
              <w:pStyle w:val="TableParagraph"/>
              <w:ind w:left="106" w:right="146"/>
              <w:rPr>
                <w:sz w:val="20"/>
              </w:rPr>
            </w:pPr>
            <w:r>
              <w:rPr>
                <w:sz w:val="20"/>
              </w:rPr>
              <w:t>During DD </w:t>
            </w:r>
            <w:r>
              <w:rPr>
                <w:spacing w:val="-2"/>
                <w:sz w:val="20"/>
              </w:rPr>
              <w:t>specification writing</w:t>
            </w:r>
          </w:p>
        </w:tc>
      </w:tr>
      <w:tr>
        <w:trPr>
          <w:trHeight w:val="69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right="226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enrolled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more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may be identified across studies.</w:t>
            </w:r>
          </w:p>
        </w:tc>
        <w:tc>
          <w:tcPr>
            <w:tcW w:w="1814" w:type="dxa"/>
          </w:tcPr>
          <w:p>
            <w:pPr>
              <w:pStyle w:val="TableParagraph"/>
              <w:spacing w:line="230" w:lineRule="exact"/>
              <w:ind w:left="106" w:right="146"/>
              <w:rPr>
                <w:sz w:val="20"/>
              </w:rPr>
            </w:pPr>
            <w:r>
              <w:rPr>
                <w:sz w:val="20"/>
              </w:rPr>
              <w:t>During DD </w:t>
            </w:r>
            <w:r>
              <w:rPr>
                <w:spacing w:val="-2"/>
                <w:sz w:val="20"/>
              </w:rPr>
              <w:t>specification writing</w:t>
            </w:r>
          </w:p>
        </w:tc>
      </w:tr>
      <w:tr>
        <w:trPr>
          <w:trHeight w:val="1228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right="116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 files to assist in the creation of DD specifications for submission- ready DDs. If IQVIA is responsible for data management, a copy of the raw, SAS annotated (e)CRF, DTS and all Non-CRF Data Guidelines will be needed.</w:t>
            </w:r>
          </w:p>
        </w:tc>
        <w:tc>
          <w:tcPr>
            <w:tcW w:w="1814" w:type="dxa"/>
          </w:tcPr>
          <w:p>
            <w:pPr>
              <w:pStyle w:val="TableParagraph"/>
              <w:spacing w:line="237" w:lineRule="auto" w:before="1"/>
              <w:ind w:left="106" w:right="146"/>
              <w:rPr>
                <w:sz w:val="20"/>
              </w:rPr>
            </w:pPr>
            <w:r>
              <w:rPr>
                <w:sz w:val="20"/>
              </w:rPr>
              <w:t>During DD </w:t>
            </w:r>
            <w:r>
              <w:rPr>
                <w:spacing w:val="-2"/>
                <w:sz w:val="20"/>
              </w:rPr>
              <w:t>specification writing</w:t>
            </w:r>
          </w:p>
        </w:tc>
      </w:tr>
      <w:tr>
        <w:trPr>
          <w:trHeight w:val="921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left="111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CDISC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standards,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Trial Design datasets are created.</w:t>
            </w:r>
          </w:p>
        </w:tc>
        <w:tc>
          <w:tcPr>
            <w:tcW w:w="1814" w:type="dxa"/>
          </w:tcPr>
          <w:p>
            <w:pPr>
              <w:pStyle w:val="TableParagraph"/>
              <w:spacing w:line="230" w:lineRule="exact"/>
              <w:ind w:left="106" w:right="66"/>
              <w:rPr>
                <w:sz w:val="20"/>
              </w:rPr>
            </w:pPr>
            <w:r>
              <w:rPr>
                <w:spacing w:val="-2"/>
                <w:sz w:val="20"/>
              </w:rPr>
              <w:t>During specification </w:t>
            </w:r>
            <w:r>
              <w:rPr>
                <w:sz w:val="20"/>
              </w:rPr>
              <w:t>writing and creation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DD</w:t>
            </w:r>
          </w:p>
        </w:tc>
      </w:tr>
      <w:tr>
        <w:trPr>
          <w:trHeight w:val="2202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before="42"/>
              <w:ind w:left="111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45" w:lineRule="exact" w:before="35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45" w:lineRule="exact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1" w:val="left" w:leader="none"/>
              </w:tabs>
              <w:spacing w:line="237" w:lineRule="auto" w:before="2" w:after="0"/>
              <w:ind w:left="830" w:right="313" w:hanging="360"/>
              <w:jc w:val="both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Materials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DD Specs worksheet)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30" w:val="left" w:leader="none"/>
                <w:tab w:pos="831" w:val="left" w:leader="none"/>
              </w:tabs>
              <w:spacing w:line="230" w:lineRule="exact" w:before="0" w:after="0"/>
              <w:ind w:left="831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 Data Specifications and Sets (CS_OD_BS0227) (Gate 1 – QC of Spec)</w:t>
            </w:r>
          </w:p>
        </w:tc>
        <w:tc>
          <w:tcPr>
            <w:tcW w:w="1814" w:type="dxa"/>
          </w:tcPr>
          <w:p>
            <w:pPr>
              <w:pStyle w:val="TableParagraph"/>
              <w:ind w:left="106" w:right="146"/>
              <w:rPr>
                <w:sz w:val="20"/>
              </w:rPr>
            </w:pPr>
            <w:r>
              <w:rPr>
                <w:sz w:val="20"/>
              </w:rPr>
              <w:t>After DD specifications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ready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185"/>
        <w:gridCol w:w="6398"/>
        <w:gridCol w:w="1814"/>
      </w:tblGrid>
      <w:tr>
        <w:trPr>
          <w:trHeight w:val="306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5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38" w:hRule="atLeast"/>
        </w:trPr>
        <w:tc>
          <w:tcPr>
            <w:tcW w:w="811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5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98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830" w:val="left" w:leader="none"/>
                <w:tab w:pos="831" w:val="left" w:leader="none"/>
              </w:tabs>
              <w:spacing w:line="240" w:lineRule="auto" w:before="5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line="256" w:lineRule="auto" w:before="37"/>
              <w:ind w:left="111" w:right="116"/>
              <w:rPr>
                <w:sz w:val="20"/>
              </w:rPr>
            </w:pPr>
            <w:r>
              <w:rPr>
                <w:sz w:val="20"/>
              </w:rPr>
              <w:t>Documents completion in the Tracking Document for Derived Datasets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(CS_TP_BS011)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 Biostatistics web-based solution/system.</w:t>
            </w:r>
          </w:p>
          <w:p>
            <w:pPr>
              <w:pStyle w:val="TableParagraph"/>
              <w:spacing w:before="9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Reviewer(s)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same </w:t>
            </w:r>
            <w:r>
              <w:rPr>
                <w:spacing w:val="-2"/>
                <w:sz w:val="20"/>
              </w:rPr>
              <w:t>person.</w:t>
            </w:r>
          </w:p>
        </w:tc>
        <w:tc>
          <w:tcPr>
            <w:tcW w:w="18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49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85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398" w:type="dxa"/>
          </w:tcPr>
          <w:p>
            <w:pPr>
              <w:pStyle w:val="TableParagraph"/>
              <w:spacing w:before="47"/>
              <w:ind w:left="111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5" w:lineRule="exact" w:before="35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2" w:lineRule="exact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208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(SBR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DD Specs worksheet)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 Data Specifications and Sets (CS_OD_BS0227) (Gate 2 – SBR of Spec worksheets)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1814" w:type="dxa"/>
          </w:tcPr>
          <w:p>
            <w:pPr>
              <w:pStyle w:val="TableParagraph"/>
              <w:ind w:left="106" w:right="146"/>
              <w:rPr>
                <w:sz w:val="20"/>
              </w:rPr>
            </w:pPr>
            <w:r>
              <w:rPr>
                <w:sz w:val="20"/>
              </w:rPr>
              <w:t>After DD specifications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ready</w:t>
            </w:r>
          </w:p>
        </w:tc>
      </w:tr>
      <w:tr>
        <w:trPr>
          <w:trHeight w:val="76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BPTM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&amp; </w:t>
            </w:r>
            <w:r>
              <w:rPr>
                <w:spacing w:val="-4"/>
                <w:sz w:val="20"/>
              </w:rPr>
              <w:t>SBR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left="111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adds review comments to applicable Biostatistics web-based solution/system, to document review.</w:t>
            </w:r>
          </w:p>
        </w:tc>
        <w:tc>
          <w:tcPr>
            <w:tcW w:w="1814" w:type="dxa"/>
          </w:tcPr>
          <w:p>
            <w:pPr>
              <w:pStyle w:val="TableParagraph"/>
              <w:ind w:left="106" w:right="145"/>
              <w:rPr>
                <w:sz w:val="20"/>
              </w:rPr>
            </w:pPr>
            <w:r>
              <w:rPr>
                <w:sz w:val="20"/>
              </w:rPr>
              <w:t>After review of DD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specifications</w:t>
            </w:r>
          </w:p>
        </w:tc>
      </w:tr>
      <w:tr>
        <w:trPr>
          <w:trHeight w:val="921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6.3.9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left="111"/>
              <w:rPr>
                <w:sz w:val="20"/>
              </w:rPr>
            </w:pPr>
            <w:r>
              <w:rPr>
                <w:sz w:val="20"/>
              </w:rPr>
              <w:t>Maintains, updates, reviews, and applies version control to DD specifications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(CS_WI_BS013)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above steps.</w:t>
            </w:r>
          </w:p>
        </w:tc>
        <w:tc>
          <w:tcPr>
            <w:tcW w:w="1814" w:type="dxa"/>
          </w:tcPr>
          <w:p>
            <w:pPr>
              <w:pStyle w:val="TableParagraph"/>
              <w:spacing w:line="230" w:lineRule="exact"/>
              <w:ind w:left="106" w:right="157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maintenance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review of DD </w:t>
            </w:r>
            <w:r>
              <w:rPr>
                <w:spacing w:val="-2"/>
                <w:sz w:val="20"/>
              </w:rPr>
              <w:t>specifications</w:t>
            </w:r>
          </w:p>
        </w:tc>
      </w:tr>
      <w:tr>
        <w:trPr>
          <w:trHeight w:val="53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6.3.10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Produces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adhering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Datasets </w:t>
            </w:r>
            <w:r>
              <w:rPr>
                <w:spacing w:val="-2"/>
                <w:sz w:val="20"/>
              </w:rPr>
              <w:t>(CS_WI_BS013).</w:t>
            </w:r>
          </w:p>
        </w:tc>
        <w:tc>
          <w:tcPr>
            <w:tcW w:w="1814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6"/>
                <w:sz w:val="20"/>
              </w:rPr>
              <w:t>DD</w:t>
            </w:r>
          </w:p>
        </w:tc>
      </w:tr>
      <w:tr>
        <w:trPr>
          <w:trHeight w:val="2721" w:hRule="atLeast"/>
        </w:trPr>
        <w:tc>
          <w:tcPr>
            <w:tcW w:w="811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6.3.11</w:t>
            </w:r>
          </w:p>
        </w:tc>
        <w:tc>
          <w:tcPr>
            <w:tcW w:w="1185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398" w:type="dxa"/>
          </w:tcPr>
          <w:p>
            <w:pPr>
              <w:pStyle w:val="TableParagraph"/>
              <w:spacing w:before="42"/>
              <w:ind w:right="116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(programmer’s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their own work) according to: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30" w:val="left" w:leader="none"/>
                <w:tab w:pos="831" w:val="left" w:leader="none"/>
              </w:tabs>
              <w:spacing w:line="245" w:lineRule="exact" w:before="40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30" w:val="left" w:leader="none"/>
                <w:tab w:pos="831" w:val="left" w:leader="none"/>
              </w:tabs>
              <w:spacing w:line="242" w:lineRule="exact" w:before="0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218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(QC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DDs </w:t>
            </w:r>
            <w:r>
              <w:rPr>
                <w:spacing w:val="-2"/>
                <w:sz w:val="20"/>
              </w:rPr>
              <w:t>worksheet)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 Data Specifications and Sets (CS_OD_BS0227) (Gate 3 – Ready for Compare)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1814" w:type="dxa"/>
          </w:tcPr>
          <w:p>
            <w:pPr>
              <w:pStyle w:val="TableParagraph"/>
              <w:spacing w:before="42"/>
              <w:ind w:left="106" w:right="15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production of DD</w:t>
            </w:r>
          </w:p>
        </w:tc>
      </w:tr>
      <w:tr>
        <w:trPr>
          <w:trHeight w:val="160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6.3.12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line="256" w:lineRule="auto" w:before="38"/>
              <w:ind w:right="226"/>
              <w:rPr>
                <w:sz w:val="20"/>
              </w:rPr>
            </w:pPr>
            <w:r>
              <w:rPr>
                <w:sz w:val="20"/>
              </w:rPr>
              <w:t>Verifies that all source datasets are accounted for in the SDTM 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 been documented in an “Omission” Specification.</w:t>
            </w:r>
          </w:p>
          <w:p>
            <w:pPr>
              <w:pStyle w:val="TableParagraph"/>
              <w:ind w:left="0"/>
              <w:rPr>
                <w:b/>
                <w:sz w:val="27"/>
              </w:rPr>
            </w:pPr>
          </w:p>
          <w:p>
            <w:pPr>
              <w:pStyle w:val="TableParagraph"/>
              <w:spacing w:line="250" w:lineRule="atLeast" w:before="1"/>
              <w:ind w:right="116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The source dataset and SAS program reconciliation checks 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Lineage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Comparison</w:t>
            </w:r>
          </w:p>
        </w:tc>
        <w:tc>
          <w:tcPr>
            <w:tcW w:w="1814" w:type="dxa"/>
          </w:tcPr>
          <w:p>
            <w:pPr>
              <w:pStyle w:val="TableParagraph"/>
              <w:spacing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185"/>
        <w:gridCol w:w="6398"/>
        <w:gridCol w:w="1814"/>
      </w:tblGrid>
      <w:tr>
        <w:trPr>
          <w:trHeight w:val="306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5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811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5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98" w:type="dxa"/>
          </w:tcPr>
          <w:p>
            <w:pPr>
              <w:pStyle w:val="TableParagraph"/>
              <w:spacing w:line="254" w:lineRule="auto" w:before="4"/>
              <w:ind w:left="111"/>
              <w:rPr>
                <w:sz w:val="20"/>
              </w:rPr>
            </w:pPr>
            <w:r>
              <w:rPr>
                <w:sz w:val="20"/>
              </w:rPr>
              <w:t>(DLEC)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tool.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omitted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report.</w:t>
            </w:r>
          </w:p>
        </w:tc>
        <w:tc>
          <w:tcPr>
            <w:tcW w:w="18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41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6.3.13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before="42"/>
              <w:ind w:left="111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match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specifications.</w:t>
            </w:r>
          </w:p>
        </w:tc>
        <w:tc>
          <w:tcPr>
            <w:tcW w:w="1814" w:type="dxa"/>
          </w:tcPr>
          <w:p>
            <w:pPr>
              <w:pStyle w:val="TableParagraph"/>
              <w:spacing w:line="244" w:lineRule="auto"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  <w:tr>
        <w:trPr>
          <w:trHeight w:val="76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6.3.14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right="347"/>
              <w:jc w:val="both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(dataset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metadata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variable </w:t>
            </w:r>
            <w:r>
              <w:rPr>
                <w:spacing w:val="-2"/>
                <w:sz w:val="20"/>
              </w:rPr>
              <w:t>derivations).</w:t>
            </w:r>
          </w:p>
        </w:tc>
        <w:tc>
          <w:tcPr>
            <w:tcW w:w="1814" w:type="dxa"/>
          </w:tcPr>
          <w:p>
            <w:pPr>
              <w:pStyle w:val="TableParagraph"/>
              <w:spacing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  <w:tr>
        <w:trPr>
          <w:trHeight w:val="1502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6.3.15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submission guidelines.</w:t>
            </w:r>
          </w:p>
          <w:p>
            <w:pPr>
              <w:pStyle w:val="TableParagraph"/>
              <w:spacing w:before="1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PROC</w:t>
            </w:r>
          </w:p>
          <w:p>
            <w:pPr>
              <w:pStyle w:val="TableParagraph"/>
              <w:spacing w:line="230" w:lineRule="atLeast"/>
              <w:ind w:right="116"/>
              <w:rPr>
                <w:sz w:val="20"/>
              </w:rPr>
            </w:pPr>
            <w:r>
              <w:rPr>
                <w:sz w:val="20"/>
              </w:rPr>
              <w:t>CONTENTS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VARNUM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option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(PROC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CONTENTS DATA=AAA VARNUM;).</w:t>
            </w:r>
          </w:p>
        </w:tc>
        <w:tc>
          <w:tcPr>
            <w:tcW w:w="1814" w:type="dxa"/>
          </w:tcPr>
          <w:p>
            <w:pPr>
              <w:pStyle w:val="TableParagraph"/>
              <w:spacing w:line="244" w:lineRule="auto"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  <w:tr>
        <w:trPr>
          <w:trHeight w:val="99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6.3.16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spacing w:before="38"/>
              <w:ind w:left="111"/>
              <w:rPr>
                <w:sz w:val="20"/>
              </w:rPr>
            </w:pPr>
            <w:r>
              <w:rPr>
                <w:sz w:val="20"/>
              </w:rPr>
              <w:t>For submissions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based on CDISC standards, checks for compliance against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model(s) (e.g.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non- missing values on all records). This can be done using Pinnacle 21 </w:t>
            </w:r>
            <w:r>
              <w:rPr>
                <w:spacing w:val="-2"/>
                <w:sz w:val="20"/>
              </w:rPr>
              <w:t>Validator.</w:t>
            </w:r>
          </w:p>
        </w:tc>
        <w:tc>
          <w:tcPr>
            <w:tcW w:w="1814" w:type="dxa"/>
          </w:tcPr>
          <w:p>
            <w:pPr>
              <w:pStyle w:val="TableParagraph"/>
              <w:spacing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  <w:tr>
        <w:trPr>
          <w:trHeight w:val="3786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6.3.17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98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 Derived Datasets (CS_WI_BS013) and taking into account: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30" w:val="left" w:leader="none"/>
                <w:tab w:pos="831" w:val="left" w:leader="none"/>
              </w:tabs>
              <w:spacing w:line="245" w:lineRule="exact" w:before="39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30" w:val="left" w:leader="none"/>
                <w:tab w:pos="831" w:val="left" w:leader="none"/>
              </w:tabs>
              <w:spacing w:line="245" w:lineRule="exact" w:before="0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218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DDs </w:t>
            </w:r>
            <w:r>
              <w:rPr>
                <w:spacing w:val="-2"/>
                <w:sz w:val="20"/>
              </w:rPr>
              <w:t>worksheet)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 Data Specifications and Sets (CS_OD_BS0227) (Gate 4 – Perform QC)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before="9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37" w:lineRule="auto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 Outputs (CS_TP_BS011) or applicable Biostatistics web-based solution/system when the Quality Gate Checks are</w:t>
            </w:r>
          </w:p>
          <w:p>
            <w:pPr>
              <w:pStyle w:val="TableParagraph"/>
              <w:spacing w:line="211" w:lineRule="exact" w:before="2"/>
              <w:rPr>
                <w:sz w:val="20"/>
              </w:rPr>
            </w:pPr>
            <w:r>
              <w:rPr>
                <w:sz w:val="20"/>
              </w:rPr>
              <w:t>completed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Dataset.</w:t>
            </w:r>
          </w:p>
        </w:tc>
        <w:tc>
          <w:tcPr>
            <w:tcW w:w="1814" w:type="dxa"/>
          </w:tcPr>
          <w:p>
            <w:pPr>
              <w:pStyle w:val="TableParagraph"/>
              <w:spacing w:line="244" w:lineRule="auto"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  <w:tr>
        <w:trPr>
          <w:trHeight w:val="287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6.3.18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398" w:type="dxa"/>
          </w:tcPr>
          <w:p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Derived Datasets (CS_WI_BS013) and taking into account: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30" w:val="left" w:leader="none"/>
                <w:tab w:pos="831" w:val="left" w:leader="none"/>
              </w:tabs>
              <w:spacing w:line="245" w:lineRule="exact" w:before="39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30" w:val="left" w:leader="none"/>
                <w:tab w:pos="831" w:val="left" w:leader="none"/>
              </w:tabs>
              <w:spacing w:line="245" w:lineRule="exact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0" w:right="112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(SBR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DDs </w:t>
            </w:r>
            <w:r>
              <w:rPr>
                <w:spacing w:val="-2"/>
                <w:sz w:val="20"/>
              </w:rPr>
              <w:t>worksheet)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Derived Data Specifications and Sets (CS_OD_BS0227) (Gate 5 – Ready for TLFs)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1814" w:type="dxa"/>
          </w:tcPr>
          <w:p>
            <w:pPr>
              <w:pStyle w:val="TableParagraph"/>
              <w:spacing w:line="244" w:lineRule="auto" w:before="38"/>
              <w:ind w:left="106" w:right="14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validation of DD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185"/>
        <w:gridCol w:w="6398"/>
        <w:gridCol w:w="1814"/>
      </w:tblGrid>
      <w:tr>
        <w:trPr>
          <w:trHeight w:val="306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5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14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21" w:hRule="atLeast"/>
        </w:trPr>
        <w:tc>
          <w:tcPr>
            <w:tcW w:w="811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5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98" w:type="dxa"/>
          </w:tcPr>
          <w:p>
            <w:pPr>
              <w:pStyle w:val="TableParagraph"/>
              <w:spacing w:line="230" w:lineRule="exact"/>
              <w:ind w:left="111"/>
              <w:rPr>
                <w:sz w:val="20"/>
              </w:rPr>
            </w:pPr>
            <w:r>
              <w:rPr>
                <w:sz w:val="20"/>
              </w:rPr>
              <w:t>Completes a Reviewer Feedback Form (CS_FM_BS007) or adds review comments to applicable Biostatistics web-based solution/system,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Quality Gate Checks are completed for each Derived Dataset.</w:t>
            </w:r>
          </w:p>
        </w:tc>
        <w:tc>
          <w:tcPr>
            <w:tcW w:w="18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919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6.3.19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398" w:type="dxa"/>
          </w:tcPr>
          <w:p>
            <w:pPr>
              <w:pStyle w:val="TableParagraph"/>
              <w:spacing w:line="240" w:lineRule="exact"/>
              <w:ind w:left="111" w:right="116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Food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Administration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(FDA)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 should be provided in a single transport file, but in general datasets greater than 5 GB in size should be split into smaller datasets, each no larger than 5 GB in size. If a split of a transport file is necessary, the Programmer must make sure that the file split occurs logically (e.g. on patient/subject identifier, on laboratory group). Datasets divided to meet the maximum size restrictions should contain the same variable presentation so they can be easily concatenated.</w:t>
            </w:r>
          </w:p>
        </w:tc>
        <w:tc>
          <w:tcPr>
            <w:tcW w:w="1814" w:type="dxa"/>
          </w:tcPr>
          <w:p>
            <w:pPr>
              <w:pStyle w:val="TableParagraph"/>
              <w:spacing w:line="244" w:lineRule="auto" w:before="38"/>
              <w:ind w:left="10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reviewed</w:t>
            </w:r>
          </w:p>
        </w:tc>
      </w:tr>
      <w:tr>
        <w:trPr>
          <w:trHeight w:val="1151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6.3.20</w:t>
            </w:r>
          </w:p>
        </w:tc>
        <w:tc>
          <w:tcPr>
            <w:tcW w:w="1185" w:type="dxa"/>
          </w:tcPr>
          <w:p>
            <w:pPr>
              <w:pStyle w:val="TableParagraph"/>
              <w:spacing w:before="37"/>
              <w:rPr>
                <w:sz w:val="20"/>
              </w:rPr>
            </w:pPr>
            <w:r>
              <w:rPr>
                <w:spacing w:val="-4"/>
                <w:sz w:val="20"/>
              </w:rPr>
              <w:t>Prog</w:t>
            </w:r>
          </w:p>
        </w:tc>
        <w:tc>
          <w:tcPr>
            <w:tcW w:w="6398" w:type="dxa"/>
          </w:tcPr>
          <w:p>
            <w:pPr>
              <w:pStyle w:val="TableParagraph"/>
              <w:ind w:left="111" w:right="226"/>
              <w:rPr>
                <w:sz w:val="20"/>
              </w:rPr>
            </w:pPr>
            <w:r>
              <w:rPr>
                <w:sz w:val="20"/>
              </w:rPr>
              <w:t>Resizes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creates SAS Version 5 transport files from the submission-ready DDs. Sets COMPRESS=NO in a SAS options statement.</w:t>
            </w:r>
          </w:p>
          <w:p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15" w:lineRule="exact"/>
              <w:ind w:left="11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program.</w:t>
            </w:r>
          </w:p>
        </w:tc>
        <w:tc>
          <w:tcPr>
            <w:tcW w:w="1814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reviewed</w:t>
            </w:r>
          </w:p>
        </w:tc>
      </w:tr>
      <w:tr>
        <w:trPr>
          <w:trHeight w:val="2342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6.3.21</w:t>
            </w:r>
          </w:p>
        </w:tc>
        <w:tc>
          <w:tcPr>
            <w:tcW w:w="1185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Prog/QC</w:t>
            </w:r>
          </w:p>
        </w:tc>
        <w:tc>
          <w:tcPr>
            <w:tcW w:w="6398" w:type="dxa"/>
          </w:tcPr>
          <w:p>
            <w:pPr>
              <w:pStyle w:val="TableParagraph"/>
              <w:ind w:left="111" w:right="116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follows: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30" w:val="left" w:leader="none"/>
                <w:tab w:pos="831" w:val="left" w:leader="none"/>
              </w:tabs>
              <w:spacing w:line="232" w:lineRule="auto" w:before="7" w:after="0"/>
              <w:ind w:left="831" w:right="94" w:hanging="360"/>
              <w:jc w:val="left"/>
              <w:rPr>
                <w:sz w:val="20"/>
              </w:rPr>
            </w:pPr>
            <w:r>
              <w:rPr>
                <w:sz w:val="20"/>
              </w:rPr>
              <w:t>Extract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 different directory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30" w:val="left" w:leader="none"/>
                <w:tab w:pos="831" w:val="left" w:leader="none"/>
              </w:tabs>
              <w:spacing w:line="240" w:lineRule="auto" w:before="4" w:after="0"/>
              <w:ind w:left="831" w:right="103" w:hanging="360"/>
              <w:jc w:val="left"/>
              <w:rPr>
                <w:sz w:val="20"/>
              </w:rPr>
            </w:pPr>
            <w:r>
              <w:rPr>
                <w:sz w:val="20"/>
              </w:rPr>
              <w:t>Run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originally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produce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 submission-ready DDs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30" w:val="left" w:leader="none"/>
                <w:tab w:pos="831" w:val="left" w:leader="none"/>
              </w:tabs>
              <w:spacing w:line="240" w:lineRule="auto" w:before="0" w:after="0"/>
              <w:ind w:left="831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differences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shown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comparison</w:t>
            </w:r>
          </w:p>
          <w:p>
            <w:pPr>
              <w:pStyle w:val="TableParagraph"/>
              <w:spacing w:line="230" w:lineRule="atLeast" w:before="210"/>
              <w:ind w:left="111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Difference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length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attribute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expected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compress option during conversion.</w:t>
            </w:r>
          </w:p>
        </w:tc>
        <w:tc>
          <w:tcPr>
            <w:tcW w:w="1814" w:type="dxa"/>
          </w:tcPr>
          <w:p>
            <w:pPr>
              <w:pStyle w:val="TableParagraph"/>
              <w:spacing w:before="38"/>
              <w:ind w:left="106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Define</w:t>
            </w:r>
          </w:p>
        </w:tc>
      </w:tr>
      <w:tr>
        <w:trPr>
          <w:trHeight w:val="76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6.3.22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98" w:type="dxa"/>
          </w:tcPr>
          <w:p>
            <w:pPr>
              <w:pStyle w:val="TableParagraph"/>
              <w:spacing w:line="237" w:lineRule="auto" w:before="1"/>
              <w:ind w:right="1097"/>
              <w:rPr>
                <w:sz w:val="20"/>
              </w:rPr>
            </w:pPr>
            <w:r>
              <w:rPr>
                <w:sz w:val="20"/>
              </w:rPr>
              <w:t>Maintains,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updates,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submission-ready DDs according to Derived Datasets (CS_WI_BS013) and above steps.</w:t>
            </w:r>
          </w:p>
        </w:tc>
        <w:tc>
          <w:tcPr>
            <w:tcW w:w="1814" w:type="dxa"/>
          </w:tcPr>
          <w:p>
            <w:pPr>
              <w:pStyle w:val="TableParagraph"/>
              <w:spacing w:before="38"/>
              <w:ind w:left="106" w:right="157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maintenance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review of DDs</w:t>
            </w:r>
          </w:p>
        </w:tc>
      </w:tr>
      <w:tr>
        <w:trPr>
          <w:trHeight w:val="46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6.3.23</w:t>
            </w:r>
          </w:p>
        </w:tc>
        <w:tc>
          <w:tcPr>
            <w:tcW w:w="1185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398" w:type="dxa"/>
          </w:tcPr>
          <w:p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Transfers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finalized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agreed, by adhering to Handling Data Transfers (CS_WI_BS020).</w:t>
            </w:r>
          </w:p>
        </w:tc>
        <w:tc>
          <w:tcPr>
            <w:tcW w:w="1814" w:type="dxa"/>
          </w:tcPr>
          <w:p>
            <w:pPr>
              <w:pStyle w:val="TableParagraph"/>
              <w:spacing w:before="42"/>
              <w:ind w:left="106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delivery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9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oduction, QC, Review, and Delivery of " w:id="10"/>
      <w:bookmarkEnd w:id="10"/>
      <w:r>
        <w:rPr>
          <w:b/>
          <w:sz w:val="22"/>
        </w:rPr>
        <w:t>Production</w:t>
      </w:r>
      <w:r>
        <w:rPr>
          <w:b/>
          <w:sz w:val="22"/>
        </w:rPr>
        <w:t>,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QC,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Review,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Delivery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Define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6"/>
        <w:gridCol w:w="1180"/>
        <w:gridCol w:w="6378"/>
        <w:gridCol w:w="1847"/>
      </w:tblGrid>
      <w:tr>
        <w:trPr>
          <w:trHeight w:val="311" w:hRule="atLeast"/>
        </w:trPr>
        <w:tc>
          <w:tcPr>
            <w:tcW w:w="806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0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78" w:type="dxa"/>
            <w:shd w:val="clear" w:color="auto" w:fill="D9D9D9"/>
          </w:tcPr>
          <w:p>
            <w:pPr>
              <w:pStyle w:val="TableParagraph"/>
              <w:spacing w:before="42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7" w:type="dxa"/>
            <w:shd w:val="clear" w:color="auto" w:fill="D9D9D9"/>
          </w:tcPr>
          <w:p>
            <w:pPr>
              <w:pStyle w:val="TableParagraph"/>
              <w:spacing w:before="42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366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78" w:type="dxa"/>
          </w:tcPr>
          <w:p>
            <w:pPr>
              <w:pStyle w:val="TableParagraph"/>
              <w:ind w:left="106" w:right="79"/>
              <w:rPr>
                <w:sz w:val="20"/>
              </w:rPr>
            </w:pPr>
            <w:r>
              <w:rPr>
                <w:sz w:val="20"/>
              </w:rPr>
              <w:t>Writes programs, uses software or manually creates the Define 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(according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format/version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 Plan) using the dataset and variable metadata from the DD specification for submission-ready DDs containing the following </w:t>
            </w:r>
            <w:r>
              <w:rPr>
                <w:spacing w:val="-2"/>
                <w:sz w:val="20"/>
              </w:rPr>
              <w:t>information: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26" w:val="left" w:leader="none"/>
                <w:tab w:pos="827" w:val="left" w:leader="none"/>
              </w:tabs>
              <w:spacing w:line="243" w:lineRule="exact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Variable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name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26" w:val="left" w:leader="none"/>
                <w:tab w:pos="827" w:val="left" w:leader="none"/>
              </w:tabs>
              <w:spacing w:line="245" w:lineRule="exact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Variable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label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26" w:val="left" w:leader="none"/>
                <w:tab w:pos="827" w:val="left" w:leader="none"/>
              </w:tabs>
              <w:spacing w:line="245" w:lineRule="exact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Type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(text,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integer,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float,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datetime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etc.)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26" w:val="left" w:leader="none"/>
                <w:tab w:pos="827" w:val="left" w:leader="none"/>
              </w:tabs>
              <w:spacing w:line="240" w:lineRule="atLeast" w:before="0" w:after="0"/>
              <w:ind w:left="826" w:right="283" w:hanging="360"/>
              <w:jc w:val="left"/>
              <w:rPr>
                <w:sz w:val="20"/>
              </w:rPr>
            </w:pPr>
            <w:r>
              <w:rPr>
                <w:sz w:val="20"/>
              </w:rPr>
              <w:t>Controlled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terms/Decodes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formats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decodes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numeric values or abbreviated character values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 w:right="501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Define </w:t>
            </w:r>
            <w:r>
              <w:rPr>
                <w:spacing w:val="-2"/>
                <w:sz w:val="20"/>
              </w:rPr>
              <w:t>creation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6"/>
        <w:gridCol w:w="1180"/>
        <w:gridCol w:w="6378"/>
        <w:gridCol w:w="1847"/>
      </w:tblGrid>
      <w:tr>
        <w:trPr>
          <w:trHeight w:val="306" w:hRule="atLeast"/>
        </w:trPr>
        <w:tc>
          <w:tcPr>
            <w:tcW w:w="80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78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7" w:type="dxa"/>
            <w:shd w:val="clear" w:color="auto" w:fill="D9D9D9"/>
          </w:tcPr>
          <w:p>
            <w:pPr>
              <w:pStyle w:val="TableParagraph"/>
              <w:spacing w:before="38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585" w:hRule="atLeast"/>
        </w:trPr>
        <w:tc>
          <w:tcPr>
            <w:tcW w:w="80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78" w:type="dxa"/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827" w:val="left" w:leader="none"/>
              </w:tabs>
              <w:spacing w:line="249" w:lineRule="auto" w:before="0" w:after="0"/>
              <w:ind w:left="826" w:right="532" w:hanging="360"/>
              <w:jc w:val="both"/>
              <w:rPr>
                <w:sz w:val="20"/>
              </w:rPr>
            </w:pPr>
            <w:r>
              <w:rPr>
                <w:sz w:val="20"/>
              </w:rPr>
              <w:t>Origin: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(e)CRF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Page, Predecessor, eDT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(electronic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data transfer),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terms),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Protocol (defined by the protocol)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826" w:val="left" w:leader="none"/>
                <w:tab w:pos="827" w:val="left" w:leader="none"/>
              </w:tabs>
              <w:spacing w:line="247" w:lineRule="auto" w:before="0" w:after="0"/>
              <w:ind w:left="826" w:right="110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CDISC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standards,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 relevant information is included (e.g. the Role of the variable)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826" w:val="left" w:leader="none"/>
                <w:tab w:pos="827" w:val="left" w:leader="none"/>
              </w:tabs>
              <w:spacing w:line="240" w:lineRule="auto" w:before="0" w:after="0"/>
              <w:ind w:left="826" w:right="648" w:hanging="360"/>
              <w:jc w:val="left"/>
              <w:rPr>
                <w:sz w:val="20"/>
              </w:rPr>
            </w:pP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computational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algorithm,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method,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other </w:t>
            </w:r>
            <w:r>
              <w:rPr>
                <w:spacing w:val="-2"/>
                <w:sz w:val="20"/>
              </w:rPr>
              <w:t>information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826" w:val="left" w:leader="none"/>
                <w:tab w:pos="827" w:val="left" w:leader="none"/>
              </w:tabs>
              <w:spacing w:line="240" w:lineRule="auto" w:before="0" w:after="0"/>
              <w:ind w:left="826" w:right="413" w:hanging="360"/>
              <w:jc w:val="left"/>
              <w:rPr>
                <w:sz w:val="20"/>
              </w:rPr>
            </w:pPr>
            <w:r>
              <w:rPr>
                <w:sz w:val="20"/>
              </w:rPr>
              <w:t>If the submission requires details about specific analysis results,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Results Metadata (ARM) based on the CDISC ARM specification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52" w:lineRule="auto" w:before="1"/>
              <w:ind w:left="10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Raw variables should not be referenced in the derivation description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tabulation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Define document should begin after the DD specifications and submission-</w:t>
            </w:r>
          </w:p>
          <w:p>
            <w:pPr>
              <w:pStyle w:val="TableParagraph"/>
              <w:spacing w:line="211" w:lineRule="exact"/>
              <w:ind w:left="106"/>
              <w:rPr>
                <w:sz w:val="20"/>
              </w:rPr>
            </w:pPr>
            <w:r>
              <w:rPr>
                <w:sz w:val="20"/>
              </w:rPr>
              <w:t>ready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delivery.</w:t>
            </w:r>
          </w:p>
        </w:tc>
        <w:tc>
          <w:tcPr>
            <w:tcW w:w="184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660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78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latest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DD Specifications and the latest submission-ready DDs.</w:t>
            </w:r>
          </w:p>
          <w:p>
            <w:pPr>
              <w:pStyle w:val="TableParagraph"/>
              <w:spacing w:before="3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line="252" w:lineRule="auto"/>
              <w:ind w:left="106" w:right="79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Derived Dataset Specification (CS_TP_BS0208) and SDTM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Dataset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Mapping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(CS_TP_BS0241)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contains sufficient dataset and variable metadata to produce the Define</w:t>
            </w:r>
          </w:p>
          <w:p>
            <w:pPr>
              <w:pStyle w:val="TableParagraph"/>
              <w:spacing w:line="211" w:lineRule="exact" w:before="1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document.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 w:right="501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Define </w:t>
            </w:r>
            <w:r>
              <w:rPr>
                <w:spacing w:val="-2"/>
                <w:sz w:val="20"/>
              </w:rPr>
              <w:t>creation</w:t>
            </w:r>
          </w:p>
        </w:tc>
      </w:tr>
      <w:tr>
        <w:trPr>
          <w:trHeight w:val="2433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78" w:type="dxa"/>
          </w:tcPr>
          <w:p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826" w:val="left" w:leader="none"/>
                <w:tab w:pos="827" w:val="left" w:leader="none"/>
              </w:tabs>
              <w:spacing w:line="245" w:lineRule="exact" w:before="39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826" w:val="left" w:leader="none"/>
                <w:tab w:pos="827" w:val="left" w:leader="none"/>
              </w:tabs>
              <w:spacing w:line="245" w:lineRule="exact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826" w:val="left" w:leader="none"/>
                <w:tab w:pos="827" w:val="left" w:leader="none"/>
              </w:tabs>
              <w:spacing w:line="232" w:lineRule="auto" w:before="6" w:after="0"/>
              <w:ind w:left="826" w:right="297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Materials (CS_OD_BS0234) (QC of Define.xml worksheet)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826" w:val="left" w:leader="none"/>
                <w:tab w:pos="827" w:val="left" w:leader="none"/>
              </w:tabs>
              <w:spacing w:line="240" w:lineRule="auto" w:before="4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Reviewer(s)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same</w:t>
            </w:r>
          </w:p>
          <w:p>
            <w:pPr>
              <w:pStyle w:val="TableParagraph"/>
              <w:spacing w:line="230" w:lineRule="atLeast"/>
              <w:ind w:left="106" w:right="79"/>
              <w:rPr>
                <w:sz w:val="20"/>
              </w:rPr>
            </w:pPr>
            <w:r>
              <w:rPr>
                <w:sz w:val="20"/>
              </w:rPr>
              <w:t>person.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Define </w:t>
            </w:r>
            <w:r>
              <w:rPr>
                <w:spacing w:val="-2"/>
                <w:sz w:val="20"/>
              </w:rPr>
              <w:t>document.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/>
              <w:rPr>
                <w:sz w:val="20"/>
              </w:rPr>
            </w:pPr>
            <w:r>
              <w:rPr>
                <w:sz w:val="20"/>
              </w:rPr>
              <w:t>During Define creation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  <w:tr>
        <w:trPr>
          <w:trHeight w:val="690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378" w:type="dxa"/>
          </w:tcPr>
          <w:p>
            <w:pPr>
              <w:pStyle w:val="TableParagraph"/>
              <w:spacing w:line="230" w:lineRule="exact"/>
              <w:ind w:left="106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variables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mentioned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Annotated (e)CRF, DTS, Non-CRF Data Guidelines and source datasets are present in the Define document.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/>
              <w:rPr>
                <w:sz w:val="20"/>
              </w:rPr>
            </w:pPr>
            <w:r>
              <w:rPr>
                <w:sz w:val="20"/>
              </w:rPr>
              <w:t>During Define creation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  <w:tr>
        <w:trPr>
          <w:trHeight w:val="1511" w:hRule="atLeast"/>
        </w:trPr>
        <w:tc>
          <w:tcPr>
            <w:tcW w:w="806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80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378" w:type="dxa"/>
          </w:tcPr>
          <w:p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6" w:val="left" w:leader="none"/>
                <w:tab w:pos="827" w:val="left" w:leader="none"/>
              </w:tabs>
              <w:spacing w:line="245" w:lineRule="exact" w:before="39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(CS_WI_BS015)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6" w:val="left" w:leader="none"/>
                <w:tab w:pos="827" w:val="left" w:leader="none"/>
              </w:tabs>
              <w:spacing w:line="242" w:lineRule="exact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6" w:val="left" w:leader="none"/>
                <w:tab w:pos="827" w:val="left" w:leader="none"/>
              </w:tabs>
              <w:spacing w:line="240" w:lineRule="auto" w:before="0" w:after="0"/>
              <w:ind w:left="826" w:right="240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- QC Review of Submission Materials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(SBR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Define.xml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worksheet)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6" w:val="left" w:leader="none"/>
                <w:tab w:pos="827" w:val="left" w:leader="none"/>
              </w:tabs>
              <w:spacing w:line="240" w:lineRule="auto" w:before="0" w:after="0"/>
              <w:ind w:left="826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 w:right="501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Define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213" w:hRule="atLeast"/>
        </w:trPr>
        <w:tc>
          <w:tcPr>
            <w:tcW w:w="806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6.4.6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BPTM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&amp; </w:t>
            </w:r>
            <w:r>
              <w:rPr>
                <w:spacing w:val="-2"/>
                <w:sz w:val="20"/>
              </w:rPr>
              <w:t>QC/SBR</w:t>
            </w:r>
          </w:p>
        </w:tc>
        <w:tc>
          <w:tcPr>
            <w:tcW w:w="6378" w:type="dxa"/>
          </w:tcPr>
          <w:p>
            <w:pPr>
              <w:pStyle w:val="TableParagraph"/>
              <w:spacing w:line="249" w:lineRule="auto" w:before="14"/>
              <w:ind w:left="106" w:right="79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(RFF)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 adds review comments to applicable Biostatistics web-based solution/system, to document review of Define document.</w:t>
            </w:r>
          </w:p>
          <w:p>
            <w:pPr>
              <w:pStyle w:val="TableParagraph"/>
              <w:spacing w:before="5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line="215" w:lineRule="exact"/>
              <w:ind w:left="106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utility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document,</w:t>
            </w:r>
          </w:p>
        </w:tc>
        <w:tc>
          <w:tcPr>
            <w:tcW w:w="1847" w:type="dxa"/>
          </w:tcPr>
          <w:p>
            <w:pPr>
              <w:pStyle w:val="TableParagraph"/>
              <w:spacing w:before="42"/>
              <w:ind w:left="107" w:right="50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Define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06"/>
        <w:gridCol w:w="1180"/>
        <w:gridCol w:w="6378"/>
        <w:gridCol w:w="1847"/>
      </w:tblGrid>
      <w:tr>
        <w:trPr>
          <w:trHeight w:val="306" w:hRule="atLeast"/>
        </w:trPr>
        <w:tc>
          <w:tcPr>
            <w:tcW w:w="806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80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78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7" w:type="dxa"/>
            <w:shd w:val="clear" w:color="auto" w:fill="D9D9D9"/>
          </w:tcPr>
          <w:p>
            <w:pPr>
              <w:pStyle w:val="TableParagraph"/>
              <w:spacing w:before="38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84" w:hRule="atLeast"/>
        </w:trPr>
        <w:tc>
          <w:tcPr>
            <w:tcW w:w="80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378" w:type="dxa"/>
          </w:tcPr>
          <w:p>
            <w:pPr>
              <w:pStyle w:val="TableParagraph"/>
              <w:spacing w:line="240" w:lineRule="atLeast"/>
              <w:ind w:left="106"/>
              <w:rPr>
                <w:sz w:val="20"/>
              </w:rPr>
            </w:pPr>
            <w:r>
              <w:rPr>
                <w:sz w:val="20"/>
              </w:rPr>
              <w:t>list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link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the output produced by the tool.</w:t>
            </w:r>
          </w:p>
        </w:tc>
        <w:tc>
          <w:tcPr>
            <w:tcW w:w="184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997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6.4.7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378" w:type="dxa"/>
          </w:tcPr>
          <w:p>
            <w:pPr>
              <w:pStyle w:val="TableParagraph"/>
              <w:spacing w:line="249" w:lineRule="auto" w:before="9"/>
              <w:ind w:left="106"/>
              <w:rPr>
                <w:sz w:val="20"/>
              </w:rPr>
            </w:pPr>
            <w:r>
              <w:rPr>
                <w:sz w:val="20"/>
              </w:rPr>
              <w:t>Maintains,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reviews,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Define document as per above steps.</w:t>
            </w:r>
          </w:p>
        </w:tc>
        <w:tc>
          <w:tcPr>
            <w:tcW w:w="1847" w:type="dxa"/>
          </w:tcPr>
          <w:p>
            <w:pPr>
              <w:pStyle w:val="TableParagraph"/>
              <w:spacing w:before="38"/>
              <w:ind w:left="107" w:right="189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maintenance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review of Define </w:t>
            </w:r>
            <w:r>
              <w:rPr>
                <w:spacing w:val="-2"/>
                <w:sz w:val="20"/>
              </w:rPr>
              <w:t>document</w:t>
            </w:r>
          </w:p>
        </w:tc>
      </w:tr>
      <w:tr>
        <w:trPr>
          <w:trHeight w:val="479" w:hRule="atLeast"/>
        </w:trPr>
        <w:tc>
          <w:tcPr>
            <w:tcW w:w="806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6.4.8</w:t>
            </w:r>
          </w:p>
        </w:tc>
        <w:tc>
          <w:tcPr>
            <w:tcW w:w="1180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378" w:type="dxa"/>
          </w:tcPr>
          <w:p>
            <w:pPr>
              <w:pStyle w:val="TableParagraph"/>
              <w:spacing w:line="240" w:lineRule="exact"/>
              <w:ind w:left="106"/>
              <w:rPr>
                <w:sz w:val="20"/>
              </w:rPr>
            </w:pPr>
            <w:r>
              <w:rPr>
                <w:sz w:val="20"/>
              </w:rPr>
              <w:t>Transfers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files/package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agreed.</w:t>
            </w:r>
          </w:p>
        </w:tc>
        <w:tc>
          <w:tcPr>
            <w:tcW w:w="1847" w:type="dxa"/>
          </w:tcPr>
          <w:p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delivery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Production, QC, Review, and Delivery of " w:id="11"/>
      <w:bookmarkEnd w:id="11"/>
      <w:r>
        <w:rPr>
          <w:b/>
          <w:sz w:val="22"/>
        </w:rPr>
        <w:t>Production</w:t>
      </w:r>
      <w:r>
        <w:rPr>
          <w:b/>
          <w:sz w:val="22"/>
        </w:rPr>
        <w:t>,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QC,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Review,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Delivery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Reviewer’s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Guide(s)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8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8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16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8" w:type="dxa"/>
          </w:tcPr>
          <w:p>
            <w:pPr>
              <w:pStyle w:val="TableParagraph"/>
              <w:spacing w:line="249" w:lineRule="auto" w:before="14"/>
              <w:ind w:left="104" w:right="195"/>
              <w:rPr>
                <w:sz w:val="20"/>
              </w:rPr>
            </w:pPr>
            <w:r>
              <w:rPr>
                <w:sz w:val="20"/>
              </w:rPr>
              <w:t>Drafts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Guide(s)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template (as documented in the QC Plan) and applies any publishing requirements/standards (e.g. Bookmarking and Table of Contents).</w:t>
            </w:r>
          </w:p>
          <w:p>
            <w:pPr>
              <w:pStyle w:val="TableParagraph"/>
              <w:spacing w:before="7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line="252" w:lineRule="auto"/>
              <w:ind w:left="104" w:right="195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Creation of Reviewer’s Guide(s) can start before Define document creation; however, it can only be completed after finalization of the Define document. Depending on customer requirements,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publishing-ready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might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</w:t>
            </w:r>
          </w:p>
          <w:p>
            <w:pPr>
              <w:pStyle w:val="TableParagraph"/>
              <w:spacing w:line="209" w:lineRule="exact"/>
              <w:ind w:left="104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delayed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then.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 w:right="100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Reviewer’s Guide creation</w:t>
            </w:r>
          </w:p>
        </w:tc>
      </w:tr>
      <w:tr>
        <w:trPr>
          <w:trHeight w:val="254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</w:t>
            </w:r>
          </w:p>
        </w:tc>
        <w:tc>
          <w:tcPr>
            <w:tcW w:w="6408" w:type="dxa"/>
          </w:tcPr>
          <w:p>
            <w:pPr>
              <w:pStyle w:val="TableParagraph"/>
              <w:spacing w:before="9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825" w:val="left" w:leader="none"/>
              </w:tabs>
              <w:spacing w:line="267" w:lineRule="exact" w:before="39" w:after="0"/>
              <w:ind w:left="82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825" w:val="left" w:leader="none"/>
              </w:tabs>
              <w:spacing w:line="247" w:lineRule="auto" w:before="0" w:after="0"/>
              <w:ind w:left="824" w:right="329" w:hanging="360"/>
              <w:jc w:val="both"/>
              <w:rPr>
                <w:sz w:val="20"/>
              </w:rPr>
            </w:pPr>
            <w:r>
              <w:rPr>
                <w:sz w:val="20"/>
              </w:rPr>
              <w:t>Approaches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 Materials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(QC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cSDRG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ADRG </w:t>
            </w:r>
            <w:r>
              <w:rPr>
                <w:spacing w:val="-2"/>
                <w:sz w:val="20"/>
              </w:rPr>
              <w:t>worksheets)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825" w:val="left" w:leader="none"/>
              </w:tabs>
              <w:spacing w:line="262" w:lineRule="exact" w:before="0" w:after="0"/>
              <w:ind w:left="824" w:right="0" w:hanging="361"/>
              <w:jc w:val="both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before="10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Guide(s)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Reviewer(s)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  <w:p>
            <w:pPr>
              <w:pStyle w:val="TableParagraph"/>
              <w:spacing w:line="240" w:lineRule="atLeast"/>
              <w:ind w:left="104" w:right="195"/>
              <w:rPr>
                <w:sz w:val="20"/>
              </w:rPr>
            </w:pPr>
            <w:r>
              <w:rPr>
                <w:sz w:val="20"/>
              </w:rPr>
              <w:t>same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person.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Validated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reviewer’s guide documents.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00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Reviewer’s Guide creation</w:t>
            </w:r>
          </w:p>
        </w:tc>
      </w:tr>
      <w:tr>
        <w:trPr>
          <w:trHeight w:val="1593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SBR</w:t>
            </w:r>
          </w:p>
        </w:tc>
        <w:tc>
          <w:tcPr>
            <w:tcW w:w="6408" w:type="dxa"/>
          </w:tcPr>
          <w:p>
            <w:pPr>
              <w:pStyle w:val="TableParagraph"/>
              <w:spacing w:before="9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67" w:lineRule="exact" w:before="39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(CS_TP_BS002)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47" w:lineRule="auto" w:before="0" w:after="0"/>
              <w:ind w:left="824" w:right="132" w:hanging="360"/>
              <w:jc w:val="left"/>
              <w:rPr>
                <w:sz w:val="20"/>
              </w:rPr>
            </w:pPr>
            <w:r>
              <w:rPr>
                <w:sz w:val="20"/>
              </w:rPr>
              <w:t>Approaches to QC: Appendix J - QC Review of Submission Materials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(CS_OD_BS0234)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(SBR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cSDRG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SBR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ADRG </w:t>
            </w:r>
            <w:r>
              <w:rPr>
                <w:spacing w:val="-2"/>
                <w:sz w:val="20"/>
              </w:rPr>
              <w:t>worksheets)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6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00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Reviewer’s Guide review</w:t>
            </w:r>
          </w:p>
        </w:tc>
      </w:tr>
      <w:tr>
        <w:trPr>
          <w:trHeight w:val="71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BPTM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&amp; </w:t>
            </w:r>
            <w:r>
              <w:rPr>
                <w:spacing w:val="-2"/>
                <w:sz w:val="20"/>
              </w:rPr>
              <w:t>QC/SBR</w:t>
            </w:r>
          </w:p>
        </w:tc>
        <w:tc>
          <w:tcPr>
            <w:tcW w:w="6408" w:type="dxa"/>
          </w:tcPr>
          <w:p>
            <w:pPr>
              <w:pStyle w:val="TableParagraph"/>
              <w:spacing w:line="240" w:lineRule="exact"/>
              <w:ind w:left="104" w:right="195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adds review comments to applicable Biostatistics web-based solution/system, to document review of Reviewer’s Guides(s).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6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Reviewer’s Guide review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8" w:type="dxa"/>
          </w:tcPr>
          <w:p>
            <w:pPr>
              <w:pStyle w:val="TableParagraph"/>
              <w:spacing w:line="249" w:lineRule="auto" w:before="8"/>
              <w:ind w:left="104" w:right="195"/>
              <w:rPr>
                <w:sz w:val="20"/>
              </w:rPr>
            </w:pPr>
            <w:r>
              <w:rPr>
                <w:sz w:val="20"/>
              </w:rPr>
              <w:t>Maintains,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reviews,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Reviewer’s Guide(s) document as per above steps.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7"/>
              <w:ind w:left="104" w:right="100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maintenance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 review of Reviewer’s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Guide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8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8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8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408" w:type="dxa"/>
          </w:tcPr>
          <w:p>
            <w:pPr>
              <w:pStyle w:val="TableParagraph"/>
              <w:spacing w:line="240" w:lineRule="atLeast"/>
              <w:ind w:left="104" w:right="195"/>
              <w:rPr>
                <w:sz w:val="20"/>
              </w:rPr>
            </w:pPr>
            <w:r>
              <w:rPr>
                <w:sz w:val="20"/>
              </w:rPr>
              <w:t>Transfers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Reviewer’s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Guide(s)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standalone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part of a Define document to the customer as agreed.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2"/>
                <w:sz w:val="20"/>
              </w:rPr>
              <w:t> delivery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Documentation" w:id="12"/>
      <w:bookmarkEnd w:id="12"/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8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8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19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408" w:type="dxa"/>
          </w:tcPr>
          <w:p>
            <w:pPr>
              <w:pStyle w:val="TableParagraph"/>
              <w:ind w:left="104" w:right="195"/>
              <w:rPr>
                <w:sz w:val="20"/>
              </w:rPr>
            </w:pPr>
            <w:r>
              <w:rPr>
                <w:sz w:val="20"/>
              </w:rPr>
              <w:t>Files the final documentation in the relevant folder(s) based on the TMF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platform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(CS_OP_TMF0007) and Management and Filing of Biostatistics Documentation (CS_WI_BS0237). The following documentation must be filed:</w:t>
            </w:r>
          </w:p>
          <w:p>
            <w:pPr>
              <w:pStyle w:val="TableParagraph"/>
              <w:spacing w:before="9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421" w:hanging="360"/>
              <w:jc w:val="left"/>
              <w:rPr>
                <w:sz w:val="20"/>
              </w:rPr>
            </w:pP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Statistical Outputs (CS_TP_BS011)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660" w:hanging="360"/>
              <w:jc w:val="left"/>
              <w:rPr>
                <w:sz w:val="20"/>
              </w:rPr>
            </w:pP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 </w:t>
            </w:r>
            <w:r>
              <w:rPr>
                <w:spacing w:val="-2"/>
                <w:sz w:val="20"/>
              </w:rPr>
              <w:t>location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824" w:val="left" w:leader="none"/>
                <w:tab w:pos="825" w:val="left" w:leader="none"/>
              </w:tabs>
              <w:spacing w:line="237" w:lineRule="auto" w:before="2" w:after="0"/>
              <w:ind w:left="824" w:right="122" w:hanging="360"/>
              <w:jc w:val="left"/>
              <w:rPr>
                <w:sz w:val="20"/>
              </w:rPr>
            </w:pPr>
            <w:r>
              <w:rPr>
                <w:sz w:val="20"/>
              </w:rPr>
              <w:t>Final submission-ready DDs and/or transport files, Define document, Submission Annotated (e)CRFs, Reviewer’s Guide(s),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Metadata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(ARM),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their electronic location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824" w:val="left" w:leader="none"/>
                <w:tab w:pos="825" w:val="left" w:leader="none"/>
              </w:tabs>
              <w:spacing w:line="240" w:lineRule="auto" w:before="4" w:after="0"/>
              <w:ind w:left="824" w:right="137" w:hanging="360"/>
              <w:jc w:val="left"/>
              <w:rPr>
                <w:sz w:val="20"/>
              </w:rPr>
            </w:pPr>
            <w:r>
              <w:rPr>
                <w:sz w:val="20"/>
              </w:rPr>
              <w:t>Reviewer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(CS_FM_BS007)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annotated comments (if applicable)</w:t>
            </w:r>
          </w:p>
          <w:p>
            <w:pPr>
              <w:pStyle w:val="TableParagraph"/>
              <w:spacing w:before="3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spacing w:line="230" w:lineRule="atLeast"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(TMF)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(CS_OP_TMF0007)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further </w:t>
            </w:r>
            <w:r>
              <w:rPr>
                <w:spacing w:val="-2"/>
                <w:sz w:val="20"/>
              </w:rPr>
              <w:t>guidance.</w:t>
            </w:r>
          </w:p>
        </w:tc>
        <w:tc>
          <w:tcPr>
            <w:tcW w:w="1843" w:type="dxa"/>
          </w:tcPr>
          <w:p>
            <w:pPr>
              <w:pStyle w:val="TableParagraph"/>
              <w:spacing w:line="259" w:lineRule="auto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delivery, within 30 days of finalization or on </w:t>
            </w:r>
            <w:r>
              <w:rPr>
                <w:spacing w:val="-2"/>
                <w:sz w:val="20"/>
              </w:rPr>
              <w:t>receipt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rchival" w:id="13"/>
      <w:bookmarkEnd w:id="13"/>
      <w:r>
        <w:rPr>
          <w:b/>
          <w:spacing w:val="-2"/>
          <w:sz w:val="22"/>
        </w:rPr>
        <w:t>Archival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408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408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6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4"/>
                <w:sz w:val="20"/>
              </w:rPr>
              <w:t>BPTM</w:t>
            </w:r>
          </w:p>
        </w:tc>
        <w:tc>
          <w:tcPr>
            <w:tcW w:w="6408" w:type="dxa"/>
          </w:tcPr>
          <w:p>
            <w:pPr>
              <w:pStyle w:val="TableParagraph"/>
              <w:spacing w:line="259" w:lineRule="auto"/>
              <w:ind w:left="104"/>
              <w:rPr>
                <w:sz w:val="20"/>
              </w:rPr>
            </w:pPr>
            <w:r>
              <w:rPr>
                <w:sz w:val="20"/>
              </w:rPr>
              <w:t>Archives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programs,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reproduction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delivered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Management and Filing of Biostatistics Documentation </w:t>
            </w:r>
            <w:r>
              <w:rPr>
                <w:spacing w:val="-2"/>
                <w:sz w:val="20"/>
              </w:rPr>
              <w:t>(CS_WI_BS0237).</w:t>
            </w:r>
          </w:p>
          <w:p>
            <w:pPr>
              <w:pStyle w:val="TableParagraph"/>
              <w:spacing w:before="6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line="250" w:lineRule="atLeast"/>
              <w:ind w:left="104" w:right="611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tools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Innovation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delivery back-up creation (e.g., Snapshot tool).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delivery</w:t>
            </w:r>
          </w:p>
        </w:tc>
      </w:tr>
      <w:tr>
        <w:trPr>
          <w:trHeight w:val="176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STL/PTL</w:t>
            </w:r>
          </w:p>
        </w:tc>
        <w:tc>
          <w:tcPr>
            <w:tcW w:w="6408" w:type="dxa"/>
          </w:tcPr>
          <w:p>
            <w:pPr>
              <w:pStyle w:val="TableParagraph"/>
              <w:spacing w:line="261" w:lineRule="auto"/>
              <w:ind w:left="10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 directory, to the STL (or designee).</w:t>
            </w:r>
          </w:p>
          <w:p>
            <w:pPr>
              <w:pStyle w:val="TableParagraph"/>
              <w:spacing w:before="3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spacing w:line="250" w:lineRule="atLeast"/>
              <w:ind w:left="104" w:right="195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Files that are not stored in the project directory can refer to 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communications,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files/documentation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STL does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kept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different project directory to which the STL does not have access to.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Six months after project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SUPPORTING DOCUMENTATION" w:id="14"/>
      <w:bookmarkEnd w:id="14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725" w:footer="872" w:top="2520" w:bottom="114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CS_FM_BS007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CS_OD_BS0227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– Quality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Gates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Derived Data Specifications and Sets</w:t>
            </w:r>
          </w:p>
        </w:tc>
      </w:tr>
      <w:tr>
        <w:trPr>
          <w:trHeight w:val="556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4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CS_OD_BS0234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QC: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J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Submission </w:t>
            </w:r>
            <w:r>
              <w:rPr>
                <w:spacing w:val="-2"/>
                <w:sz w:val="22"/>
              </w:rPr>
              <w:t>Materials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4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CS_OP_TMF0007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09"/>
              <w:rPr>
                <w:sz w:val="22"/>
              </w:rPr>
            </w:pP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(TMF)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CS_TP_BS002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Biostatistics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Tracking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Derived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Datasets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Statistical </w:t>
            </w:r>
            <w:r>
              <w:rPr>
                <w:spacing w:val="-2"/>
                <w:sz w:val="22"/>
              </w:rPr>
              <w:t>Outputs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CS_TP_BS014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09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Issues</w:t>
            </w:r>
            <w:r>
              <w:rPr>
                <w:spacing w:val="-5"/>
                <w:sz w:val="22"/>
              </w:rPr>
              <w:t> Log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CS_TP_BS0208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Derived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Specification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hyperlink r:id="rId1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CS_TP_BS0241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SDTM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Mapping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Specification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56"/>
                <w:sz w:val="22"/>
              </w:rPr>
              <w:t> </w:t>
            </w:r>
            <w:hyperlink r:id="rId20">
              <w:r>
                <w:rPr>
                  <w:color w:val="0000FF"/>
                  <w:spacing w:val="-2"/>
                  <w:sz w:val="22"/>
                  <w:u w:val="single" w:color="0000FF"/>
                </w:rPr>
                <w:t>CS_TP_DM027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Non-CRF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Guidelines</w:t>
            </w: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spacing w:before="153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7.11</w:t>
            </w:r>
            <w:r>
              <w:rPr>
                <w:b/>
                <w:spacing w:val="54"/>
                <w:sz w:val="22"/>
              </w:rPr>
              <w:t> </w:t>
            </w:r>
            <w:hyperlink r:id="rId2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CS_WI_BS008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ind w:left="109" w:right="8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Authorization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Management Plan Documents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7.12</w:t>
            </w:r>
            <w:r>
              <w:rPr>
                <w:b/>
                <w:spacing w:val="54"/>
                <w:sz w:val="22"/>
              </w:rPr>
              <w:t> </w:t>
            </w:r>
            <w:hyperlink r:id="rId2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CS_WI_BS013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Derived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Datasets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7.13</w:t>
            </w:r>
            <w:r>
              <w:rPr>
                <w:b/>
                <w:spacing w:val="54"/>
                <w:sz w:val="22"/>
              </w:rPr>
              <w:t> </w:t>
            </w:r>
            <w:hyperlink r:id="rId2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CS_WI_BS015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09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7.14</w:t>
            </w:r>
            <w:r>
              <w:rPr>
                <w:b/>
                <w:spacing w:val="54"/>
                <w:sz w:val="22"/>
              </w:rPr>
              <w:t> </w:t>
            </w:r>
            <w:hyperlink r:id="rId2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CS_WI_BS020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Transfers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7.15</w:t>
            </w:r>
            <w:r>
              <w:rPr>
                <w:b/>
                <w:spacing w:val="56"/>
                <w:sz w:val="22"/>
              </w:rPr>
              <w:t> </w:t>
            </w:r>
            <w:hyperlink r:id="rId2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CS_WI_BS0237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8"/>
              <w:ind w:left="109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7.16</w:t>
            </w:r>
            <w:r>
              <w:rPr>
                <w:b/>
                <w:spacing w:val="56"/>
                <w:sz w:val="22"/>
              </w:rPr>
              <w:t> </w:t>
            </w:r>
            <w:hyperlink r:id="rId26">
              <w:r>
                <w:rPr>
                  <w:color w:val="0000FF"/>
                  <w:spacing w:val="-2"/>
                  <w:sz w:val="22"/>
                  <w:u w:val="single" w:color="0000FF"/>
                </w:rPr>
                <w:t>CS_WI_DM0404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EDC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Database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Build</w:t>
            </w:r>
          </w:p>
        </w:tc>
      </w:tr>
      <w:tr>
        <w:trPr>
          <w:trHeight w:val="330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71"/>
              <w:rPr>
                <w:b/>
                <w:sz w:val="22"/>
              </w:rPr>
            </w:pPr>
            <w:bookmarkStart w:name="External References" w:id="15"/>
            <w:bookmarkEnd w:id="15"/>
            <w:r>
              <w:rPr/>
            </w: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778" w:type="dxa"/>
          </w:tcPr>
          <w:p>
            <w:pPr>
              <w:pStyle w:val="TableParagraph"/>
              <w:spacing w:before="43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7.17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9"/>
              <w:ind w:left="109"/>
              <w:rPr>
                <w:sz w:val="22"/>
              </w:rPr>
            </w:pPr>
            <w:r>
              <w:rPr>
                <w:sz w:val="22"/>
              </w:rPr>
              <w:t>ICH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M2: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Electronic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Common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Technical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(eCTD) </w:t>
            </w:r>
            <w:r>
              <w:rPr>
                <w:spacing w:val="-2"/>
                <w:sz w:val="22"/>
              </w:rPr>
              <w:t>Specification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7.18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CDISC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SDTM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Implementation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Guide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7.19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CDISC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ADaM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Implementation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Guide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7.20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SDTM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Metadata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Submission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Guidelines</w:t>
            </w:r>
          </w:p>
        </w:tc>
      </w:tr>
      <w:tr>
        <w:trPr>
          <w:trHeight w:val="378" w:hRule="atLeast"/>
        </w:trPr>
        <w:tc>
          <w:tcPr>
            <w:tcW w:w="3778" w:type="dxa"/>
          </w:tcPr>
          <w:p>
            <w:pPr>
              <w:pStyle w:val="TableParagraph"/>
              <w:spacing w:before="38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7.21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FDA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Technical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Conformance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Guide</w:t>
            </w:r>
          </w:p>
        </w:tc>
      </w:tr>
      <w:tr>
        <w:trPr>
          <w:trHeight w:val="383" w:hRule="atLeast"/>
        </w:trPr>
        <w:tc>
          <w:tcPr>
            <w:tcW w:w="3778" w:type="dxa"/>
          </w:tcPr>
          <w:p>
            <w:pPr>
              <w:pStyle w:val="TableParagraph"/>
              <w:spacing w:before="43"/>
              <w:ind w:left="1022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7.22</w:t>
            </w:r>
          </w:p>
        </w:tc>
        <w:tc>
          <w:tcPr>
            <w:tcW w:w="6125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CDISC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Define-XML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Specification</w:t>
            </w:r>
          </w:p>
        </w:tc>
      </w:tr>
    </w:tbl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  <w:rPr>
          <w:b/>
          <w:sz w:val="22"/>
        </w:rPr>
      </w:pPr>
      <w:bookmarkStart w:name="SUPERSEDES" w:id="16"/>
      <w:bookmarkEnd w:id="16"/>
      <w:r>
        <w:rPr>
          <w:b/>
          <w:spacing w:val="-2"/>
          <w:sz w:val="22"/>
        </w:rPr>
        <w:t>SUPERSEDES</w:t>
      </w:r>
    </w:p>
    <w:p>
      <w:pPr>
        <w:pStyle w:val="BodyText"/>
        <w:spacing w:before="8"/>
        <w:rPr>
          <w:b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9" w:val="left" w:leader="none"/>
              </w:tabs>
              <w:spacing w:before="38"/>
              <w:ind w:left="101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CS_WI_BS022</w:t>
            </w:r>
          </w:p>
        </w:tc>
        <w:tc>
          <w:tcPr>
            <w:tcW w:w="3802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sz w:val="22"/>
              </w:rPr>
              <w:t>Submission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  <w:tc>
          <w:tcPr>
            <w:tcW w:w="2338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6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MODIFICATION FROM PREVIOUS REVISION" w:id="17"/>
      <w:bookmarkEnd w:id="17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872" w:top="2520" w:bottom="114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Authors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reflect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those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responsible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 the document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89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Reviewer’s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Guide(s) information and steps throughout document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340"/>
              <w:jc w:val="both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indicate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importance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 Reviewer’s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Guides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part of submission deliverables</w:t>
            </w:r>
          </w:p>
        </w:tc>
      </w:tr>
      <w:tr>
        <w:trPr>
          <w:trHeight w:val="127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89"/>
              <w:rPr>
                <w:sz w:val="22"/>
              </w:rPr>
            </w:pPr>
            <w:r>
              <w:rPr>
                <w:sz w:val="22"/>
              </w:rPr>
              <w:t>Updated Role and Responsibilities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harmonize programming and reviewer roles according to </w:t>
            </w:r>
            <w:r>
              <w:rPr>
                <w:spacing w:val="-2"/>
                <w:sz w:val="22"/>
              </w:rPr>
              <w:t>CS_WI_BS013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22"/>
              <w:rPr>
                <w:sz w:val="22"/>
              </w:rPr>
            </w:pPr>
            <w:r>
              <w:rPr>
                <w:sz w:val="22"/>
              </w:rPr>
              <w:t>Consistency is needed between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sections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related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DD and DD specifications and to provide a harmonized role structure across SOP’s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minor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grammatical </w:t>
            </w:r>
            <w:r>
              <w:rPr>
                <w:spacing w:val="-2"/>
                <w:sz w:val="22"/>
              </w:rPr>
              <w:t>errors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consistency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right="189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details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about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Prog, SBR, and QC roles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97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each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 roles so that a distinction could be made between programmers, QC reviewers and SBR reviewers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89"/>
              <w:rPr>
                <w:sz w:val="22"/>
              </w:rPr>
            </w:pPr>
            <w:r>
              <w:rPr>
                <w:sz w:val="22"/>
              </w:rPr>
              <w:t>Added cSDRG and ADRG document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first </w:t>
            </w:r>
            <w:r>
              <w:rPr>
                <w:spacing w:val="-2"/>
                <w:sz w:val="22"/>
              </w:rPr>
              <w:t>bullet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204"/>
              <w:rPr>
                <w:sz w:val="22"/>
              </w:rPr>
            </w:pPr>
            <w:r>
              <w:rPr>
                <w:sz w:val="22"/>
              </w:rPr>
              <w:t>These documents are considered part of a submission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delivery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need to be referenced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tools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that have been developed by the Biostatistics Innovations team</w:t>
            </w:r>
          </w:p>
        </w:tc>
        <w:tc>
          <w:tcPr>
            <w:tcW w:w="3298" w:type="dxa"/>
          </w:tcPr>
          <w:p>
            <w:pPr>
              <w:pStyle w:val="TableParagraph"/>
              <w:spacing w:line="246" w:lineRule="exact" w:before="24"/>
              <w:ind w:left="109"/>
              <w:rPr>
                <w:sz w:val="22"/>
              </w:rPr>
            </w:pPr>
            <w:r>
              <w:rPr>
                <w:sz w:val="22"/>
              </w:rPr>
              <w:t>6.1.1,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6.3.12,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6.4.3,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6.4.6,</w:t>
            </w:r>
          </w:p>
          <w:p>
            <w:pPr>
              <w:pStyle w:val="TableParagraph"/>
              <w:spacing w:line="246" w:lineRule="exact"/>
              <w:ind w:left="109"/>
              <w:rPr>
                <w:sz w:val="22"/>
              </w:rPr>
            </w:pPr>
            <w:r>
              <w:rPr>
                <w:sz w:val="22"/>
              </w:rPr>
              <w:t>6.5.2,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2"/>
                <w:sz w:val="22"/>
              </w:rPr>
              <w:t> 6.7.1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Validated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tools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preferred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in the performing of certain tasks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right="127"/>
              <w:rPr>
                <w:sz w:val="22"/>
              </w:rPr>
            </w:pPr>
            <w:r>
              <w:rPr>
                <w:sz w:val="22"/>
              </w:rPr>
              <w:t>Added details about logging any data issues and that applicable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template/tool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should be used to use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6.1.6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204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template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 documenting and reporting data issues and needs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Changed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“should”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“must”</w:t>
            </w:r>
          </w:p>
        </w:tc>
        <w:tc>
          <w:tcPr>
            <w:tcW w:w="3298" w:type="dxa"/>
          </w:tcPr>
          <w:p>
            <w:pPr>
              <w:pStyle w:val="TableParagraph"/>
              <w:spacing w:line="249" w:lineRule="exact" w:before="24"/>
              <w:ind w:left="109"/>
              <w:rPr>
                <w:sz w:val="22"/>
              </w:rPr>
            </w:pPr>
            <w:r>
              <w:rPr>
                <w:sz w:val="22"/>
              </w:rPr>
              <w:t>6.1.6,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6.2.4,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6.3.6,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6.3.12,</w:t>
            </w:r>
          </w:p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z w:val="22"/>
              </w:rPr>
              <w:t>6.4.3,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6.5.2,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6.6.1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363"/>
              <w:jc w:val="both"/>
              <w:rPr>
                <w:sz w:val="22"/>
              </w:rPr>
            </w:pPr>
            <w:r>
              <w:rPr>
                <w:sz w:val="22"/>
              </w:rPr>
              <w:t>To emphasize that guidance within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sections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have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 be followed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89"/>
              <w:rPr>
                <w:sz w:val="22"/>
              </w:rPr>
            </w:pPr>
            <w:r>
              <w:rPr>
                <w:sz w:val="22"/>
              </w:rPr>
              <w:t>Indicated that a customer/vendor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equivalent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of 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used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CRF is available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6.2.5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97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alternative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options for studies which have these </w:t>
            </w:r>
            <w:r>
              <w:rPr>
                <w:spacing w:val="-2"/>
                <w:sz w:val="22"/>
              </w:rPr>
              <w:t>scenarios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SDTM aCRF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6.2.6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 QC review in addition to the CRF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annotator’s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own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is </w:t>
            </w:r>
            <w:r>
              <w:rPr>
                <w:spacing w:val="-2"/>
                <w:sz w:val="22"/>
              </w:rPr>
              <w:t>required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web-based Bios solution/system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6.2.7,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6.3.8,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6.3.18,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6.4.6,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6.5.4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97"/>
              <w:rPr>
                <w:sz w:val="22"/>
              </w:rPr>
            </w:pPr>
            <w:r>
              <w:rPr>
                <w:sz w:val="22"/>
              </w:rPr>
              <w:t>New tool developed which would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replace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RFF and tracking documents</w:t>
            </w:r>
          </w:p>
        </w:tc>
      </w:tr>
    </w:tbl>
    <w:p>
      <w:pPr>
        <w:spacing w:after="0" w:line="230" w:lineRule="auto"/>
        <w:rPr>
          <w:sz w:val="22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right="189"/>
              <w:rPr>
                <w:sz w:val="22"/>
              </w:rPr>
            </w:pPr>
            <w:r>
              <w:rPr>
                <w:sz w:val="22"/>
              </w:rPr>
              <w:t>Added detail to indicate QC review is recorded in the tracking document or applicable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system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6.3.6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6.3.18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 w:right="20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align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CS_WI_BS013 for DD specification review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SBR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review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6.3.7,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6.4.5,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6.5.3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SBR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 these deliverables</w:t>
            </w:r>
          </w:p>
        </w:tc>
      </w:tr>
      <w:tr>
        <w:trPr>
          <w:trHeight w:val="103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check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verify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source datasets are accounted for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6.3.12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204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check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added for QC of derived datasets which is required for all Biostatistics projects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right="165"/>
              <w:jc w:val="both"/>
              <w:rPr>
                <w:sz w:val="22"/>
              </w:rPr>
            </w:pPr>
            <w:r>
              <w:rPr>
                <w:sz w:val="22"/>
              </w:rPr>
              <w:t>Added notes to indicate where the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person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performing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task 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should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be the same person</w:t>
            </w:r>
          </w:p>
        </w:tc>
        <w:tc>
          <w:tcPr>
            <w:tcW w:w="3298" w:type="dxa"/>
          </w:tcPr>
          <w:p>
            <w:pPr>
              <w:pStyle w:val="TableParagraph"/>
              <w:spacing w:line="249" w:lineRule="exact" w:before="24"/>
              <w:ind w:left="109"/>
              <w:rPr>
                <w:sz w:val="22"/>
              </w:rPr>
            </w:pPr>
            <w:r>
              <w:rPr>
                <w:sz w:val="22"/>
              </w:rPr>
              <w:t>6.3.13,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6.3.14,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6.3.15,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6.3.16,</w:t>
            </w:r>
          </w:p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z w:val="22"/>
              </w:rPr>
              <w:t>6.3.19,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6.3.20,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6.3.21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Provide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own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 peer/senior review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Added references to sheet names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other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documents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6.3.17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clearly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specify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which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checks are related to this review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note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indicate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SBR review does not need to be documented in the tracking document or applicable Biostatistics system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6.3.18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97"/>
              <w:rPr>
                <w:sz w:val="22"/>
              </w:rPr>
            </w:pPr>
            <w:r>
              <w:rPr>
                <w:sz w:val="22"/>
              </w:rPr>
              <w:t>Tracking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status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SBR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reviews is not required</w:t>
            </w:r>
          </w:p>
        </w:tc>
      </w:tr>
      <w:tr>
        <w:trPr>
          <w:trHeight w:val="127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SDTM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Mapping Specification reference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6.4.2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204"/>
              <w:rPr>
                <w:sz w:val="22"/>
              </w:rPr>
            </w:pPr>
            <w:r>
              <w:rPr>
                <w:sz w:val="22"/>
              </w:rPr>
              <w:t>This is a newly developed template used for SDTM dataset specifications which has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also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been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developed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define.xml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right="152"/>
              <w:rPr>
                <w:sz w:val="22"/>
              </w:rPr>
            </w:pPr>
            <w:r>
              <w:rPr>
                <w:sz w:val="22"/>
              </w:rPr>
              <w:t>Added note to indicate that RFF needs to reference any validation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tools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used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review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6.4.6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97"/>
              <w:rPr>
                <w:sz w:val="22"/>
              </w:rPr>
            </w:pPr>
            <w:r>
              <w:rPr>
                <w:sz w:val="22"/>
              </w:rPr>
              <w:t>Reviews need to be documented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RFF,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even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if a validation tool is used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references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QC documents, SOP’s, and </w:t>
            </w:r>
            <w:r>
              <w:rPr>
                <w:spacing w:val="-2"/>
                <w:sz w:val="22"/>
              </w:rPr>
              <w:t>templates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6.5.2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1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have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consistency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other QC steps and provide details on which QC documents may be referenced for the review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89"/>
              <w:rPr>
                <w:sz w:val="22"/>
              </w:rPr>
            </w:pPr>
            <w:r>
              <w:rPr>
                <w:sz w:val="22"/>
              </w:rPr>
              <w:t>Updated “When” to indicate that filing of documentation needs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occur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within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30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days of delivery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6.6.1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timing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per </w:t>
            </w:r>
            <w:r>
              <w:rPr>
                <w:spacing w:val="-2"/>
                <w:sz w:val="22"/>
              </w:rPr>
              <w:t>WI_BS0237</w:t>
            </w:r>
          </w:p>
        </w:tc>
      </w:tr>
      <w:tr>
        <w:trPr>
          <w:trHeight w:val="103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Changed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“When”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clause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“For every delivery”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6.7.1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Archival and back-up of deliveries for the purposes of recreating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delivery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required after every delivery</w:t>
            </w:r>
          </w:p>
        </w:tc>
      </w:tr>
    </w:tbl>
    <w:p>
      <w:pPr>
        <w:spacing w:after="0" w:line="228" w:lineRule="auto"/>
        <w:rPr>
          <w:sz w:val="22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Swapped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these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two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sections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6.7.1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2"/>
                <w:sz w:val="22"/>
              </w:rPr>
              <w:t> 6.7.2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204"/>
              <w:rPr>
                <w:sz w:val="22"/>
              </w:rPr>
            </w:pPr>
            <w:r>
              <w:rPr>
                <w:sz w:val="22"/>
              </w:rPr>
              <w:t>Changed “When” clause for section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6.7.1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which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it to display first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12"/>
              <w:rPr>
                <w:sz w:val="22"/>
              </w:rPr>
            </w:pPr>
            <w:r>
              <w:rPr>
                <w:sz w:val="22"/>
              </w:rPr>
              <w:t>Added note to provide details about the types of files that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stored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project </w:t>
            </w:r>
            <w:r>
              <w:rPr>
                <w:spacing w:val="-2"/>
                <w:sz w:val="22"/>
              </w:rPr>
              <w:t>directory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6.7.2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97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provide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which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files met the requirements for this </w:t>
            </w:r>
            <w:r>
              <w:rPr>
                <w:spacing w:val="-4"/>
                <w:sz w:val="22"/>
              </w:rPr>
              <w:t>step</w:t>
            </w:r>
          </w:p>
        </w:tc>
      </w:tr>
      <w:tr>
        <w:trPr>
          <w:trHeight w:val="719" w:hRule="atLeast"/>
        </w:trPr>
        <w:tc>
          <w:tcPr>
            <w:tcW w:w="3298" w:type="dxa"/>
          </w:tcPr>
          <w:p>
            <w:pPr>
              <w:pStyle w:val="TableParagraph"/>
              <w:spacing w:line="240" w:lineRule="exact"/>
              <w:ind w:right="127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SDTM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Dataset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Mapping Specification template reference and link</w:t>
            </w:r>
          </w:p>
        </w:tc>
        <w:tc>
          <w:tcPr>
            <w:tcW w:w="3298" w:type="dxa"/>
          </w:tcPr>
          <w:p>
            <w:pPr>
              <w:pStyle w:val="TableParagraph"/>
              <w:spacing w:line="238" w:lineRule="exact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7.8</w:t>
            </w:r>
          </w:p>
        </w:tc>
        <w:tc>
          <w:tcPr>
            <w:tcW w:w="3303" w:type="dxa"/>
          </w:tcPr>
          <w:p>
            <w:pPr>
              <w:pStyle w:val="TableParagraph"/>
              <w:spacing w:line="240" w:lineRule="exact"/>
              <w:ind w:left="109" w:right="204"/>
              <w:rPr>
                <w:sz w:val="22"/>
              </w:rPr>
            </w:pPr>
            <w:r>
              <w:rPr>
                <w:sz w:val="22"/>
              </w:rPr>
              <w:t>This template is being referenced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newly updated section 6.4.2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18"/>
      <w:bookmarkEnd w:id="18"/>
      <w:r>
        <w:rPr>
          <w:b/>
          <w:spacing w:val="-2"/>
          <w:sz w:val="22"/>
        </w:rPr>
        <w:t>APPENDICES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Appendix A:  Submission Deliverable Work" w:id="19"/>
      <w:bookmarkEnd w:id="1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Deliverable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872" w:top="2520" w:bottom="1060" w:left="900" w:right="9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260" w:right="0" w:firstLine="0"/>
        <w:jc w:val="left"/>
        <w:rPr>
          <w:b/>
          <w:sz w:val="22"/>
        </w:rPr>
      </w:pPr>
      <w:bookmarkStart w:name="Appendix A:  Submission Deliverable Work" w:id="20"/>
      <w:bookmarkEnd w:id="20"/>
      <w:r>
        <w:rPr/>
      </w: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Deliverable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5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1258824</wp:posOffset>
            </wp:positionH>
            <wp:positionV relativeFrom="paragraph">
              <wp:posOffset>129929</wp:posOffset>
            </wp:positionV>
            <wp:extent cx="5908071" cy="3157728"/>
            <wp:effectExtent l="0" t="0" r="0" b="0"/>
            <wp:wrapTopAndBottom/>
            <wp:docPr id="9" name="image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8071" cy="3157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  <w:sz w:val="21"/>
        </w:rPr>
      </w:pPr>
      <w:r>
        <w:rPr/>
        <w:pict>
          <v:rect style="position:absolute;margin-left:66pt;margin-top:13.44243pt;width:475.44pt;height:.24pt;mso-position-horizontal-relative:page;mso-position-vertical-relative:paragraph;z-index:-15725568;mso-wrap-distance-left:0;mso-wrap-distance-right:0" id="docshape11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17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17</w:t>
      </w:r>
    </w:p>
    <w:p>
      <w:pPr>
        <w:spacing w:line="244" w:lineRule="auto" w:before="0"/>
        <w:ind w:left="448" w:right="0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2008,</w:t>
      </w:r>
      <w:r>
        <w:rPr>
          <w:spacing w:val="-2"/>
          <w:sz w:val="16"/>
        </w:rPr>
        <w:t> </w:t>
      </w:r>
      <w:r>
        <w:rPr>
          <w:sz w:val="16"/>
        </w:rPr>
        <w:t>2010,</w:t>
      </w:r>
      <w:r>
        <w:rPr>
          <w:spacing w:val="-2"/>
          <w:sz w:val="16"/>
        </w:rPr>
        <w:t> </w:t>
      </w:r>
      <w:r>
        <w:rPr>
          <w:sz w:val="16"/>
        </w:rPr>
        <w:t>2012,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2"/>
          <w:sz w:val="16"/>
        </w:rPr>
        <w:t> </w:t>
      </w:r>
      <w:r>
        <w:rPr>
          <w:sz w:val="16"/>
        </w:rPr>
        <w:t>2018,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2022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27"/>
          <w:footerReference w:type="default" r:id="rId28"/>
          <w:pgSz w:w="12240" w:h="15840"/>
          <w:pgMar w:header="725" w:footer="268" w:top="2520" w:bottom="460" w:left="900" w:right="900"/>
        </w:sectPr>
      </w:pPr>
    </w:p>
    <w:p>
      <w:pPr>
        <w:spacing w:line="321" w:lineRule="exact" w:before="79"/>
        <w:ind w:left="608" w:right="57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11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3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60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60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60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23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Marcus,</w:t>
      </w:r>
      <w:r>
        <w:rPr>
          <w:spacing w:val="-10"/>
          <w:sz w:val="20"/>
        </w:rPr>
        <w:t> </w:t>
      </w:r>
      <w:r>
        <w:rPr>
          <w:sz w:val="20"/>
        </w:rPr>
        <w:t>Ari</w:t>
      </w:r>
      <w:r>
        <w:rPr>
          <w:spacing w:val="36"/>
          <w:sz w:val="20"/>
        </w:rPr>
        <w:t> </w:t>
      </w:r>
      <w:r>
        <w:rPr>
          <w:sz w:val="20"/>
        </w:rPr>
        <w:t>(q774256)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24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23</w:t>
      </w:r>
      <w:r>
        <w:rPr>
          <w:spacing w:val="-4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08:14</w:t>
      </w:r>
      <w:r>
        <w:rPr>
          <w:spacing w:val="-4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83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24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08:25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30"/>
      <w:footerReference w:type="default" r:id="rId31"/>
      <w:pgSz w:w="12240" w:h="15840"/>
      <w:pgMar w:header="0" w:footer="268" w:top="1360" w:bottom="460" w:left="900" w:right="9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116.522003pt;margin-top:767.575989pt;width:379pt;height:16.45pt;mso-position-horizontal-relative:page;mso-position-vertical-relative:page;z-index:-16766976" type="#_x0000_t202" id="docshape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7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440002pt;margin-top:734.870239pt;width:473.3pt;height:49.15pt;mso-position-horizontal-relative:page;mso-position-vertical-relative:page;z-index:-16765952" type="#_x0000_t202" id="docshape4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17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 proprietary to 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102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7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764928" id="docshape7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73.3pt;height:49.15pt;mso-position-horizontal-relative:page;mso-position-vertical-relative:page;z-index:-16764416" type="#_x0000_t202" id="docshape8" filled="false" stroked="false">
          <v:textbox inset="0,0,0,0">
            <w:txbxContent>
              <w:p>
                <w:pPr>
                  <w:spacing w:line="183" w:lineRule="exact" w:before="13"/>
                  <w:ind w:left="424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10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1"/>
                    <w:sz w:val="16"/>
                  </w:rPr>
                  <w:t> </w:t>
                </w:r>
                <w:r>
                  <w:rPr>
                    <w:spacing w:val="-5"/>
                    <w:sz w:val="16"/>
                  </w:rPr>
                  <w:t>17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2012,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2016,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2018,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 proprietary to 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102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7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6.522003pt;margin-top:767.575989pt;width:379pt;height:16.45pt;mso-position-horizontal-relative:page;mso-position-vertical-relative:page;z-index:-16763392" type="#_x0000_t202" id="docshape10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7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6.522003pt;margin-top:767.575989pt;width:379pt;height:16.45pt;mso-position-horizontal-relative:page;mso-position-vertical-relative:page;z-index:-16762880" type="#_x0000_t202" id="docshape12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CS_WI_BS022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7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29152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Submission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CS_WI_BS022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7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550016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30176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Submission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CS_WI_BS022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7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551040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9pt;margin-top:36pt;width:475.2pt;height:90.45pt;mso-position-horizontal-relative:page;mso-position-vertical-relative:page;z-index:15730688" type="#_x0000_t202" id="docshape9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258"/>
                  <w:gridCol w:w="5117"/>
                </w:tblGrid>
                <w:tr>
                  <w:trPr>
                    <w:trHeight w:val="892" w:hRule="atLeast"/>
                  </w:trPr>
                  <w:tc>
                    <w:tcPr>
                      <w:tcW w:w="4258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Submission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Deliverables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258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117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9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CS_WI_BS022</w:t>
                      </w:r>
                      <w:r>
                        <w:rPr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7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6552576">
          <wp:simplePos x="0" y="0"/>
          <wp:positionH relativeFrom="page">
            <wp:posOffset>1271016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7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0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82" w:hanging="360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0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82" w:hanging="360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0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82" w:hanging="360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8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9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0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58" w:hanging="360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8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9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0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58" w:hanging="36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8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9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0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58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8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9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0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58" w:hanging="36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31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4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1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8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0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9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4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0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6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2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79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234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15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7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1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20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o"/>
      <w:lvlJc w:val="left"/>
      <w:pPr>
        <w:ind w:left="1549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5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2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8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83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311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9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98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82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1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3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1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0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4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711" w:hanging="629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2522" w:hanging="812"/>
        <w:jc w:val="lef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20" w:hanging="8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51" w:hanging="8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82" w:hanging="8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14" w:hanging="8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45" w:hanging="8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77" w:hanging="812"/>
      </w:pPr>
      <w:rPr>
        <w:rFonts w:hint="default"/>
        <w:lang w:val="en-US" w:eastAsia="en-US" w:bidi="ar-SA"/>
      </w:rPr>
    </w:lvl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9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yperlink" Target="https://elvis.quintiles.com/livelink/llisapi.dll/open/CS_FM_BS007" TargetMode="External"/><Relationship Id="rId12" Type="http://schemas.openxmlformats.org/officeDocument/2006/relationships/hyperlink" Target="https://elvis.quintiles.com/livelink/llisapi.dll/open/CS_OD_BS0227" TargetMode="External"/><Relationship Id="rId13" Type="http://schemas.openxmlformats.org/officeDocument/2006/relationships/hyperlink" Target="https://elvis.quintiles.com/livelink/llisapi.dll/open/CS_OD_BS0234" TargetMode="External"/><Relationship Id="rId14" Type="http://schemas.openxmlformats.org/officeDocument/2006/relationships/hyperlink" Target="https://elvis.quintiles.com/livelink/llisapi.dll/open/CS_OP_TMF0007" TargetMode="External"/><Relationship Id="rId15" Type="http://schemas.openxmlformats.org/officeDocument/2006/relationships/hyperlink" Target="https://elvis.quintiles.com/livelink/llisapi.dll/open/CS_TP_BS002" TargetMode="External"/><Relationship Id="rId16" Type="http://schemas.openxmlformats.org/officeDocument/2006/relationships/hyperlink" Target="https://elvis.quintiles.com/livelink/llisapi.dll/open/CS_TP_BS011" TargetMode="External"/><Relationship Id="rId17" Type="http://schemas.openxmlformats.org/officeDocument/2006/relationships/hyperlink" Target="https://elvis.quintiles.com/livelink/llisapi.dll/open/CS_TP_BS014" TargetMode="External"/><Relationship Id="rId18" Type="http://schemas.openxmlformats.org/officeDocument/2006/relationships/hyperlink" Target="https://elvis.quintiles.com/livelink/llisapi.dll/open/CS_TP_BS0208" TargetMode="External"/><Relationship Id="rId19" Type="http://schemas.openxmlformats.org/officeDocument/2006/relationships/hyperlink" Target="https://elvis.quintiles.com/livelink/llisapi.dll/open/CS_TP_BS0241" TargetMode="External"/><Relationship Id="rId20" Type="http://schemas.openxmlformats.org/officeDocument/2006/relationships/hyperlink" Target="https://elvis.quintiles.com/livelink/llisapi.dll/open/CS_TP_DM027" TargetMode="External"/><Relationship Id="rId21" Type="http://schemas.openxmlformats.org/officeDocument/2006/relationships/hyperlink" Target="https://elvis.quintiles.com/livelink/llisapi.dll/open/CS_WI_BS008" TargetMode="External"/><Relationship Id="rId22" Type="http://schemas.openxmlformats.org/officeDocument/2006/relationships/hyperlink" Target="https://elvis.quintiles.com/livelink/llisapi.dll/open/CS_WI_BS013" TargetMode="External"/><Relationship Id="rId23" Type="http://schemas.openxmlformats.org/officeDocument/2006/relationships/hyperlink" Target="https://elvis.quintiles.com/livelink/llisapi.dll/open/CS_WI_BS015" TargetMode="External"/><Relationship Id="rId24" Type="http://schemas.openxmlformats.org/officeDocument/2006/relationships/hyperlink" Target="https://elvis.quintiles.com/livelink/llisapi.dll/open/CS_WI_BS020" TargetMode="External"/><Relationship Id="rId25" Type="http://schemas.openxmlformats.org/officeDocument/2006/relationships/hyperlink" Target="https://elvis.quintiles.com/livelink/llisapi.dll/open/CS_WI_BS0237" TargetMode="External"/><Relationship Id="rId26" Type="http://schemas.openxmlformats.org/officeDocument/2006/relationships/hyperlink" Target="https://elvis.quintiles.com/livelink/llisapi.dll/open/CS_WI_DM0404" TargetMode="External"/><Relationship Id="rId27" Type="http://schemas.openxmlformats.org/officeDocument/2006/relationships/header" Target="header3.xml"/><Relationship Id="rId28" Type="http://schemas.openxmlformats.org/officeDocument/2006/relationships/footer" Target="footer4.xml"/><Relationship Id="rId29" Type="http://schemas.openxmlformats.org/officeDocument/2006/relationships/image" Target="media/image2.jpeg"/><Relationship Id="rId30" Type="http://schemas.openxmlformats.org/officeDocument/2006/relationships/header" Target="header4.xml"/><Relationship Id="rId31" Type="http://schemas.openxmlformats.org/officeDocument/2006/relationships/footer" Target="footer5.xml"/><Relationship Id="rId32" Type="http://schemas.openxmlformats.org/officeDocument/2006/relationships/image" Target="media/image3.png"/><Relationship Id="rId33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2023-04-11T16:43:06Z</dcterms:created>
  <dcterms:modified xsi:type="dcterms:W3CDTF">2023-04-11T16:43:06Z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2022-06-22T00:00:00Z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