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2"/>
              <w:ind w:left="0"/>
              <w:rPr>
                <w:rFonts w:ascii="Times New Roman"/>
                <w:sz w:val="26"/>
              </w:rPr>
            </w:pPr>
          </w:p>
          <w:p>
            <w:pPr>
              <w:pStyle w:val="TableParagraph"/>
              <w:spacing w:before="0"/>
              <w:ind w:left="188" w:right="126" w:firstLine="849"/>
              <w:rPr>
                <w:b/>
                <w:sz w:val="22"/>
              </w:rPr>
            </w:pPr>
            <w:r>
              <w:rPr>
                <w:b/>
                <w:sz w:val="22"/>
              </w:rPr>
              <w:t>IQVIA</w:t>
            </w:r>
            <w:r>
              <w:rPr>
                <w:b/>
                <w:sz w:val="22"/>
                <w:vertAlign w:val="superscript"/>
              </w:rPr>
              <w:t>TM</w:t>
            </w:r>
            <w:r>
              <w:rPr>
                <w:b/>
                <w:sz w:val="22"/>
                <w:vertAlign w:val="baseline"/>
              </w:rPr>
              <w:t> Operating Procedure Pharmacokinetic/Pharmacodynamic</w:t>
            </w:r>
            <w:r>
              <w:rPr>
                <w:b/>
                <w:spacing w:val="-16"/>
                <w:sz w:val="22"/>
                <w:vertAlign w:val="baseline"/>
              </w:rPr>
              <w:t> </w:t>
            </w:r>
            <w:r>
              <w:rPr>
                <w:b/>
                <w:sz w:val="22"/>
                <w:vertAlign w:val="baseline"/>
              </w:rPr>
              <w:t>Analysis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PI_OP_PK0206</w:t>
            </w:r>
            <w:r>
              <w:rPr>
                <w:spacing w:val="-9"/>
                <w:sz w:val="20"/>
              </w:rPr>
              <w:t> </w:t>
            </w:r>
            <w:r>
              <w:rPr>
                <w:sz w:val="20"/>
              </w:rPr>
              <w:t>Revision</w:t>
            </w:r>
            <w:r>
              <w:rPr>
                <w:spacing w:val="-9"/>
                <w:sz w:val="20"/>
              </w:rPr>
              <w:t> </w:t>
            </w:r>
            <w:r>
              <w:rPr>
                <w:spacing w:val="-10"/>
                <w:sz w:val="20"/>
              </w:rPr>
              <w:t>6</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0" w:lineRule="exact" w:before="44"/>
              <w:ind w:left="107"/>
              <w:rPr>
                <w:sz w:val="20"/>
              </w:rPr>
            </w:pPr>
            <w:r>
              <w:rPr>
                <w:sz w:val="20"/>
              </w:rPr>
              <w:t>Doris</w:t>
            </w:r>
            <w:r>
              <w:rPr>
                <w:spacing w:val="-5"/>
                <w:sz w:val="20"/>
              </w:rPr>
              <w:t> </w:t>
            </w:r>
            <w:r>
              <w:rPr>
                <w:spacing w:val="-2"/>
                <w:sz w:val="20"/>
              </w:rPr>
              <w:t>Weilert</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0" w:lineRule="exact" w:before="44"/>
              <w:ind w:left="121"/>
              <w:rPr>
                <w:sz w:val="20"/>
              </w:rPr>
            </w:pPr>
            <w:r>
              <w:rPr>
                <w:sz w:val="20"/>
              </w:rPr>
              <w:t>Doris</w:t>
            </w:r>
            <w:r>
              <w:rPr>
                <w:spacing w:val="-5"/>
                <w:sz w:val="20"/>
              </w:rPr>
              <w:t> </w:t>
            </w:r>
            <w:r>
              <w:rPr>
                <w:spacing w:val="-2"/>
                <w:sz w:val="20"/>
              </w:rPr>
              <w:t>Weilert</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1"/>
        <w:ind w:left="1260" w:right="518"/>
        <w:jc w:val="both"/>
      </w:pPr>
      <w:r>
        <w:rPr/>
        <w:t>To</w:t>
      </w:r>
      <w:r>
        <w:rPr>
          <w:spacing w:val="-4"/>
        </w:rPr>
        <w:t> </w:t>
      </w:r>
      <w:r>
        <w:rPr/>
        <w:t>define</w:t>
      </w:r>
      <w:r>
        <w:rPr>
          <w:spacing w:val="-4"/>
        </w:rPr>
        <w:t> </w:t>
      </w:r>
      <w:r>
        <w:rPr/>
        <w:t>the</w:t>
      </w:r>
      <w:r>
        <w:rPr>
          <w:spacing w:val="-4"/>
        </w:rPr>
        <w:t> </w:t>
      </w:r>
      <w:r>
        <w:rPr/>
        <w:t>pharmacokinetic</w:t>
      </w:r>
      <w:r>
        <w:rPr>
          <w:spacing w:val="-4"/>
        </w:rPr>
        <w:t> </w:t>
      </w:r>
      <w:r>
        <w:rPr/>
        <w:t>(PK)</w:t>
      </w:r>
      <w:r>
        <w:rPr>
          <w:spacing w:val="-4"/>
        </w:rPr>
        <w:t> </w:t>
      </w:r>
      <w:r>
        <w:rPr/>
        <w:t>or</w:t>
      </w:r>
      <w:r>
        <w:rPr>
          <w:spacing w:val="-4"/>
        </w:rPr>
        <w:t> </w:t>
      </w:r>
      <w:r>
        <w:rPr/>
        <w:t>pharmacodynamic</w:t>
      </w:r>
      <w:r>
        <w:rPr>
          <w:spacing w:val="-4"/>
        </w:rPr>
        <w:t> </w:t>
      </w:r>
      <w:r>
        <w:rPr/>
        <w:t>(PD)</w:t>
      </w:r>
      <w:r>
        <w:rPr>
          <w:spacing w:val="-4"/>
        </w:rPr>
        <w:t> </w:t>
      </w:r>
      <w:r>
        <w:rPr/>
        <w:t>analysis</w:t>
      </w:r>
      <w:r>
        <w:rPr>
          <w:spacing w:val="-4"/>
        </w:rPr>
        <w:t> </w:t>
      </w:r>
      <w:r>
        <w:rPr/>
        <w:t>process</w:t>
      </w:r>
      <w:r>
        <w:rPr>
          <w:spacing w:val="-4"/>
        </w:rPr>
        <w:t> </w:t>
      </w:r>
      <w:r>
        <w:rPr/>
        <w:t>used</w:t>
      </w:r>
      <w:r>
        <w:rPr>
          <w:spacing w:val="-4"/>
        </w:rPr>
        <w:t> </w:t>
      </w:r>
      <w:r>
        <w:rPr/>
        <w:t>by </w:t>
      </w:r>
      <w:bookmarkStart w:name="SCOPE" w:id="2"/>
      <w:bookmarkEnd w:id="2"/>
      <w:r>
        <w:rPr>
          <w:spacing w:val="-2"/>
        </w:rPr>
        <w:t>IQVI</w:t>
      </w:r>
      <w:r>
        <w:rPr>
          <w:spacing w:val="-2"/>
        </w:rPr>
        <w:t>A</w:t>
      </w:r>
      <w:r>
        <w:rPr>
          <w:spacing w:val="-2"/>
          <w:vertAlign w:val="superscript"/>
        </w:rPr>
        <w:t>™.</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spacing w:val="-2"/>
        </w:rPr>
        <w:t>SCOPE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754" w:hanging="720"/>
        <w:jc w:val="left"/>
        <w:rPr>
          <w:sz w:val="22"/>
        </w:rPr>
      </w:pPr>
      <w:r>
        <w:rPr>
          <w:sz w:val="22"/>
        </w:rPr>
        <w:t>This</w:t>
      </w:r>
      <w:r>
        <w:rPr>
          <w:spacing w:val="-3"/>
          <w:sz w:val="22"/>
        </w:rPr>
        <w:t> </w:t>
      </w:r>
      <w:r>
        <w:rPr>
          <w:sz w:val="22"/>
        </w:rPr>
        <w:t>Operating</w:t>
      </w:r>
      <w:r>
        <w:rPr>
          <w:spacing w:val="-3"/>
          <w:sz w:val="22"/>
        </w:rPr>
        <w:t> </w:t>
      </w:r>
      <w:r>
        <w:rPr>
          <w:sz w:val="22"/>
        </w:rPr>
        <w:t>Procedure</w:t>
      </w:r>
      <w:r>
        <w:rPr>
          <w:spacing w:val="-3"/>
          <w:sz w:val="22"/>
        </w:rPr>
        <w:t> </w:t>
      </w:r>
      <w:r>
        <w:rPr>
          <w:sz w:val="22"/>
        </w:rPr>
        <w:t>(OP)</w:t>
      </w:r>
      <w:r>
        <w:rPr>
          <w:spacing w:val="-3"/>
          <w:sz w:val="22"/>
        </w:rPr>
        <w:t> </w:t>
      </w:r>
      <w:r>
        <w:rPr>
          <w:sz w:val="22"/>
        </w:rPr>
        <w:t>applies</w:t>
      </w:r>
      <w:r>
        <w:rPr>
          <w:spacing w:val="-3"/>
          <w:sz w:val="22"/>
        </w:rPr>
        <w:t> </w:t>
      </w:r>
      <w:r>
        <w:rPr>
          <w:sz w:val="22"/>
        </w:rPr>
        <w:t>to</w:t>
      </w:r>
      <w:r>
        <w:rPr>
          <w:spacing w:val="-4"/>
          <w:sz w:val="22"/>
        </w:rPr>
        <w:t> </w:t>
      </w:r>
      <w:r>
        <w:rPr>
          <w:sz w:val="22"/>
        </w:rPr>
        <w:t>all</w:t>
      </w:r>
      <w:r>
        <w:rPr>
          <w:spacing w:val="-2"/>
          <w:sz w:val="22"/>
        </w:rPr>
        <w:t> </w:t>
      </w:r>
      <w:r>
        <w:rPr>
          <w:sz w:val="22"/>
        </w:rPr>
        <w:t>IQVIA</w:t>
      </w:r>
      <w:r>
        <w:rPr>
          <w:spacing w:val="-1"/>
          <w:sz w:val="22"/>
        </w:rPr>
        <w:t> </w:t>
      </w:r>
      <w:r>
        <w:rPr>
          <w:sz w:val="22"/>
        </w:rPr>
        <w:t>PK/PD</w:t>
      </w:r>
      <w:r>
        <w:rPr>
          <w:spacing w:val="-6"/>
          <w:sz w:val="22"/>
        </w:rPr>
        <w:t> </w:t>
      </w:r>
      <w:r>
        <w:rPr>
          <w:sz w:val="22"/>
        </w:rPr>
        <w:t>staff</w:t>
      </w:r>
      <w:r>
        <w:rPr>
          <w:spacing w:val="-3"/>
          <w:sz w:val="22"/>
        </w:rPr>
        <w:t> </w:t>
      </w:r>
      <w:r>
        <w:rPr>
          <w:sz w:val="22"/>
        </w:rPr>
        <w:t>involved</w:t>
      </w:r>
      <w:r>
        <w:rPr>
          <w:spacing w:val="-3"/>
          <w:sz w:val="22"/>
        </w:rPr>
        <w:t> </w:t>
      </w:r>
      <w:r>
        <w:rPr>
          <w:sz w:val="22"/>
        </w:rPr>
        <w:t>in</w:t>
      </w:r>
      <w:r>
        <w:rPr>
          <w:spacing w:val="-3"/>
          <w:sz w:val="22"/>
        </w:rPr>
        <w:t> </w:t>
      </w:r>
      <w:r>
        <w:rPr>
          <w:sz w:val="22"/>
        </w:rPr>
        <w:t>the PK and PD analysis and reporting</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6"/>
        <w:ind w:left="1260"/>
        <w:jc w:val="both"/>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9"/>
        </w:rPr>
        <w:t> </w:t>
      </w:r>
      <w:r>
        <w:rPr>
          <w:spacing w:val="-5"/>
        </w:rPr>
        <w:t>OP:</w:t>
      </w:r>
    </w:p>
    <w:p>
      <w:pPr>
        <w:pStyle w:val="BodyText"/>
        <w:spacing w:before="2"/>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ind w:left="105"/>
              <w:rPr>
                <w:b/>
                <w:sz w:val="22"/>
              </w:rPr>
            </w:pPr>
            <w:r>
              <w:rPr>
                <w:b/>
                <w:spacing w:val="-4"/>
                <w:sz w:val="22"/>
              </w:rPr>
              <w:t>Role</w:t>
            </w:r>
          </w:p>
        </w:tc>
        <w:tc>
          <w:tcPr>
            <w:tcW w:w="3595" w:type="dxa"/>
            <w:shd w:val="clear" w:color="auto" w:fill="D9D9D9"/>
          </w:tcPr>
          <w:p>
            <w:pPr>
              <w:pStyle w:val="TableParagraph"/>
              <w:ind w:left="105"/>
              <w:rPr>
                <w:b/>
                <w:sz w:val="22"/>
              </w:rPr>
            </w:pPr>
            <w:r>
              <w:rPr>
                <w:b/>
                <w:spacing w:val="-2"/>
                <w:sz w:val="22"/>
              </w:rPr>
              <w:t>Sections</w:t>
            </w:r>
          </w:p>
        </w:tc>
      </w:tr>
      <w:tr>
        <w:trPr>
          <w:trHeight w:val="330" w:hRule="atLeast"/>
        </w:trPr>
        <w:tc>
          <w:tcPr>
            <w:tcW w:w="5213" w:type="dxa"/>
          </w:tcPr>
          <w:p>
            <w:pPr>
              <w:pStyle w:val="TableParagraph"/>
              <w:ind w:left="105"/>
              <w:rPr>
                <w:sz w:val="22"/>
              </w:rPr>
            </w:pPr>
            <w:r>
              <w:rPr>
                <w:sz w:val="22"/>
              </w:rPr>
              <w:t>PK</w:t>
            </w:r>
            <w:r>
              <w:rPr>
                <w:spacing w:val="-5"/>
                <w:sz w:val="22"/>
              </w:rPr>
              <w:t> </w:t>
            </w:r>
            <w:r>
              <w:rPr>
                <w:sz w:val="22"/>
              </w:rPr>
              <w:t>Scientist</w:t>
            </w:r>
            <w:r>
              <w:rPr>
                <w:spacing w:val="-2"/>
                <w:sz w:val="22"/>
              </w:rPr>
              <w:t> (PKS)</w:t>
            </w:r>
          </w:p>
        </w:tc>
        <w:tc>
          <w:tcPr>
            <w:tcW w:w="3595" w:type="dxa"/>
          </w:tcPr>
          <w:p>
            <w:pPr>
              <w:pStyle w:val="TableParagraph"/>
              <w:ind w:left="105"/>
              <w:rPr>
                <w:sz w:val="22"/>
              </w:rPr>
            </w:pPr>
            <w:r>
              <w:rPr>
                <w:sz w:val="22"/>
              </w:rPr>
              <w:t>6.1,</w:t>
            </w:r>
            <w:r>
              <w:rPr>
                <w:spacing w:val="-4"/>
                <w:sz w:val="22"/>
              </w:rPr>
              <w:t> </w:t>
            </w:r>
            <w:r>
              <w:rPr>
                <w:sz w:val="22"/>
              </w:rPr>
              <w:t>6.2,</w:t>
            </w:r>
            <w:r>
              <w:rPr>
                <w:spacing w:val="-4"/>
                <w:sz w:val="22"/>
              </w:rPr>
              <w:t> </w:t>
            </w:r>
            <w:r>
              <w:rPr>
                <w:sz w:val="22"/>
              </w:rPr>
              <w:t>6.3,</w:t>
            </w:r>
            <w:r>
              <w:rPr>
                <w:spacing w:val="-4"/>
                <w:sz w:val="22"/>
              </w:rPr>
              <w:t> </w:t>
            </w:r>
            <w:r>
              <w:rPr>
                <w:spacing w:val="-5"/>
                <w:sz w:val="22"/>
              </w:rPr>
              <w:t>6.4</w:t>
            </w:r>
          </w:p>
        </w:tc>
      </w:tr>
      <w:tr>
        <w:trPr>
          <w:trHeight w:val="335" w:hRule="atLeast"/>
        </w:trPr>
        <w:tc>
          <w:tcPr>
            <w:tcW w:w="5213" w:type="dxa"/>
          </w:tcPr>
          <w:p>
            <w:pPr>
              <w:pStyle w:val="TableParagraph"/>
              <w:ind w:left="105"/>
              <w:rPr>
                <w:sz w:val="22"/>
              </w:rPr>
            </w:pPr>
            <w:r>
              <w:rPr>
                <w:sz w:val="22"/>
              </w:rPr>
              <w:t>PK</w:t>
            </w:r>
            <w:r>
              <w:rPr>
                <w:spacing w:val="-2"/>
                <w:sz w:val="22"/>
              </w:rPr>
              <w:t> </w:t>
            </w:r>
            <w:r>
              <w:rPr>
                <w:sz w:val="22"/>
              </w:rPr>
              <w:t>Reviewer</w:t>
            </w:r>
            <w:r>
              <w:rPr>
                <w:spacing w:val="-3"/>
                <w:sz w:val="22"/>
              </w:rPr>
              <w:t> </w:t>
            </w:r>
            <w:r>
              <w:rPr>
                <w:spacing w:val="-2"/>
                <w:sz w:val="22"/>
              </w:rPr>
              <w:t>(PKR)</w:t>
            </w:r>
          </w:p>
        </w:tc>
        <w:tc>
          <w:tcPr>
            <w:tcW w:w="3595" w:type="dxa"/>
          </w:tcPr>
          <w:p>
            <w:pPr>
              <w:pStyle w:val="TableParagraph"/>
              <w:ind w:left="105"/>
              <w:rPr>
                <w:sz w:val="22"/>
              </w:rPr>
            </w:pPr>
            <w:r>
              <w:rPr>
                <w:sz w:val="22"/>
              </w:rPr>
              <w:t>6.2,</w:t>
            </w:r>
            <w:r>
              <w:rPr>
                <w:spacing w:val="-3"/>
                <w:sz w:val="22"/>
              </w:rPr>
              <w:t> </w:t>
            </w:r>
            <w:r>
              <w:rPr>
                <w:spacing w:val="-5"/>
                <w:sz w:val="22"/>
              </w:rPr>
              <w:t>6.4</w:t>
            </w:r>
          </w:p>
        </w:tc>
      </w:tr>
    </w:tbl>
    <w:p>
      <w:pPr>
        <w:pStyle w:val="BodyText"/>
        <w:spacing w:before="6"/>
        <w:rPr>
          <w:sz w:val="20"/>
        </w:rPr>
      </w:pPr>
    </w:p>
    <w:p>
      <w:pPr>
        <w:pStyle w:val="Heading1"/>
        <w:numPr>
          <w:ilvl w:val="0"/>
          <w:numId w:val="1"/>
        </w:numPr>
        <w:tabs>
          <w:tab w:pos="1259" w:val="left" w:leader="none"/>
          <w:tab w:pos="1260" w:val="left" w:leader="none"/>
        </w:tabs>
        <w:spacing w:line="240" w:lineRule="auto" w:before="1" w:after="0"/>
        <w:ind w:left="1260" w:right="0" w:hanging="720"/>
        <w:jc w:val="left"/>
      </w:pPr>
      <w:bookmarkStart w:name="DEFINITIONS" w:id="4"/>
      <w:bookmarkEnd w:id="4"/>
      <w:r>
        <w:rPr>
          <w:spacing w:val="-2"/>
        </w:rPr>
        <w:t>DEFINITIONS</w:t>
      </w:r>
    </w:p>
    <w:p>
      <w:pPr>
        <w:spacing w:line="244" w:lineRule="auto" w:before="116"/>
        <w:ind w:left="1260" w:right="594" w:firstLine="0"/>
        <w:jc w:val="both"/>
        <w:rPr>
          <w:sz w:val="22"/>
        </w:rPr>
      </w:pPr>
      <w:r>
        <w:rPr>
          <w:b/>
          <w:sz w:val="22"/>
        </w:rPr>
        <w:t>preWinNonlin</w:t>
      </w:r>
      <w:r>
        <w:rPr>
          <w:b/>
          <w:spacing w:val="-6"/>
          <w:sz w:val="22"/>
        </w:rPr>
        <w:t> </w:t>
      </w:r>
      <w:r>
        <w:rPr>
          <w:b/>
          <w:sz w:val="22"/>
        </w:rPr>
        <w:t>dataset</w:t>
      </w:r>
      <w:r>
        <w:rPr>
          <w:b/>
          <w:spacing w:val="-6"/>
          <w:sz w:val="22"/>
        </w:rPr>
        <w:t> </w:t>
      </w:r>
      <w:r>
        <w:rPr>
          <w:b/>
          <w:sz w:val="22"/>
        </w:rPr>
        <w:t>(WinNonlin®</w:t>
      </w:r>
      <w:r>
        <w:rPr>
          <w:b/>
          <w:spacing w:val="-5"/>
          <w:sz w:val="22"/>
        </w:rPr>
        <w:t> </w:t>
      </w:r>
      <w:r>
        <w:rPr>
          <w:b/>
          <w:sz w:val="22"/>
        </w:rPr>
        <w:t>Analysis</w:t>
      </w:r>
      <w:r>
        <w:rPr>
          <w:b/>
          <w:spacing w:val="-6"/>
          <w:sz w:val="22"/>
        </w:rPr>
        <w:t> </w:t>
      </w:r>
      <w:r>
        <w:rPr>
          <w:b/>
          <w:sz w:val="22"/>
        </w:rPr>
        <w:t>Data</w:t>
      </w:r>
      <w:r>
        <w:rPr>
          <w:b/>
          <w:spacing w:val="-6"/>
          <w:sz w:val="22"/>
        </w:rPr>
        <w:t> </w:t>
      </w:r>
      <w:r>
        <w:rPr>
          <w:b/>
          <w:sz w:val="22"/>
        </w:rPr>
        <w:t>File):</w:t>
      </w:r>
      <w:r>
        <w:rPr>
          <w:b/>
          <w:spacing w:val="-1"/>
          <w:sz w:val="22"/>
        </w:rPr>
        <w:t> </w:t>
      </w:r>
      <w:r>
        <w:rPr>
          <w:sz w:val="22"/>
        </w:rPr>
        <w:t>The</w:t>
      </w:r>
      <w:r>
        <w:rPr>
          <w:spacing w:val="-6"/>
          <w:sz w:val="22"/>
        </w:rPr>
        <w:t> </w:t>
      </w:r>
      <w:r>
        <w:rPr>
          <w:sz w:val="22"/>
        </w:rPr>
        <w:t>integrated</w:t>
      </w:r>
      <w:r>
        <w:rPr>
          <w:spacing w:val="-6"/>
          <w:sz w:val="22"/>
        </w:rPr>
        <w:t> </w:t>
      </w:r>
      <w:r>
        <w:rPr>
          <w:sz w:val="22"/>
        </w:rPr>
        <w:t>programmed analysis</w:t>
      </w:r>
      <w:r>
        <w:rPr>
          <w:spacing w:val="-1"/>
          <w:sz w:val="22"/>
        </w:rPr>
        <w:t> </w:t>
      </w:r>
      <w:r>
        <w:rPr>
          <w:sz w:val="22"/>
        </w:rPr>
        <w:t>dataset</w:t>
      </w:r>
      <w:r>
        <w:rPr>
          <w:spacing w:val="-1"/>
          <w:sz w:val="22"/>
        </w:rPr>
        <w:t> </w:t>
      </w:r>
      <w:r>
        <w:rPr>
          <w:sz w:val="22"/>
        </w:rPr>
        <w:t>received</w:t>
      </w:r>
      <w:r>
        <w:rPr>
          <w:spacing w:val="-1"/>
          <w:sz w:val="22"/>
        </w:rPr>
        <w:t> </w:t>
      </w:r>
      <w:r>
        <w:rPr>
          <w:sz w:val="22"/>
        </w:rPr>
        <w:t>from</w:t>
      </w:r>
      <w:r>
        <w:rPr>
          <w:spacing w:val="-1"/>
          <w:sz w:val="22"/>
        </w:rPr>
        <w:t> </w:t>
      </w:r>
      <w:r>
        <w:rPr>
          <w:sz w:val="22"/>
        </w:rPr>
        <w:t>internal</w:t>
      </w:r>
      <w:r>
        <w:rPr>
          <w:spacing w:val="-1"/>
          <w:sz w:val="22"/>
        </w:rPr>
        <w:t> </w:t>
      </w:r>
      <w:r>
        <w:rPr>
          <w:sz w:val="22"/>
        </w:rPr>
        <w:t>or</w:t>
      </w:r>
      <w:r>
        <w:rPr>
          <w:spacing w:val="-1"/>
          <w:sz w:val="22"/>
        </w:rPr>
        <w:t> </w:t>
      </w:r>
      <w:r>
        <w:rPr>
          <w:sz w:val="22"/>
        </w:rPr>
        <w:t>external</w:t>
      </w:r>
      <w:r>
        <w:rPr>
          <w:spacing w:val="-1"/>
          <w:sz w:val="22"/>
        </w:rPr>
        <w:t> </w:t>
      </w:r>
      <w:r>
        <w:rPr>
          <w:sz w:val="22"/>
        </w:rPr>
        <w:t>sources</w:t>
      </w:r>
      <w:r>
        <w:rPr>
          <w:spacing w:val="-1"/>
          <w:sz w:val="22"/>
        </w:rPr>
        <w:t> </w:t>
      </w:r>
      <w:r>
        <w:rPr>
          <w:sz w:val="22"/>
        </w:rPr>
        <w:t>which</w:t>
      </w:r>
      <w:r>
        <w:rPr>
          <w:spacing w:val="-1"/>
          <w:sz w:val="22"/>
        </w:rPr>
        <w:t> </w:t>
      </w:r>
      <w:r>
        <w:rPr>
          <w:sz w:val="22"/>
        </w:rPr>
        <w:t>is</w:t>
      </w:r>
      <w:r>
        <w:rPr>
          <w:spacing w:val="-1"/>
          <w:sz w:val="22"/>
        </w:rPr>
        <w:t> </w:t>
      </w:r>
      <w:r>
        <w:rPr>
          <w:sz w:val="22"/>
        </w:rPr>
        <w:t>used</w:t>
      </w:r>
      <w:r>
        <w:rPr>
          <w:spacing w:val="-1"/>
          <w:sz w:val="22"/>
        </w:rPr>
        <w:t> </w:t>
      </w:r>
      <w:r>
        <w:rPr>
          <w:sz w:val="22"/>
        </w:rPr>
        <w:t>for</w:t>
      </w:r>
      <w:r>
        <w:rPr>
          <w:spacing w:val="-1"/>
          <w:sz w:val="22"/>
        </w:rPr>
        <w:t> </w:t>
      </w:r>
      <w:r>
        <w:rPr>
          <w:sz w:val="22"/>
        </w:rPr>
        <w:t>calculation of PK or PD parameters or modeling.</w:t>
      </w:r>
    </w:p>
    <w:p>
      <w:pPr>
        <w:spacing w:line="244" w:lineRule="auto" w:before="104"/>
        <w:ind w:left="1260" w:right="490" w:firstLine="0"/>
        <w:jc w:val="left"/>
        <w:rPr>
          <w:sz w:val="22"/>
        </w:rPr>
      </w:pPr>
      <w:r>
        <w:rPr>
          <w:b/>
          <w:sz w:val="22"/>
        </w:rPr>
        <w:t>postWinNonlin dataset (Post WinNonlin Analysis Data File): </w:t>
      </w:r>
      <w:r>
        <w:rPr>
          <w:sz w:val="22"/>
        </w:rPr>
        <w:t>The annotated (with flags</w:t>
      </w:r>
      <w:r>
        <w:rPr>
          <w:spacing w:val="-3"/>
          <w:sz w:val="22"/>
        </w:rPr>
        <w:t> </w:t>
      </w:r>
      <w:r>
        <w:rPr>
          <w:sz w:val="22"/>
        </w:rPr>
        <w:t>and</w:t>
      </w:r>
      <w:r>
        <w:rPr>
          <w:spacing w:val="-3"/>
          <w:sz w:val="22"/>
        </w:rPr>
        <w:t> </w:t>
      </w:r>
      <w:r>
        <w:rPr>
          <w:sz w:val="22"/>
        </w:rPr>
        <w:t>comments)</w:t>
      </w:r>
      <w:r>
        <w:rPr>
          <w:spacing w:val="-3"/>
          <w:sz w:val="22"/>
        </w:rPr>
        <w:t> </w:t>
      </w:r>
      <w:r>
        <w:rPr>
          <w:sz w:val="22"/>
        </w:rPr>
        <w:t>PK</w:t>
      </w:r>
      <w:r>
        <w:rPr>
          <w:spacing w:val="-3"/>
          <w:sz w:val="22"/>
        </w:rPr>
        <w:t> </w:t>
      </w:r>
      <w:r>
        <w:rPr>
          <w:sz w:val="22"/>
        </w:rPr>
        <w:t>concentration</w:t>
      </w:r>
      <w:r>
        <w:rPr>
          <w:spacing w:val="-3"/>
          <w:sz w:val="22"/>
        </w:rPr>
        <w:t> </w:t>
      </w:r>
      <w:r>
        <w:rPr>
          <w:sz w:val="22"/>
        </w:rPr>
        <w:t>or</w:t>
      </w:r>
      <w:r>
        <w:rPr>
          <w:spacing w:val="-3"/>
          <w:sz w:val="22"/>
        </w:rPr>
        <w:t> </w:t>
      </w:r>
      <w:r>
        <w:rPr>
          <w:sz w:val="22"/>
        </w:rPr>
        <w:t>PD</w:t>
      </w:r>
      <w:r>
        <w:rPr>
          <w:spacing w:val="-3"/>
          <w:sz w:val="22"/>
        </w:rPr>
        <w:t> </w:t>
      </w:r>
      <w:r>
        <w:rPr>
          <w:sz w:val="22"/>
        </w:rPr>
        <w:t>variable</w:t>
      </w:r>
      <w:r>
        <w:rPr>
          <w:spacing w:val="-3"/>
          <w:sz w:val="22"/>
        </w:rPr>
        <w:t> </w:t>
      </w:r>
      <w:r>
        <w:rPr>
          <w:sz w:val="22"/>
        </w:rPr>
        <w:t>analysis</w:t>
      </w:r>
      <w:r>
        <w:rPr>
          <w:spacing w:val="-3"/>
          <w:sz w:val="22"/>
        </w:rPr>
        <w:t> </w:t>
      </w:r>
      <w:r>
        <w:rPr>
          <w:sz w:val="22"/>
        </w:rPr>
        <w:t>dataset</w:t>
      </w:r>
      <w:r>
        <w:rPr>
          <w:spacing w:val="-3"/>
          <w:sz w:val="22"/>
        </w:rPr>
        <w:t> </w:t>
      </w:r>
      <w:r>
        <w:rPr>
          <w:sz w:val="22"/>
        </w:rPr>
        <w:t>after</w:t>
      </w:r>
      <w:r>
        <w:rPr>
          <w:spacing w:val="-3"/>
          <w:sz w:val="22"/>
        </w:rPr>
        <w:t> </w:t>
      </w:r>
      <w:r>
        <w:rPr>
          <w:sz w:val="22"/>
        </w:rPr>
        <w:t>completion of the WinNonlin analysis.</w:t>
      </w:r>
    </w:p>
    <w:p>
      <w:pPr>
        <w:spacing w:before="110"/>
        <w:ind w:left="1260" w:right="626" w:firstLine="0"/>
        <w:jc w:val="both"/>
        <w:rPr>
          <w:sz w:val="22"/>
        </w:rPr>
      </w:pPr>
      <w:r>
        <w:rPr>
          <w:b/>
          <w:sz w:val="22"/>
        </w:rPr>
        <w:t>postWinNonlin</w:t>
      </w:r>
      <w:r>
        <w:rPr>
          <w:b/>
          <w:spacing w:val="-3"/>
          <w:sz w:val="22"/>
        </w:rPr>
        <w:t> </w:t>
      </w:r>
      <w:r>
        <w:rPr>
          <w:b/>
          <w:sz w:val="22"/>
        </w:rPr>
        <w:t>parameter</w:t>
      </w:r>
      <w:r>
        <w:rPr>
          <w:b/>
          <w:spacing w:val="-3"/>
          <w:sz w:val="22"/>
        </w:rPr>
        <w:t> </w:t>
      </w:r>
      <w:r>
        <w:rPr>
          <w:b/>
          <w:sz w:val="22"/>
        </w:rPr>
        <w:t>dataset</w:t>
      </w:r>
      <w:r>
        <w:rPr>
          <w:b/>
          <w:spacing w:val="-5"/>
          <w:sz w:val="22"/>
        </w:rPr>
        <w:t> </w:t>
      </w:r>
      <w:r>
        <w:rPr>
          <w:b/>
          <w:sz w:val="22"/>
        </w:rPr>
        <w:t>(Post</w:t>
      </w:r>
      <w:r>
        <w:rPr>
          <w:b/>
          <w:spacing w:val="-3"/>
          <w:sz w:val="22"/>
        </w:rPr>
        <w:t> </w:t>
      </w:r>
      <w:r>
        <w:rPr>
          <w:b/>
          <w:sz w:val="22"/>
        </w:rPr>
        <w:t>WinNonlin</w:t>
      </w:r>
      <w:r>
        <w:rPr>
          <w:b/>
          <w:spacing w:val="-3"/>
          <w:sz w:val="22"/>
        </w:rPr>
        <w:t> </w:t>
      </w:r>
      <w:r>
        <w:rPr>
          <w:b/>
          <w:sz w:val="22"/>
        </w:rPr>
        <w:t>Parameter</w:t>
      </w:r>
      <w:r>
        <w:rPr>
          <w:b/>
          <w:spacing w:val="-3"/>
          <w:sz w:val="22"/>
        </w:rPr>
        <w:t> </w:t>
      </w:r>
      <w:r>
        <w:rPr>
          <w:b/>
          <w:sz w:val="22"/>
        </w:rPr>
        <w:t>File): </w:t>
      </w:r>
      <w:r>
        <w:rPr>
          <w:sz w:val="22"/>
        </w:rPr>
        <w:t>The</w:t>
      </w:r>
      <w:r>
        <w:rPr>
          <w:spacing w:val="-3"/>
          <w:sz w:val="22"/>
        </w:rPr>
        <w:t> </w:t>
      </w:r>
      <w:r>
        <w:rPr>
          <w:sz w:val="22"/>
        </w:rPr>
        <w:t>annotated (with</w:t>
      </w:r>
      <w:r>
        <w:rPr>
          <w:spacing w:val="-3"/>
          <w:sz w:val="22"/>
        </w:rPr>
        <w:t> </w:t>
      </w:r>
      <w:r>
        <w:rPr>
          <w:sz w:val="22"/>
        </w:rPr>
        <w:t>flags</w:t>
      </w:r>
      <w:r>
        <w:rPr>
          <w:spacing w:val="-3"/>
          <w:sz w:val="22"/>
        </w:rPr>
        <w:t> </w:t>
      </w:r>
      <w:r>
        <w:rPr>
          <w:sz w:val="22"/>
        </w:rPr>
        <w:t>and</w:t>
      </w:r>
      <w:r>
        <w:rPr>
          <w:spacing w:val="-3"/>
          <w:sz w:val="22"/>
        </w:rPr>
        <w:t> </w:t>
      </w:r>
      <w:r>
        <w:rPr>
          <w:sz w:val="22"/>
        </w:rPr>
        <w:t>comments)</w:t>
      </w:r>
      <w:r>
        <w:rPr>
          <w:spacing w:val="-3"/>
          <w:sz w:val="22"/>
        </w:rPr>
        <w:t> </w:t>
      </w:r>
      <w:r>
        <w:rPr>
          <w:sz w:val="22"/>
        </w:rPr>
        <w:t>dataset</w:t>
      </w:r>
      <w:r>
        <w:rPr>
          <w:spacing w:val="-3"/>
          <w:sz w:val="22"/>
        </w:rPr>
        <w:t> </w:t>
      </w:r>
      <w:r>
        <w:rPr>
          <w:sz w:val="22"/>
        </w:rPr>
        <w:t>containing</w:t>
      </w:r>
      <w:r>
        <w:rPr>
          <w:spacing w:val="-3"/>
          <w:sz w:val="22"/>
        </w:rPr>
        <w:t> </w:t>
      </w:r>
      <w:r>
        <w:rPr>
          <w:sz w:val="22"/>
        </w:rPr>
        <w:t>the</w:t>
      </w:r>
      <w:r>
        <w:rPr>
          <w:spacing w:val="-3"/>
          <w:sz w:val="22"/>
        </w:rPr>
        <w:t> </w:t>
      </w:r>
      <w:r>
        <w:rPr>
          <w:sz w:val="22"/>
        </w:rPr>
        <w:t>calculated</w:t>
      </w:r>
      <w:r>
        <w:rPr>
          <w:spacing w:val="-3"/>
          <w:sz w:val="22"/>
        </w:rPr>
        <w:t> </w:t>
      </w:r>
      <w:r>
        <w:rPr>
          <w:sz w:val="22"/>
        </w:rPr>
        <w:t>PK</w:t>
      </w:r>
      <w:r>
        <w:rPr>
          <w:spacing w:val="-3"/>
          <w:sz w:val="22"/>
        </w:rPr>
        <w:t> </w:t>
      </w:r>
      <w:r>
        <w:rPr>
          <w:sz w:val="22"/>
        </w:rPr>
        <w:t>or</w:t>
      </w:r>
      <w:r>
        <w:rPr>
          <w:spacing w:val="-3"/>
          <w:sz w:val="22"/>
        </w:rPr>
        <w:t> </w:t>
      </w:r>
      <w:r>
        <w:rPr>
          <w:sz w:val="22"/>
        </w:rPr>
        <w:t>PD</w:t>
      </w:r>
      <w:r>
        <w:rPr>
          <w:spacing w:val="-3"/>
          <w:sz w:val="22"/>
        </w:rPr>
        <w:t> </w:t>
      </w:r>
      <w:r>
        <w:rPr>
          <w:sz w:val="22"/>
        </w:rPr>
        <w:t>parameters</w:t>
      </w:r>
      <w:r>
        <w:rPr>
          <w:spacing w:val="-3"/>
          <w:sz w:val="22"/>
        </w:rPr>
        <w:t> </w:t>
      </w:r>
      <w:r>
        <w:rPr>
          <w:sz w:val="22"/>
        </w:rPr>
        <w:t>after completion of the WinNonlin analysis.</w:t>
      </w:r>
    </w:p>
    <w:p>
      <w:pPr>
        <w:pStyle w:val="BodyText"/>
        <w:spacing w:before="119"/>
        <w:ind w:left="1260" w:right="490"/>
      </w:pPr>
      <w:r>
        <w:rPr>
          <w:b/>
        </w:rPr>
        <w:t>Study-specific instruction: </w:t>
      </w:r>
      <w:r>
        <w:rPr/>
        <w:t>For purposes of this operating procedure, study-specific instructions refers to any pertinent Sponsor instruction such as the statistical analysis plan (SAP) or equivalent data analysis plan, Safety Review Committee or Safety Monitoring Board Charter (or equivalent documentation, as appropriate), protocol (if no SAP</w:t>
      </w:r>
      <w:r>
        <w:rPr>
          <w:spacing w:val="-4"/>
        </w:rPr>
        <w:t> </w:t>
      </w:r>
      <w:r>
        <w:rPr/>
        <w:t>or</w:t>
      </w:r>
      <w:r>
        <w:rPr>
          <w:spacing w:val="-4"/>
        </w:rPr>
        <w:t> </w:t>
      </w:r>
      <w:r>
        <w:rPr/>
        <w:t>other</w:t>
      </w:r>
      <w:r>
        <w:rPr>
          <w:spacing w:val="-4"/>
        </w:rPr>
        <w:t> </w:t>
      </w:r>
      <w:r>
        <w:rPr/>
        <w:t>superseding</w:t>
      </w:r>
      <w:r>
        <w:rPr>
          <w:spacing w:val="-4"/>
        </w:rPr>
        <w:t> </w:t>
      </w:r>
      <w:r>
        <w:rPr/>
        <w:t>direction</w:t>
      </w:r>
      <w:r>
        <w:rPr>
          <w:spacing w:val="-4"/>
        </w:rPr>
        <w:t> </w:t>
      </w:r>
      <w:r>
        <w:rPr/>
        <w:t>is</w:t>
      </w:r>
      <w:r>
        <w:rPr>
          <w:spacing w:val="-4"/>
        </w:rPr>
        <w:t> </w:t>
      </w:r>
      <w:r>
        <w:rPr/>
        <w:t>available),</w:t>
      </w:r>
      <w:r>
        <w:rPr>
          <w:spacing w:val="-7"/>
        </w:rPr>
        <w:t> </w:t>
      </w:r>
      <w:r>
        <w:rPr/>
        <w:t>or</w:t>
      </w:r>
      <w:r>
        <w:rPr>
          <w:spacing w:val="-4"/>
        </w:rPr>
        <w:t> </w:t>
      </w:r>
      <w:r>
        <w:rPr/>
        <w:t>other</w:t>
      </w:r>
      <w:r>
        <w:rPr>
          <w:spacing w:val="-4"/>
        </w:rPr>
        <w:t> </w:t>
      </w:r>
      <w:r>
        <w:rPr/>
        <w:t>instructions</w:t>
      </w:r>
      <w:r>
        <w:rPr>
          <w:spacing w:val="-4"/>
        </w:rPr>
        <w:t> </w:t>
      </w:r>
      <w:r>
        <w:rPr/>
        <w:t>provided</w:t>
      </w:r>
      <w:r>
        <w:rPr>
          <w:spacing w:val="-1"/>
        </w:rPr>
        <w:t> </w:t>
      </w:r>
      <w:r>
        <w:rPr/>
        <w:t>in</w:t>
      </w:r>
      <w:r>
        <w:rPr>
          <w:spacing w:val="-2"/>
        </w:rPr>
        <w:t> </w:t>
      </w:r>
      <w:r>
        <w:rPr/>
        <w:t>writing by the Sponsor.</w:t>
      </w:r>
    </w:p>
    <w:p>
      <w:pPr>
        <w:pStyle w:val="BodyText"/>
        <w:spacing w:before="9"/>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126"/>
        <w:ind w:left="1260"/>
        <w:jc w:val="both"/>
      </w:pPr>
      <w:r>
        <w:rPr/>
        <w:t>Not</w:t>
      </w:r>
      <w:r>
        <w:rPr>
          <w:spacing w:val="-3"/>
        </w:rPr>
        <w:t> </w:t>
      </w:r>
      <w:r>
        <w:rPr>
          <w:spacing w:val="-2"/>
        </w:rPr>
        <w:t>Applicable</w:t>
      </w:r>
    </w:p>
    <w:p>
      <w:pPr>
        <w:spacing w:after="0"/>
        <w:jc w:val="both"/>
        <w:sectPr>
          <w:footerReference w:type="default" r:id="rId5"/>
          <w:type w:val="continuous"/>
          <w:pgSz w:w="12240" w:h="15840"/>
          <w:pgMar w:footer="957" w:header="0" w:top="700" w:bottom="1140" w:left="900" w:right="960"/>
          <w:pgNumType w:start="1"/>
        </w:sectPr>
      </w:pPr>
    </w:p>
    <w:p>
      <w:pPr>
        <w:pStyle w:val="BodyText"/>
        <w:spacing w:before="6"/>
        <w:rPr>
          <w:sz w:val="13"/>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ROCEDURE" w:id="6"/>
      <w:bookmarkEnd w:id="6"/>
      <w:r>
        <w:rPr>
          <w:spacing w:val="-2"/>
        </w:rPr>
        <w:t>PROCEDURE</w:t>
      </w:r>
    </w:p>
    <w:p>
      <w:pPr>
        <w:pStyle w:val="BodyText"/>
        <w:spacing w:before="126"/>
        <w:ind w:left="1260" w:right="490"/>
      </w:pPr>
      <w:r>
        <w:rPr/>
        <w:t>This</w:t>
      </w:r>
      <w:r>
        <w:rPr>
          <w:spacing w:val="-4"/>
        </w:rPr>
        <w:t> </w:t>
      </w:r>
      <w:r>
        <w:rPr/>
        <w:t>document</w:t>
      </w:r>
      <w:r>
        <w:rPr>
          <w:spacing w:val="-4"/>
        </w:rPr>
        <w:t> </w:t>
      </w:r>
      <w:r>
        <w:rPr/>
        <w:t>outlines</w:t>
      </w:r>
      <w:r>
        <w:rPr>
          <w:spacing w:val="-4"/>
        </w:rPr>
        <w:t> </w:t>
      </w:r>
      <w:r>
        <w:rPr/>
        <w:t>the</w:t>
      </w:r>
      <w:r>
        <w:rPr>
          <w:spacing w:val="-4"/>
        </w:rPr>
        <w:t> </w:t>
      </w:r>
      <w:r>
        <w:rPr/>
        <w:t>process</w:t>
      </w:r>
      <w:r>
        <w:rPr>
          <w:spacing w:val="-4"/>
        </w:rPr>
        <w:t> </w:t>
      </w:r>
      <w:r>
        <w:rPr/>
        <w:t>for</w:t>
      </w:r>
      <w:r>
        <w:rPr>
          <w:spacing w:val="-4"/>
        </w:rPr>
        <w:t> </w:t>
      </w:r>
      <w:r>
        <w:rPr/>
        <w:t>generating</w:t>
      </w:r>
      <w:r>
        <w:rPr>
          <w:spacing w:val="-4"/>
        </w:rPr>
        <w:t> </w:t>
      </w:r>
      <w:r>
        <w:rPr/>
        <w:t>and</w:t>
      </w:r>
      <w:r>
        <w:rPr>
          <w:spacing w:val="-4"/>
        </w:rPr>
        <w:t> </w:t>
      </w:r>
      <w:r>
        <w:rPr/>
        <w:t>reporting</w:t>
      </w:r>
      <w:r>
        <w:rPr>
          <w:spacing w:val="-4"/>
        </w:rPr>
        <w:t> </w:t>
      </w:r>
      <w:r>
        <w:rPr/>
        <w:t>of</w:t>
      </w:r>
      <w:r>
        <w:rPr>
          <w:spacing w:val="-4"/>
        </w:rPr>
        <w:t> </w:t>
      </w:r>
      <w:r>
        <w:rPr/>
        <w:t>PK</w:t>
      </w:r>
      <w:r>
        <w:rPr>
          <w:spacing w:val="-4"/>
        </w:rPr>
        <w:t> </w:t>
      </w:r>
      <w:r>
        <w:rPr/>
        <w:t>and</w:t>
      </w:r>
      <w:r>
        <w:rPr>
          <w:spacing w:val="-4"/>
        </w:rPr>
        <w:t> </w:t>
      </w:r>
      <w:r>
        <w:rPr/>
        <w:t>PD </w:t>
      </w:r>
      <w:bookmarkStart w:name="PreWinNonlin Dataset" w:id="7"/>
      <w:bookmarkEnd w:id="7"/>
      <w:r>
        <w:rPr>
          <w:spacing w:val="-2"/>
        </w:rPr>
        <w:t>parameters.</w:t>
      </w:r>
    </w:p>
    <w:p>
      <w:pPr>
        <w:pStyle w:val="BodyText"/>
        <w:spacing w:before="8"/>
        <w:rPr>
          <w:sz w:val="20"/>
        </w:rPr>
      </w:pPr>
    </w:p>
    <w:p>
      <w:pPr>
        <w:pStyle w:val="Heading2"/>
        <w:numPr>
          <w:ilvl w:val="1"/>
          <w:numId w:val="1"/>
        </w:numPr>
        <w:tabs>
          <w:tab w:pos="1979" w:val="left" w:leader="none"/>
          <w:tab w:pos="1980" w:val="left" w:leader="none"/>
        </w:tabs>
        <w:spacing w:line="240" w:lineRule="auto" w:before="0" w:after="0"/>
        <w:ind w:left="1980" w:right="0" w:hanging="720"/>
        <w:jc w:val="left"/>
      </w:pPr>
      <w:r>
        <w:rPr/>
        <w:t>PreWinNonlin</w:t>
      </w:r>
      <w:r>
        <w:rPr>
          <w:spacing w:val="-12"/>
        </w:rPr>
        <w:t> </w:t>
      </w:r>
      <w:r>
        <w:rPr>
          <w:spacing w:val="-2"/>
        </w:rPr>
        <w:t>Dataset</w:t>
      </w:r>
    </w:p>
    <w:p>
      <w:pPr>
        <w:pStyle w:val="BodyText"/>
        <w:spacing w:before="122"/>
        <w:ind w:left="1979" w:right="490"/>
      </w:pPr>
      <w:r>
        <w:rPr/>
        <w:t>The</w:t>
      </w:r>
      <w:r>
        <w:rPr>
          <w:spacing w:val="-3"/>
        </w:rPr>
        <w:t> </w:t>
      </w:r>
      <w:r>
        <w:rPr/>
        <w:t>IQVIA</w:t>
      </w:r>
      <w:r>
        <w:rPr>
          <w:spacing w:val="-3"/>
        </w:rPr>
        <w:t> </w:t>
      </w:r>
      <w:r>
        <w:rPr/>
        <w:t>PK/PD</w:t>
      </w:r>
      <w:r>
        <w:rPr>
          <w:spacing w:val="-3"/>
        </w:rPr>
        <w:t> </w:t>
      </w:r>
      <w:r>
        <w:rPr/>
        <w:t>department</w:t>
      </w:r>
      <w:r>
        <w:rPr>
          <w:spacing w:val="-3"/>
        </w:rPr>
        <w:t> </w:t>
      </w:r>
      <w:r>
        <w:rPr/>
        <w:t>utilizes</w:t>
      </w:r>
      <w:r>
        <w:rPr>
          <w:spacing w:val="-3"/>
        </w:rPr>
        <w:t> </w:t>
      </w:r>
      <w:r>
        <w:rPr/>
        <w:t>an</w:t>
      </w:r>
      <w:r>
        <w:rPr>
          <w:spacing w:val="-3"/>
        </w:rPr>
        <w:t> </w:t>
      </w:r>
      <w:r>
        <w:rPr/>
        <w:t>integrated</w:t>
      </w:r>
      <w:r>
        <w:rPr>
          <w:spacing w:val="-3"/>
        </w:rPr>
        <w:t> </w:t>
      </w:r>
      <w:r>
        <w:rPr/>
        <w:t>analysis</w:t>
      </w:r>
      <w:r>
        <w:rPr>
          <w:spacing w:val="-3"/>
        </w:rPr>
        <w:t> </w:t>
      </w:r>
      <w:r>
        <w:rPr/>
        <w:t>dataset</w:t>
      </w:r>
      <w:r>
        <w:rPr>
          <w:spacing w:val="-1"/>
        </w:rPr>
        <w:t> </w:t>
      </w:r>
      <w:r>
        <w:rPr/>
        <w:t>(referred</w:t>
      </w:r>
      <w:r>
        <w:rPr>
          <w:spacing w:val="-3"/>
        </w:rPr>
        <w:t> </w:t>
      </w:r>
      <w:r>
        <w:rPr/>
        <w:t>to as a preWinNonlin dataset) for PK or PD parameter calculations which contains data merged from various sources.</w:t>
      </w:r>
      <w:r>
        <w:rPr>
          <w:spacing w:val="40"/>
        </w:rPr>
        <w:t> </w:t>
      </w:r>
      <w:r>
        <w:rPr/>
        <w:t>The preWinNonlin dataset is generally received</w:t>
      </w:r>
      <w:r>
        <w:rPr>
          <w:spacing w:val="-4"/>
        </w:rPr>
        <w:t> </w:t>
      </w:r>
      <w:r>
        <w:rPr/>
        <w:t>from</w:t>
      </w:r>
      <w:r>
        <w:rPr>
          <w:spacing w:val="-5"/>
        </w:rPr>
        <w:t> </w:t>
      </w:r>
      <w:r>
        <w:rPr/>
        <w:t>IQVIA</w:t>
      </w:r>
      <w:r>
        <w:rPr>
          <w:spacing w:val="-2"/>
        </w:rPr>
        <w:t> </w:t>
      </w:r>
      <w:r>
        <w:rPr/>
        <w:t>Biostatistics</w:t>
      </w:r>
      <w:r>
        <w:rPr>
          <w:spacing w:val="-5"/>
        </w:rPr>
        <w:t> </w:t>
      </w:r>
      <w:r>
        <w:rPr/>
        <w:t>in</w:t>
      </w:r>
      <w:r>
        <w:rPr>
          <w:spacing w:val="-5"/>
        </w:rPr>
        <w:t> </w:t>
      </w:r>
      <w:r>
        <w:rPr/>
        <w:t>accordance</w:t>
      </w:r>
      <w:r>
        <w:rPr>
          <w:spacing w:val="-5"/>
        </w:rPr>
        <w:t> </w:t>
      </w:r>
      <w:r>
        <w:rPr/>
        <w:t>with</w:t>
      </w:r>
      <w:r>
        <w:rPr>
          <w:spacing w:val="-5"/>
        </w:rPr>
        <w:t> </w:t>
      </w:r>
      <w:r>
        <w:rPr/>
        <w:t>Biostatistics</w:t>
      </w:r>
      <w:r>
        <w:rPr>
          <w:spacing w:val="-5"/>
        </w:rPr>
        <w:t> </w:t>
      </w:r>
      <w:r>
        <w:rPr/>
        <w:t>processes</w:t>
      </w:r>
      <w:r>
        <w:rPr>
          <w:spacing w:val="-5"/>
        </w:rPr>
        <w:t> </w:t>
      </w:r>
      <w:r>
        <w:rPr/>
        <w:t>and Standard Operating Procedures (SOPs).</w:t>
      </w:r>
      <w:r>
        <w:rPr>
          <w:spacing w:val="40"/>
        </w:rPr>
        <w:t> </w:t>
      </w:r>
      <w:r>
        <w:rPr/>
        <w:t>The analysis dataset may also be provided by the Sponsor or a contracted external provider.</w:t>
      </w:r>
      <w:r>
        <w:rPr>
          <w:spacing w:val="40"/>
        </w:rPr>
        <w:t> </w:t>
      </w:r>
      <w:r>
        <w:rPr/>
        <w:t>The following steps apply to creation of the preWinNonlin dataset:</w:t>
      </w:r>
    </w:p>
    <w:p>
      <w:pPr>
        <w:pStyle w:val="BodyText"/>
        <w:spacing w:before="9" w:after="1"/>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502" w:hRule="atLeast"/>
        </w:trPr>
        <w:tc>
          <w:tcPr>
            <w:tcW w:w="797" w:type="dxa"/>
          </w:tcPr>
          <w:p>
            <w:pPr>
              <w:pStyle w:val="TableParagraph"/>
              <w:spacing w:before="42"/>
              <w:ind w:left="172"/>
              <w:rPr>
                <w:b/>
                <w:sz w:val="20"/>
              </w:rPr>
            </w:pPr>
            <w:r>
              <w:rPr>
                <w:b/>
                <w:spacing w:val="-2"/>
                <w:sz w:val="20"/>
              </w:rPr>
              <w:t>6.1.1</w:t>
            </w:r>
          </w:p>
        </w:tc>
        <w:tc>
          <w:tcPr>
            <w:tcW w:w="1162" w:type="dxa"/>
            <w:tcBorders>
              <w:bottom w:val="nil"/>
            </w:tcBorders>
          </w:tcPr>
          <w:p>
            <w:pPr>
              <w:pStyle w:val="TableParagraph"/>
              <w:spacing w:before="42"/>
              <w:ind w:left="110"/>
              <w:rPr>
                <w:sz w:val="20"/>
              </w:rPr>
            </w:pPr>
            <w:r>
              <w:rPr>
                <w:spacing w:val="-5"/>
                <w:sz w:val="20"/>
              </w:rPr>
              <w:t>PKS</w:t>
            </w:r>
          </w:p>
        </w:tc>
        <w:tc>
          <w:tcPr>
            <w:tcW w:w="6264" w:type="dxa"/>
          </w:tcPr>
          <w:p>
            <w:pPr>
              <w:pStyle w:val="TableParagraph"/>
              <w:spacing w:before="0"/>
              <w:ind w:right="184"/>
              <w:rPr>
                <w:sz w:val="20"/>
              </w:rPr>
            </w:pPr>
            <w:r>
              <w:rPr>
                <w:sz w:val="20"/>
              </w:rPr>
              <w:t>Provides the list of variables to include in the integrated preWinNonlin</w:t>
            </w:r>
            <w:r>
              <w:rPr>
                <w:spacing w:val="-7"/>
                <w:sz w:val="20"/>
              </w:rPr>
              <w:t> </w:t>
            </w:r>
            <w:r>
              <w:rPr>
                <w:sz w:val="20"/>
              </w:rPr>
              <w:t>dataset</w:t>
            </w:r>
            <w:r>
              <w:rPr>
                <w:spacing w:val="-6"/>
                <w:sz w:val="20"/>
              </w:rPr>
              <w:t> </w:t>
            </w:r>
            <w:r>
              <w:rPr>
                <w:sz w:val="20"/>
              </w:rPr>
              <w:t>to</w:t>
            </w:r>
            <w:r>
              <w:rPr>
                <w:spacing w:val="-6"/>
                <w:sz w:val="20"/>
              </w:rPr>
              <w:t> </w:t>
            </w:r>
            <w:r>
              <w:rPr>
                <w:sz w:val="20"/>
              </w:rPr>
              <w:t>the</w:t>
            </w:r>
            <w:r>
              <w:rPr>
                <w:spacing w:val="-6"/>
                <w:sz w:val="20"/>
              </w:rPr>
              <w:t> </w:t>
            </w:r>
            <w:r>
              <w:rPr>
                <w:sz w:val="20"/>
              </w:rPr>
              <w:t>programmer/</w:t>
            </w:r>
            <w:r>
              <w:rPr>
                <w:spacing w:val="-6"/>
                <w:sz w:val="20"/>
              </w:rPr>
              <w:t> </w:t>
            </w:r>
            <w:r>
              <w:rPr>
                <w:sz w:val="20"/>
              </w:rPr>
              <w:t>biostatistician</w:t>
            </w:r>
            <w:r>
              <w:rPr>
                <w:spacing w:val="-6"/>
                <w:sz w:val="20"/>
              </w:rPr>
              <w:t> </w:t>
            </w:r>
            <w:r>
              <w:rPr>
                <w:sz w:val="20"/>
              </w:rPr>
              <w:t>and/or Sponsor designee.</w:t>
            </w:r>
          </w:p>
          <w:p>
            <w:pPr>
              <w:pStyle w:val="TableParagraph"/>
              <w:spacing w:before="8"/>
              <w:ind w:left="0"/>
              <w:rPr>
                <w:sz w:val="26"/>
              </w:rPr>
            </w:pPr>
          </w:p>
          <w:p>
            <w:pPr>
              <w:pStyle w:val="TableParagraph"/>
              <w:spacing w:line="244" w:lineRule="auto" w:before="1"/>
              <w:rPr>
                <w:sz w:val="20"/>
              </w:rPr>
            </w:pPr>
            <w:r>
              <w:rPr>
                <w:b/>
                <w:sz w:val="20"/>
              </w:rPr>
              <w:t>Note:</w:t>
            </w:r>
            <w:r>
              <w:rPr>
                <w:b/>
                <w:spacing w:val="40"/>
                <w:sz w:val="20"/>
              </w:rPr>
              <w:t> </w:t>
            </w:r>
            <w:r>
              <w:rPr>
                <w:sz w:val="20"/>
              </w:rPr>
              <w:t>This</w:t>
            </w:r>
            <w:r>
              <w:rPr>
                <w:spacing w:val="-3"/>
                <w:sz w:val="20"/>
              </w:rPr>
              <w:t> </w:t>
            </w:r>
            <w:r>
              <w:rPr>
                <w:sz w:val="20"/>
              </w:rPr>
              <w:t>step</w:t>
            </w:r>
            <w:r>
              <w:rPr>
                <w:spacing w:val="-3"/>
                <w:sz w:val="20"/>
              </w:rPr>
              <w:t> </w:t>
            </w:r>
            <w:r>
              <w:rPr>
                <w:sz w:val="20"/>
              </w:rPr>
              <w:t>is</w:t>
            </w:r>
            <w:r>
              <w:rPr>
                <w:spacing w:val="-3"/>
                <w:sz w:val="20"/>
              </w:rPr>
              <w:t> </w:t>
            </w:r>
            <w:r>
              <w:rPr>
                <w:sz w:val="20"/>
              </w:rPr>
              <w:t>typically</w:t>
            </w:r>
            <w:r>
              <w:rPr>
                <w:spacing w:val="-3"/>
                <w:sz w:val="20"/>
              </w:rPr>
              <w:t> </w:t>
            </w:r>
            <w:r>
              <w:rPr>
                <w:sz w:val="20"/>
              </w:rPr>
              <w:t>not</w:t>
            </w:r>
            <w:r>
              <w:rPr>
                <w:spacing w:val="-3"/>
                <w:sz w:val="20"/>
              </w:rPr>
              <w:t> </w:t>
            </w:r>
            <w:r>
              <w:rPr>
                <w:sz w:val="20"/>
              </w:rPr>
              <w:t>applicable</w:t>
            </w:r>
            <w:r>
              <w:rPr>
                <w:spacing w:val="-3"/>
                <w:sz w:val="20"/>
              </w:rPr>
              <w:t> </w:t>
            </w:r>
            <w:r>
              <w:rPr>
                <w:sz w:val="20"/>
              </w:rPr>
              <w:t>for</w:t>
            </w:r>
            <w:r>
              <w:rPr>
                <w:spacing w:val="-3"/>
                <w:sz w:val="20"/>
              </w:rPr>
              <w:t> </w:t>
            </w:r>
            <w:r>
              <w:rPr>
                <w:sz w:val="20"/>
              </w:rPr>
              <w:t>an</w:t>
            </w:r>
            <w:r>
              <w:rPr>
                <w:spacing w:val="-3"/>
                <w:sz w:val="20"/>
              </w:rPr>
              <w:t> </w:t>
            </w:r>
            <w:r>
              <w:rPr>
                <w:sz w:val="20"/>
              </w:rPr>
              <w:t>interim</w:t>
            </w:r>
            <w:r>
              <w:rPr>
                <w:spacing w:val="-3"/>
                <w:sz w:val="20"/>
              </w:rPr>
              <w:t> </w:t>
            </w:r>
            <w:r>
              <w:rPr>
                <w:sz w:val="20"/>
              </w:rPr>
              <w:t>PK</w:t>
            </w:r>
            <w:r>
              <w:rPr>
                <w:spacing w:val="-3"/>
                <w:sz w:val="20"/>
              </w:rPr>
              <w:t> </w:t>
            </w:r>
            <w:r>
              <w:rPr>
                <w:sz w:val="20"/>
              </w:rPr>
              <w:t>or</w:t>
            </w:r>
            <w:r>
              <w:rPr>
                <w:spacing w:val="-3"/>
                <w:sz w:val="20"/>
              </w:rPr>
              <w:t> </w:t>
            </w:r>
            <w:r>
              <w:rPr>
                <w:sz w:val="20"/>
              </w:rPr>
              <w:t>PD </w:t>
            </w:r>
            <w:r>
              <w:rPr>
                <w:spacing w:val="-2"/>
                <w:sz w:val="20"/>
              </w:rPr>
              <w:t>analysis.</w:t>
            </w:r>
          </w:p>
        </w:tc>
        <w:tc>
          <w:tcPr>
            <w:tcW w:w="1843" w:type="dxa"/>
          </w:tcPr>
          <w:p>
            <w:pPr>
              <w:pStyle w:val="TableParagraph"/>
              <w:ind w:right="339"/>
              <w:rPr>
                <w:sz w:val="20"/>
              </w:rPr>
            </w:pPr>
            <w:r>
              <w:rPr>
                <w:sz w:val="20"/>
              </w:rPr>
              <w:t>After SAP development</w:t>
            </w:r>
            <w:r>
              <w:rPr>
                <w:spacing w:val="-14"/>
                <w:sz w:val="20"/>
              </w:rPr>
              <w:t> </w:t>
            </w:r>
            <w:r>
              <w:rPr>
                <w:sz w:val="20"/>
              </w:rPr>
              <w:t>or availability of other Sponsor </w:t>
            </w:r>
            <w:r>
              <w:rPr>
                <w:spacing w:val="-2"/>
                <w:sz w:val="20"/>
              </w:rPr>
              <w:t>directions</w:t>
            </w:r>
          </w:p>
        </w:tc>
      </w:tr>
      <w:tr>
        <w:trPr>
          <w:trHeight w:val="1343" w:hRule="atLeast"/>
        </w:trPr>
        <w:tc>
          <w:tcPr>
            <w:tcW w:w="797" w:type="dxa"/>
            <w:tcBorders>
              <w:bottom w:val="nil"/>
            </w:tcBorders>
          </w:tcPr>
          <w:p>
            <w:pPr>
              <w:pStyle w:val="TableParagraph"/>
              <w:spacing w:before="42"/>
              <w:ind w:left="172"/>
              <w:rPr>
                <w:b/>
                <w:sz w:val="20"/>
              </w:rPr>
            </w:pPr>
            <w:r>
              <w:rPr>
                <w:b/>
                <w:spacing w:val="-2"/>
                <w:sz w:val="20"/>
              </w:rPr>
              <w:t>6.1.2</w:t>
            </w:r>
          </w:p>
        </w:tc>
        <w:tc>
          <w:tcPr>
            <w:tcW w:w="1162" w:type="dxa"/>
            <w:tcBorders>
              <w:top w:val="nil"/>
              <w:bottom w:val="nil"/>
            </w:tcBorders>
          </w:tcPr>
          <w:p>
            <w:pPr>
              <w:pStyle w:val="TableParagraph"/>
              <w:spacing w:before="0"/>
              <w:ind w:left="0"/>
              <w:rPr>
                <w:rFonts w:ascii="Times New Roman"/>
                <w:sz w:val="20"/>
              </w:rPr>
            </w:pPr>
          </w:p>
        </w:tc>
        <w:tc>
          <w:tcPr>
            <w:tcW w:w="6264" w:type="dxa"/>
            <w:tcBorders>
              <w:bottom w:val="nil"/>
            </w:tcBorders>
          </w:tcPr>
          <w:p>
            <w:pPr>
              <w:pStyle w:val="TableParagraph"/>
              <w:ind w:right="184"/>
              <w:rPr>
                <w:sz w:val="20"/>
              </w:rPr>
            </w:pPr>
            <w:r>
              <w:rPr>
                <w:sz w:val="20"/>
              </w:rPr>
              <w:t>Reviews</w:t>
            </w:r>
            <w:r>
              <w:rPr>
                <w:spacing w:val="-6"/>
                <w:sz w:val="20"/>
              </w:rPr>
              <w:t> </w:t>
            </w:r>
            <w:r>
              <w:rPr>
                <w:sz w:val="20"/>
              </w:rPr>
              <w:t>the</w:t>
            </w:r>
            <w:r>
              <w:rPr>
                <w:spacing w:val="-3"/>
                <w:sz w:val="20"/>
              </w:rPr>
              <w:t> </w:t>
            </w:r>
            <w:r>
              <w:rPr>
                <w:sz w:val="20"/>
              </w:rPr>
              <w:t>preWinNonlin</w:t>
            </w:r>
            <w:r>
              <w:rPr>
                <w:spacing w:val="-4"/>
                <w:sz w:val="20"/>
              </w:rPr>
              <w:t> </w:t>
            </w:r>
            <w:r>
              <w:rPr>
                <w:sz w:val="20"/>
              </w:rPr>
              <w:t>dataset</w:t>
            </w:r>
            <w:r>
              <w:rPr>
                <w:spacing w:val="-1"/>
                <w:sz w:val="20"/>
              </w:rPr>
              <w:t> </w:t>
            </w:r>
            <w:r>
              <w:rPr>
                <w:sz w:val="20"/>
              </w:rPr>
              <w:t>to</w:t>
            </w:r>
            <w:r>
              <w:rPr>
                <w:spacing w:val="-6"/>
                <w:sz w:val="20"/>
              </w:rPr>
              <w:t> </w:t>
            </w:r>
            <w:r>
              <w:rPr>
                <w:sz w:val="20"/>
              </w:rPr>
              <w:t>ensure</w:t>
            </w:r>
            <w:r>
              <w:rPr>
                <w:spacing w:val="-6"/>
                <w:sz w:val="20"/>
              </w:rPr>
              <w:t> </w:t>
            </w:r>
            <w:r>
              <w:rPr>
                <w:sz w:val="20"/>
              </w:rPr>
              <w:t>that</w:t>
            </w:r>
            <w:r>
              <w:rPr>
                <w:spacing w:val="-6"/>
                <w:sz w:val="20"/>
              </w:rPr>
              <w:t> </w:t>
            </w:r>
            <w:r>
              <w:rPr>
                <w:sz w:val="20"/>
              </w:rPr>
              <w:t>the</w:t>
            </w:r>
            <w:r>
              <w:rPr>
                <w:spacing w:val="-6"/>
                <w:sz w:val="20"/>
              </w:rPr>
              <w:t> </w:t>
            </w:r>
            <w:r>
              <w:rPr>
                <w:sz w:val="20"/>
              </w:rPr>
              <w:t>set-up</w:t>
            </w:r>
            <w:r>
              <w:rPr>
                <w:spacing w:val="-6"/>
                <w:sz w:val="20"/>
              </w:rPr>
              <w:t> </w:t>
            </w:r>
            <w:r>
              <w:rPr>
                <w:sz w:val="20"/>
              </w:rPr>
              <w:t>meets the analysis requirements. Section 10.1 (Appendix A2) of Work Instruction PI_WI_PK0202, Pharmacokinetic and Pharmacodynamic Analysis Procedures, provides directions regarding the specific data records to be checked by the PKS.</w:t>
            </w:r>
          </w:p>
        </w:tc>
        <w:tc>
          <w:tcPr>
            <w:tcW w:w="1843" w:type="dxa"/>
            <w:tcBorders>
              <w:bottom w:val="nil"/>
            </w:tcBorders>
          </w:tcPr>
          <w:p>
            <w:pPr>
              <w:pStyle w:val="TableParagraph"/>
              <w:ind w:right="339"/>
              <w:rPr>
                <w:sz w:val="20"/>
              </w:rPr>
            </w:pPr>
            <w:r>
              <w:rPr>
                <w:sz w:val="20"/>
              </w:rPr>
              <w:t>Prior</w:t>
            </w:r>
            <w:r>
              <w:rPr>
                <w:spacing w:val="-12"/>
                <w:sz w:val="20"/>
              </w:rPr>
              <w:t> </w:t>
            </w:r>
            <w:r>
              <w:rPr>
                <w:sz w:val="20"/>
              </w:rPr>
              <w:t>to</w:t>
            </w:r>
            <w:r>
              <w:rPr>
                <w:spacing w:val="-12"/>
                <w:sz w:val="20"/>
              </w:rPr>
              <w:t> </w:t>
            </w:r>
            <w:r>
              <w:rPr>
                <w:sz w:val="20"/>
              </w:rPr>
              <w:t>start</w:t>
            </w:r>
            <w:r>
              <w:rPr>
                <w:spacing w:val="-12"/>
                <w:sz w:val="20"/>
              </w:rPr>
              <w:t> </w:t>
            </w:r>
            <w:r>
              <w:rPr>
                <w:sz w:val="20"/>
              </w:rPr>
              <w:t>of the analysis</w:t>
            </w:r>
          </w:p>
        </w:tc>
      </w:tr>
      <w:tr>
        <w:trPr>
          <w:trHeight w:val="883" w:hRule="atLeast"/>
        </w:trPr>
        <w:tc>
          <w:tcPr>
            <w:tcW w:w="797" w:type="dxa"/>
            <w:tcBorders>
              <w:top w:val="nil"/>
            </w:tcBorders>
          </w:tcPr>
          <w:p>
            <w:pPr>
              <w:pStyle w:val="TableParagraph"/>
              <w:spacing w:before="0"/>
              <w:ind w:left="0"/>
              <w:rPr>
                <w:rFonts w:ascii="Times New Roman"/>
                <w:sz w:val="20"/>
              </w:rPr>
            </w:pPr>
          </w:p>
        </w:tc>
        <w:tc>
          <w:tcPr>
            <w:tcW w:w="1162" w:type="dxa"/>
            <w:tcBorders>
              <w:top w:val="nil"/>
            </w:tcBorders>
          </w:tcPr>
          <w:p>
            <w:pPr>
              <w:pStyle w:val="TableParagraph"/>
              <w:spacing w:before="0"/>
              <w:ind w:left="0"/>
              <w:rPr>
                <w:rFonts w:ascii="Times New Roman"/>
                <w:sz w:val="20"/>
              </w:rPr>
            </w:pPr>
          </w:p>
        </w:tc>
        <w:tc>
          <w:tcPr>
            <w:tcW w:w="6264" w:type="dxa"/>
            <w:tcBorders>
              <w:top w:val="nil"/>
            </w:tcBorders>
          </w:tcPr>
          <w:p>
            <w:pPr>
              <w:pStyle w:val="TableParagraph"/>
              <w:spacing w:line="242" w:lineRule="auto" w:before="148"/>
              <w:ind w:right="184"/>
              <w:rPr>
                <w:sz w:val="20"/>
              </w:rPr>
            </w:pPr>
            <w:r>
              <w:rPr>
                <w:b/>
                <w:sz w:val="20"/>
              </w:rPr>
              <w:t>Note:</w:t>
            </w:r>
            <w:r>
              <w:rPr>
                <w:b/>
                <w:spacing w:val="40"/>
                <w:sz w:val="20"/>
              </w:rPr>
              <w:t> </w:t>
            </w:r>
            <w:r>
              <w:rPr>
                <w:sz w:val="20"/>
              </w:rPr>
              <w:t>For</w:t>
            </w:r>
            <w:r>
              <w:rPr>
                <w:spacing w:val="-3"/>
                <w:sz w:val="20"/>
              </w:rPr>
              <w:t> </w:t>
            </w:r>
            <w:r>
              <w:rPr>
                <w:sz w:val="20"/>
              </w:rPr>
              <w:t>interim</w:t>
            </w:r>
            <w:r>
              <w:rPr>
                <w:spacing w:val="-4"/>
                <w:sz w:val="20"/>
              </w:rPr>
              <w:t> </w:t>
            </w:r>
            <w:r>
              <w:rPr>
                <w:sz w:val="20"/>
              </w:rPr>
              <w:t>analyses,</w:t>
            </w:r>
            <w:r>
              <w:rPr>
                <w:spacing w:val="-4"/>
                <w:sz w:val="20"/>
              </w:rPr>
              <w:t> </w:t>
            </w:r>
            <w:r>
              <w:rPr>
                <w:sz w:val="20"/>
              </w:rPr>
              <w:t>the</w:t>
            </w:r>
            <w:r>
              <w:rPr>
                <w:spacing w:val="-3"/>
                <w:sz w:val="20"/>
              </w:rPr>
              <w:t> </w:t>
            </w:r>
            <w:r>
              <w:rPr>
                <w:sz w:val="20"/>
              </w:rPr>
              <w:t>PK</w:t>
            </w:r>
            <w:r>
              <w:rPr>
                <w:spacing w:val="-4"/>
                <w:sz w:val="20"/>
              </w:rPr>
              <w:t> </w:t>
            </w:r>
            <w:r>
              <w:rPr>
                <w:sz w:val="20"/>
              </w:rPr>
              <w:t>and</w:t>
            </w:r>
            <w:r>
              <w:rPr>
                <w:spacing w:val="-4"/>
                <w:sz w:val="20"/>
              </w:rPr>
              <w:t> </w:t>
            </w:r>
            <w:r>
              <w:rPr>
                <w:sz w:val="20"/>
              </w:rPr>
              <w:t>PD</w:t>
            </w:r>
            <w:r>
              <w:rPr>
                <w:spacing w:val="-4"/>
                <w:sz w:val="20"/>
              </w:rPr>
              <w:t> </w:t>
            </w:r>
            <w:r>
              <w:rPr>
                <w:sz w:val="20"/>
              </w:rPr>
              <w:t>analysis</w:t>
            </w:r>
            <w:r>
              <w:rPr>
                <w:spacing w:val="-4"/>
                <w:sz w:val="20"/>
              </w:rPr>
              <w:t> </w:t>
            </w:r>
            <w:r>
              <w:rPr>
                <w:sz w:val="20"/>
              </w:rPr>
              <w:t>data</w:t>
            </w:r>
            <w:r>
              <w:rPr>
                <w:spacing w:val="-4"/>
                <w:sz w:val="20"/>
              </w:rPr>
              <w:t> </w:t>
            </w:r>
            <w:r>
              <w:rPr>
                <w:sz w:val="20"/>
              </w:rPr>
              <w:t>files</w:t>
            </w:r>
            <w:r>
              <w:rPr>
                <w:spacing w:val="-3"/>
                <w:sz w:val="20"/>
              </w:rPr>
              <w:t> </w:t>
            </w:r>
            <w:r>
              <w:rPr>
                <w:sz w:val="20"/>
              </w:rPr>
              <w:t>may be directly received by the PK scientist from the bioanalytical laboratory, clinical database, or other external sources.</w:t>
            </w:r>
          </w:p>
        </w:tc>
        <w:tc>
          <w:tcPr>
            <w:tcW w:w="1843" w:type="dxa"/>
            <w:tcBorders>
              <w:top w:val="nil"/>
            </w:tcBorders>
          </w:tcPr>
          <w:p>
            <w:pPr>
              <w:pStyle w:val="TableParagraph"/>
              <w:spacing w:before="0"/>
              <w:ind w:left="0"/>
              <w:rPr>
                <w:rFonts w:ascii="Times New Roman"/>
                <w:sz w:val="20"/>
              </w:rPr>
            </w:pPr>
          </w:p>
        </w:tc>
      </w:tr>
    </w:tbl>
    <w:p>
      <w:pPr>
        <w:pStyle w:val="BodyText"/>
        <w:spacing w:before="6"/>
        <w:rPr>
          <w:sz w:val="20"/>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Derivation of PK/PD Parameters" w:id="8"/>
      <w:bookmarkEnd w:id="8"/>
      <w:r>
        <w:rPr/>
        <w:t>Derivatio</w:t>
      </w:r>
      <w:r>
        <w:rPr/>
        <w:t>n</w:t>
      </w:r>
      <w:r>
        <w:rPr>
          <w:spacing w:val="-6"/>
        </w:rPr>
        <w:t> </w:t>
      </w:r>
      <w:r>
        <w:rPr/>
        <w:t>of</w:t>
      </w:r>
      <w:r>
        <w:rPr>
          <w:spacing w:val="-6"/>
        </w:rPr>
        <w:t> </w:t>
      </w:r>
      <w:r>
        <w:rPr/>
        <w:t>PK/PD</w:t>
      </w:r>
      <w:r>
        <w:rPr>
          <w:spacing w:val="-5"/>
        </w:rPr>
        <w:t> </w:t>
      </w:r>
      <w:r>
        <w:rPr>
          <w:spacing w:val="-2"/>
        </w:rPr>
        <w:t>Parameters</w:t>
      </w:r>
    </w:p>
    <w:p>
      <w:pPr>
        <w:pStyle w:val="BodyText"/>
        <w:spacing w:before="126"/>
        <w:ind w:left="1979" w:right="490"/>
      </w:pPr>
      <w:r>
        <w:rPr/>
        <w:t>IQVIA PK/PD uses Phoenix</w:t>
      </w:r>
      <w:r>
        <w:rPr>
          <w:vertAlign w:val="superscript"/>
        </w:rPr>
        <w:t>®</w:t>
      </w:r>
      <w:r>
        <w:rPr>
          <w:vertAlign w:val="baseline"/>
        </w:rPr>
        <w:t> WinNonlin</w:t>
      </w:r>
      <w:r>
        <w:rPr>
          <w:vertAlign w:val="superscript"/>
        </w:rPr>
        <w:t>®</w:t>
      </w:r>
      <w:r>
        <w:rPr>
          <w:vertAlign w:val="baseline"/>
        </w:rPr>
        <w:t> (hence forward referred to as WinNonlin), SAS</w:t>
      </w:r>
      <w:r>
        <w:rPr>
          <w:vertAlign w:val="superscript"/>
        </w:rPr>
        <w:t>®</w:t>
      </w:r>
      <w:r>
        <w:rPr>
          <w:vertAlign w:val="baseline"/>
        </w:rPr>
        <w:t>, or other approved, validated commercial software. Noncompartmental analysis (NCA) using WinNonlin is the standard analysis for studies where serial PK and/or PD samples are collected.</w:t>
      </w:r>
      <w:r>
        <w:rPr>
          <w:spacing w:val="40"/>
          <w:vertAlign w:val="baseline"/>
        </w:rPr>
        <w:t> </w:t>
      </w:r>
      <w:r>
        <w:rPr>
          <w:vertAlign w:val="baseline"/>
        </w:rPr>
        <w:t>Compartmental analysis (including population PK analysis, using the approved, validated software, NONMEM) for studies with serial PK and/or PD samples may also be performed</w:t>
      </w:r>
      <w:r>
        <w:rPr>
          <w:spacing w:val="-4"/>
          <w:vertAlign w:val="baseline"/>
        </w:rPr>
        <w:t> </w:t>
      </w:r>
      <w:r>
        <w:rPr>
          <w:vertAlign w:val="baseline"/>
        </w:rPr>
        <w:t>upon</w:t>
      </w:r>
      <w:r>
        <w:rPr>
          <w:spacing w:val="-4"/>
          <w:vertAlign w:val="baseline"/>
        </w:rPr>
        <w:t> </w:t>
      </w:r>
      <w:r>
        <w:rPr>
          <w:vertAlign w:val="baseline"/>
        </w:rPr>
        <w:t>Sponsor</w:t>
      </w:r>
      <w:r>
        <w:rPr>
          <w:spacing w:val="-4"/>
          <w:vertAlign w:val="baseline"/>
        </w:rPr>
        <w:t> </w:t>
      </w:r>
      <w:r>
        <w:rPr>
          <w:vertAlign w:val="baseline"/>
        </w:rPr>
        <w:t>request.</w:t>
      </w:r>
      <w:r>
        <w:rPr>
          <w:spacing w:val="-3"/>
          <w:vertAlign w:val="baseline"/>
        </w:rPr>
        <w:t> </w:t>
      </w:r>
      <w:r>
        <w:rPr>
          <w:vertAlign w:val="baseline"/>
        </w:rPr>
        <w:t>IQVIA</w:t>
      </w:r>
      <w:r>
        <w:rPr>
          <w:spacing w:val="-4"/>
          <w:vertAlign w:val="baseline"/>
        </w:rPr>
        <w:t> </w:t>
      </w:r>
      <w:r>
        <w:rPr>
          <w:vertAlign w:val="baseline"/>
        </w:rPr>
        <w:t>conventions</w:t>
      </w:r>
      <w:r>
        <w:rPr>
          <w:spacing w:val="-4"/>
          <w:vertAlign w:val="baseline"/>
        </w:rPr>
        <w:t> </w:t>
      </w:r>
      <w:r>
        <w:rPr>
          <w:vertAlign w:val="baseline"/>
        </w:rPr>
        <w:t>for</w:t>
      </w:r>
      <w:r>
        <w:rPr>
          <w:spacing w:val="-4"/>
          <w:vertAlign w:val="baseline"/>
        </w:rPr>
        <w:t> </w:t>
      </w:r>
      <w:r>
        <w:rPr>
          <w:vertAlign w:val="baseline"/>
        </w:rPr>
        <w:t>handling</w:t>
      </w:r>
      <w:r>
        <w:rPr>
          <w:spacing w:val="-4"/>
          <w:vertAlign w:val="baseline"/>
        </w:rPr>
        <w:t> </w:t>
      </w:r>
      <w:r>
        <w:rPr>
          <w:vertAlign w:val="baseline"/>
        </w:rPr>
        <w:t>of</w:t>
      </w:r>
      <w:r>
        <w:rPr>
          <w:spacing w:val="-8"/>
          <w:vertAlign w:val="baseline"/>
        </w:rPr>
        <w:t> </w:t>
      </w:r>
      <w:r>
        <w:rPr>
          <w:vertAlign w:val="baseline"/>
        </w:rPr>
        <w:t>bioanalytical concentrations and PD variables in the parameter calculations are described in detail in Work Instruction PI_WI_PK0202, Pharmacokinetic and Pharmacodynamic Analysis Procedures.</w:t>
      </w:r>
      <w:r>
        <w:rPr>
          <w:spacing w:val="40"/>
          <w:vertAlign w:val="baseline"/>
        </w:rPr>
        <w:t> </w:t>
      </w:r>
      <w:r>
        <w:rPr>
          <w:vertAlign w:val="baseline"/>
        </w:rPr>
        <w:t>The following steps primarily apply to</w:t>
      </w:r>
    </w:p>
    <w:p>
      <w:pPr>
        <w:spacing w:after="0"/>
        <w:sectPr>
          <w:headerReference w:type="default" r:id="rId7"/>
          <w:footerReference w:type="default" r:id="rId8"/>
          <w:pgSz w:w="12240" w:h="15840"/>
          <w:pgMar w:header="725" w:footer="952" w:top="2520" w:bottom="1140" w:left="900" w:right="960"/>
        </w:sectPr>
      </w:pPr>
    </w:p>
    <w:p>
      <w:pPr>
        <w:pStyle w:val="BodyText"/>
        <w:spacing w:before="11"/>
        <w:rPr>
          <w:sz w:val="13"/>
        </w:rPr>
      </w:pPr>
    </w:p>
    <w:p>
      <w:pPr>
        <w:pStyle w:val="BodyText"/>
        <w:spacing w:before="94"/>
        <w:ind w:left="1980" w:right="490"/>
      </w:pPr>
      <w:r>
        <w:rPr/>
        <w:t>NCA</w:t>
      </w:r>
      <w:r>
        <w:rPr>
          <w:spacing w:val="-4"/>
        </w:rPr>
        <w:t> </w:t>
      </w:r>
      <w:r>
        <w:rPr/>
        <w:t>analysis,</w:t>
      </w:r>
      <w:r>
        <w:rPr>
          <w:spacing w:val="-4"/>
        </w:rPr>
        <w:t> </w:t>
      </w:r>
      <w:r>
        <w:rPr/>
        <w:t>but</w:t>
      </w:r>
      <w:r>
        <w:rPr>
          <w:spacing w:val="-4"/>
        </w:rPr>
        <w:t> </w:t>
      </w:r>
      <w:r>
        <w:rPr/>
        <w:t>may</w:t>
      </w:r>
      <w:r>
        <w:rPr>
          <w:spacing w:val="-4"/>
        </w:rPr>
        <w:t> </w:t>
      </w:r>
      <w:r>
        <w:rPr/>
        <w:t>be</w:t>
      </w:r>
      <w:r>
        <w:rPr>
          <w:spacing w:val="-4"/>
        </w:rPr>
        <w:t> </w:t>
      </w:r>
      <w:r>
        <w:rPr/>
        <w:t>fully</w:t>
      </w:r>
      <w:r>
        <w:rPr>
          <w:spacing w:val="-4"/>
        </w:rPr>
        <w:t> </w:t>
      </w:r>
      <w:r>
        <w:rPr/>
        <w:t>or</w:t>
      </w:r>
      <w:r>
        <w:rPr>
          <w:spacing w:val="-4"/>
        </w:rPr>
        <w:t> </w:t>
      </w:r>
      <w:r>
        <w:rPr/>
        <w:t>partially</w:t>
      </w:r>
      <w:r>
        <w:rPr>
          <w:spacing w:val="-4"/>
        </w:rPr>
        <w:t> </w:t>
      </w:r>
      <w:r>
        <w:rPr/>
        <w:t>applicable</w:t>
      </w:r>
      <w:r>
        <w:rPr>
          <w:spacing w:val="-4"/>
        </w:rPr>
        <w:t> </w:t>
      </w:r>
      <w:r>
        <w:rPr/>
        <w:t>to</w:t>
      </w:r>
      <w:r>
        <w:rPr>
          <w:spacing w:val="-4"/>
        </w:rPr>
        <w:t> </w:t>
      </w:r>
      <w:r>
        <w:rPr/>
        <w:t>compartmental</w:t>
      </w:r>
      <w:r>
        <w:rPr>
          <w:spacing w:val="-4"/>
        </w:rPr>
        <w:t> </w:t>
      </w:r>
      <w:r>
        <w:rPr/>
        <w:t>analysis </w:t>
      </w:r>
      <w:r>
        <w:rPr>
          <w:spacing w:val="-2"/>
        </w:rPr>
        <w:t>also:</w:t>
      </w:r>
    </w:p>
    <w:p>
      <w:pPr>
        <w:pStyle w:val="BodyText"/>
        <w:spacing w:before="7"/>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2150" w:hRule="atLeast"/>
        </w:trPr>
        <w:tc>
          <w:tcPr>
            <w:tcW w:w="797" w:type="dxa"/>
          </w:tcPr>
          <w:p>
            <w:pPr>
              <w:pStyle w:val="TableParagraph"/>
              <w:spacing w:before="42"/>
              <w:ind w:left="0" w:right="164"/>
              <w:jc w:val="right"/>
              <w:rPr>
                <w:b/>
                <w:sz w:val="20"/>
              </w:rPr>
            </w:pPr>
            <w:r>
              <w:rPr>
                <w:b/>
                <w:spacing w:val="-2"/>
                <w:sz w:val="20"/>
              </w:rPr>
              <w:t>6.2.1</w:t>
            </w:r>
          </w:p>
        </w:tc>
        <w:tc>
          <w:tcPr>
            <w:tcW w:w="1162" w:type="dxa"/>
            <w:vMerge w:val="restart"/>
          </w:tcPr>
          <w:p>
            <w:pPr>
              <w:pStyle w:val="TableParagraph"/>
              <w:spacing w:before="42"/>
              <w:ind w:left="105"/>
              <w:rPr>
                <w:sz w:val="20"/>
              </w:rPr>
            </w:pPr>
            <w:r>
              <w:rPr>
                <w:spacing w:val="-5"/>
                <w:sz w:val="20"/>
              </w:rPr>
              <w:t>PKS</w:t>
            </w:r>
          </w:p>
        </w:tc>
        <w:tc>
          <w:tcPr>
            <w:tcW w:w="6264" w:type="dxa"/>
          </w:tcPr>
          <w:p>
            <w:pPr>
              <w:pStyle w:val="TableParagraph"/>
              <w:ind w:left="104" w:right="184"/>
              <w:rPr>
                <w:sz w:val="20"/>
              </w:rPr>
            </w:pPr>
            <w:r>
              <w:rPr>
                <w:sz w:val="20"/>
              </w:rPr>
              <w:t>Calculates PK and PD parameters according to the study-specific instructions</w:t>
            </w:r>
            <w:r>
              <w:rPr>
                <w:spacing w:val="-5"/>
                <w:sz w:val="20"/>
              </w:rPr>
              <w:t> </w:t>
            </w:r>
            <w:r>
              <w:rPr>
                <w:sz w:val="20"/>
              </w:rPr>
              <w:t>provided</w:t>
            </w:r>
            <w:r>
              <w:rPr>
                <w:spacing w:val="-2"/>
                <w:sz w:val="20"/>
              </w:rPr>
              <w:t> </w:t>
            </w:r>
            <w:r>
              <w:rPr>
                <w:sz w:val="20"/>
              </w:rPr>
              <w:t>by</w:t>
            </w:r>
            <w:r>
              <w:rPr>
                <w:spacing w:val="-7"/>
                <w:sz w:val="20"/>
              </w:rPr>
              <w:t> </w:t>
            </w:r>
            <w:r>
              <w:rPr>
                <w:sz w:val="20"/>
              </w:rPr>
              <w:t>the</w:t>
            </w:r>
            <w:r>
              <w:rPr>
                <w:spacing w:val="-7"/>
                <w:sz w:val="20"/>
              </w:rPr>
              <w:t> </w:t>
            </w:r>
            <w:r>
              <w:rPr>
                <w:sz w:val="20"/>
              </w:rPr>
              <w:t>Sponsor,</w:t>
            </w:r>
            <w:r>
              <w:rPr>
                <w:spacing w:val="-5"/>
                <w:sz w:val="20"/>
              </w:rPr>
              <w:t> </w:t>
            </w:r>
            <w:r>
              <w:rPr>
                <w:sz w:val="20"/>
              </w:rPr>
              <w:t>or,</w:t>
            </w:r>
            <w:r>
              <w:rPr>
                <w:spacing w:val="-5"/>
                <w:sz w:val="20"/>
              </w:rPr>
              <w:t> </w:t>
            </w:r>
            <w:r>
              <w:rPr>
                <w:sz w:val="20"/>
              </w:rPr>
              <w:t>if</w:t>
            </w:r>
            <w:r>
              <w:rPr>
                <w:spacing w:val="-5"/>
                <w:sz w:val="20"/>
              </w:rPr>
              <w:t> </w:t>
            </w:r>
            <w:r>
              <w:rPr>
                <w:sz w:val="20"/>
              </w:rPr>
              <w:t>no</w:t>
            </w:r>
            <w:r>
              <w:rPr>
                <w:spacing w:val="-5"/>
                <w:sz w:val="20"/>
              </w:rPr>
              <w:t> </w:t>
            </w:r>
            <w:r>
              <w:rPr>
                <w:sz w:val="20"/>
              </w:rPr>
              <w:t>pertinent</w:t>
            </w:r>
            <w:r>
              <w:rPr>
                <w:spacing w:val="-5"/>
                <w:sz w:val="20"/>
              </w:rPr>
              <w:t> </w:t>
            </w:r>
            <w:r>
              <w:rPr>
                <w:sz w:val="20"/>
              </w:rPr>
              <w:t>instructions are available, following the conventions outlined in Section 10 of </w:t>
            </w:r>
            <w:r>
              <w:rPr>
                <w:spacing w:val="-2"/>
                <w:sz w:val="20"/>
              </w:rPr>
              <w:t>PI_WI_PK0202.</w:t>
            </w:r>
          </w:p>
          <w:p>
            <w:pPr>
              <w:pStyle w:val="TableParagraph"/>
              <w:spacing w:before="4"/>
              <w:ind w:left="0"/>
              <w:rPr>
                <w:sz w:val="26"/>
              </w:rPr>
            </w:pPr>
          </w:p>
          <w:p>
            <w:pPr>
              <w:pStyle w:val="TableParagraph"/>
              <w:spacing w:line="244" w:lineRule="auto" w:before="1"/>
              <w:ind w:left="104" w:right="184"/>
              <w:rPr>
                <w:sz w:val="20"/>
              </w:rPr>
            </w:pPr>
            <w:r>
              <w:rPr>
                <w:b/>
                <w:sz w:val="20"/>
              </w:rPr>
              <w:t>Note</w:t>
            </w:r>
            <w:r>
              <w:rPr>
                <w:sz w:val="20"/>
              </w:rPr>
              <w:t>:</w:t>
            </w:r>
            <w:r>
              <w:rPr>
                <w:spacing w:val="40"/>
                <w:sz w:val="20"/>
              </w:rPr>
              <w:t> </w:t>
            </w:r>
            <w:r>
              <w:rPr>
                <w:sz w:val="20"/>
              </w:rPr>
              <w:t>On</w:t>
            </w:r>
            <w:r>
              <w:rPr>
                <w:spacing w:val="-5"/>
                <w:sz w:val="20"/>
              </w:rPr>
              <w:t> </w:t>
            </w:r>
            <w:r>
              <w:rPr>
                <w:sz w:val="20"/>
              </w:rPr>
              <w:t>rare</w:t>
            </w:r>
            <w:r>
              <w:rPr>
                <w:spacing w:val="-5"/>
                <w:sz w:val="20"/>
              </w:rPr>
              <w:t> </w:t>
            </w:r>
            <w:r>
              <w:rPr>
                <w:sz w:val="20"/>
              </w:rPr>
              <w:t>occasions,</w:t>
            </w:r>
            <w:r>
              <w:rPr>
                <w:spacing w:val="-5"/>
                <w:sz w:val="20"/>
              </w:rPr>
              <w:t> </w:t>
            </w:r>
            <w:r>
              <w:rPr>
                <w:sz w:val="20"/>
              </w:rPr>
              <w:t>derived</w:t>
            </w:r>
            <w:r>
              <w:rPr>
                <w:spacing w:val="-5"/>
                <w:sz w:val="20"/>
              </w:rPr>
              <w:t> </w:t>
            </w:r>
            <w:r>
              <w:rPr>
                <w:sz w:val="20"/>
              </w:rPr>
              <w:t>PK</w:t>
            </w:r>
            <w:r>
              <w:rPr>
                <w:spacing w:val="-5"/>
                <w:sz w:val="20"/>
              </w:rPr>
              <w:t> </w:t>
            </w:r>
            <w:r>
              <w:rPr>
                <w:sz w:val="20"/>
              </w:rPr>
              <w:t>and</w:t>
            </w:r>
            <w:r>
              <w:rPr>
                <w:spacing w:val="-5"/>
                <w:sz w:val="20"/>
              </w:rPr>
              <w:t> </w:t>
            </w:r>
            <w:r>
              <w:rPr>
                <w:sz w:val="20"/>
              </w:rPr>
              <w:t>PD</w:t>
            </w:r>
            <w:r>
              <w:rPr>
                <w:spacing w:val="-5"/>
                <w:sz w:val="20"/>
              </w:rPr>
              <w:t> </w:t>
            </w:r>
            <w:r>
              <w:rPr>
                <w:sz w:val="20"/>
              </w:rPr>
              <w:t>parameters</w:t>
            </w:r>
            <w:r>
              <w:rPr>
                <w:spacing w:val="-5"/>
                <w:sz w:val="20"/>
              </w:rPr>
              <w:t> </w:t>
            </w:r>
            <w:r>
              <w:rPr>
                <w:sz w:val="20"/>
              </w:rPr>
              <w:t>may</w:t>
            </w:r>
            <w:r>
              <w:rPr>
                <w:spacing w:val="-5"/>
                <w:sz w:val="20"/>
              </w:rPr>
              <w:t> </w:t>
            </w:r>
            <w:r>
              <w:rPr>
                <w:sz w:val="20"/>
              </w:rPr>
              <w:t>also be calculated by a designated programmer using SAS.</w:t>
            </w:r>
          </w:p>
        </w:tc>
        <w:tc>
          <w:tcPr>
            <w:tcW w:w="1843" w:type="dxa"/>
          </w:tcPr>
          <w:p>
            <w:pPr>
              <w:pStyle w:val="TableParagraph"/>
              <w:ind w:left="104" w:right="257"/>
              <w:jc w:val="both"/>
              <w:rPr>
                <w:sz w:val="20"/>
              </w:rPr>
            </w:pPr>
            <w:r>
              <w:rPr>
                <w:sz w:val="20"/>
              </w:rPr>
              <w:t>After</w:t>
            </w:r>
            <w:r>
              <w:rPr>
                <w:spacing w:val="-7"/>
                <w:sz w:val="20"/>
              </w:rPr>
              <w:t> </w:t>
            </w:r>
            <w:r>
              <w:rPr>
                <w:sz w:val="20"/>
              </w:rPr>
              <w:t>review</w:t>
            </w:r>
            <w:r>
              <w:rPr>
                <w:spacing w:val="-7"/>
                <w:sz w:val="20"/>
              </w:rPr>
              <w:t> </w:t>
            </w:r>
            <w:r>
              <w:rPr>
                <w:sz w:val="20"/>
              </w:rPr>
              <w:t>and determination</w:t>
            </w:r>
            <w:r>
              <w:rPr>
                <w:spacing w:val="-3"/>
                <w:sz w:val="20"/>
              </w:rPr>
              <w:t> </w:t>
            </w:r>
            <w:r>
              <w:rPr>
                <w:sz w:val="20"/>
              </w:rPr>
              <w:t>of suitability</w:t>
            </w:r>
            <w:r>
              <w:rPr>
                <w:spacing w:val="-14"/>
                <w:sz w:val="20"/>
              </w:rPr>
              <w:t> </w:t>
            </w:r>
            <w:r>
              <w:rPr>
                <w:sz w:val="20"/>
              </w:rPr>
              <w:t>of</w:t>
            </w:r>
            <w:r>
              <w:rPr>
                <w:spacing w:val="-14"/>
                <w:sz w:val="20"/>
              </w:rPr>
              <w:t> </w:t>
            </w:r>
            <w:r>
              <w:rPr>
                <w:sz w:val="20"/>
              </w:rPr>
              <w:t>final </w:t>
            </w:r>
            <w:r>
              <w:rPr>
                <w:spacing w:val="-2"/>
                <w:sz w:val="20"/>
              </w:rPr>
              <w:t>(QC’d)</w:t>
            </w:r>
          </w:p>
          <w:p>
            <w:pPr>
              <w:pStyle w:val="TableParagraph"/>
              <w:spacing w:before="1"/>
              <w:ind w:left="104"/>
              <w:rPr>
                <w:sz w:val="20"/>
              </w:rPr>
            </w:pPr>
            <w:r>
              <w:rPr>
                <w:spacing w:val="-2"/>
                <w:sz w:val="20"/>
              </w:rPr>
              <w:t>preWinNonlin </w:t>
            </w:r>
            <w:r>
              <w:rPr>
                <w:sz w:val="20"/>
              </w:rPr>
              <w:t>dataset</w:t>
            </w:r>
            <w:r>
              <w:rPr>
                <w:spacing w:val="-14"/>
                <w:sz w:val="20"/>
              </w:rPr>
              <w:t> </w:t>
            </w:r>
            <w:r>
              <w:rPr>
                <w:sz w:val="20"/>
              </w:rPr>
              <w:t>(or</w:t>
            </w:r>
            <w:r>
              <w:rPr>
                <w:spacing w:val="-14"/>
                <w:sz w:val="20"/>
              </w:rPr>
              <w:t> </w:t>
            </w:r>
            <w:r>
              <w:rPr>
                <w:sz w:val="20"/>
              </w:rPr>
              <w:t>receipt of appropriate dataset</w:t>
            </w:r>
            <w:r>
              <w:rPr>
                <w:spacing w:val="-13"/>
                <w:sz w:val="20"/>
              </w:rPr>
              <w:t> </w:t>
            </w:r>
            <w:r>
              <w:rPr>
                <w:sz w:val="20"/>
              </w:rPr>
              <w:t>for</w:t>
            </w:r>
            <w:r>
              <w:rPr>
                <w:spacing w:val="-13"/>
                <w:sz w:val="20"/>
              </w:rPr>
              <w:t> </w:t>
            </w:r>
            <w:r>
              <w:rPr>
                <w:sz w:val="20"/>
              </w:rPr>
              <w:t>interim </w:t>
            </w:r>
            <w:r>
              <w:rPr>
                <w:spacing w:val="-2"/>
                <w:sz w:val="20"/>
              </w:rPr>
              <w:t>analysis)</w:t>
            </w:r>
          </w:p>
        </w:tc>
      </w:tr>
      <w:tr>
        <w:trPr>
          <w:trHeight w:val="997" w:hRule="atLeast"/>
        </w:trPr>
        <w:tc>
          <w:tcPr>
            <w:tcW w:w="797" w:type="dxa"/>
          </w:tcPr>
          <w:p>
            <w:pPr>
              <w:pStyle w:val="TableParagraph"/>
              <w:spacing w:before="42"/>
              <w:ind w:left="0" w:right="164"/>
              <w:jc w:val="right"/>
              <w:rPr>
                <w:b/>
                <w:sz w:val="20"/>
              </w:rPr>
            </w:pPr>
            <w:r>
              <w:rPr>
                <w:b/>
                <w:spacing w:val="-2"/>
                <w:sz w:val="20"/>
              </w:rPr>
              <w:t>6.2.2</w:t>
            </w:r>
          </w:p>
        </w:tc>
        <w:tc>
          <w:tcPr>
            <w:tcW w:w="1162" w:type="dxa"/>
            <w:vMerge/>
            <w:tcBorders>
              <w:top w:val="nil"/>
            </w:tcBorders>
          </w:tcPr>
          <w:p>
            <w:pPr>
              <w:rPr>
                <w:sz w:val="2"/>
                <w:szCs w:val="2"/>
              </w:rPr>
            </w:pPr>
          </w:p>
        </w:tc>
        <w:tc>
          <w:tcPr>
            <w:tcW w:w="6264" w:type="dxa"/>
          </w:tcPr>
          <w:p>
            <w:pPr>
              <w:pStyle w:val="TableParagraph"/>
              <w:ind w:left="104" w:right="184"/>
              <w:rPr>
                <w:sz w:val="20"/>
              </w:rPr>
            </w:pPr>
            <w:r>
              <w:rPr>
                <w:sz w:val="20"/>
              </w:rPr>
              <w:t>Records</w:t>
            </w:r>
            <w:r>
              <w:rPr>
                <w:spacing w:val="-5"/>
                <w:sz w:val="20"/>
              </w:rPr>
              <w:t> </w:t>
            </w:r>
            <w:r>
              <w:rPr>
                <w:sz w:val="20"/>
              </w:rPr>
              <w:t>all</w:t>
            </w:r>
            <w:r>
              <w:rPr>
                <w:spacing w:val="-5"/>
                <w:sz w:val="20"/>
              </w:rPr>
              <w:t> </w:t>
            </w:r>
            <w:r>
              <w:rPr>
                <w:sz w:val="20"/>
              </w:rPr>
              <w:t>analysis</w:t>
            </w:r>
            <w:r>
              <w:rPr>
                <w:spacing w:val="-5"/>
                <w:sz w:val="20"/>
              </w:rPr>
              <w:t> </w:t>
            </w:r>
            <w:r>
              <w:rPr>
                <w:sz w:val="20"/>
              </w:rPr>
              <w:t>steps</w:t>
            </w:r>
            <w:r>
              <w:rPr>
                <w:spacing w:val="-5"/>
                <w:sz w:val="20"/>
              </w:rPr>
              <w:t> </w:t>
            </w:r>
            <w:r>
              <w:rPr>
                <w:sz w:val="20"/>
              </w:rPr>
              <w:t>and</w:t>
            </w:r>
            <w:r>
              <w:rPr>
                <w:spacing w:val="-5"/>
                <w:sz w:val="20"/>
              </w:rPr>
              <w:t> </w:t>
            </w:r>
            <w:r>
              <w:rPr>
                <w:sz w:val="20"/>
              </w:rPr>
              <w:t>deviations.</w:t>
            </w:r>
            <w:r>
              <w:rPr>
                <w:spacing w:val="-4"/>
                <w:sz w:val="20"/>
              </w:rPr>
              <w:t> </w:t>
            </w:r>
            <w:r>
              <w:rPr>
                <w:sz w:val="20"/>
              </w:rPr>
              <w:t>Upon</w:t>
            </w:r>
            <w:r>
              <w:rPr>
                <w:spacing w:val="-4"/>
                <w:sz w:val="20"/>
              </w:rPr>
              <w:t> </w:t>
            </w:r>
            <w:r>
              <w:rPr>
                <w:sz w:val="20"/>
              </w:rPr>
              <w:t>completion</w:t>
            </w:r>
            <w:r>
              <w:rPr>
                <w:spacing w:val="-4"/>
                <w:sz w:val="20"/>
              </w:rPr>
              <w:t> </w:t>
            </w:r>
            <w:r>
              <w:rPr>
                <w:sz w:val="20"/>
              </w:rPr>
              <w:t>of</w:t>
            </w:r>
            <w:r>
              <w:rPr>
                <w:spacing w:val="-4"/>
                <w:sz w:val="20"/>
              </w:rPr>
              <w:t> </w:t>
            </w:r>
            <w:r>
              <w:rPr>
                <w:sz w:val="20"/>
              </w:rPr>
              <w:t>the PK or PD analysis, the PKS</w:t>
            </w:r>
            <w:r>
              <w:rPr>
                <w:spacing w:val="-2"/>
                <w:sz w:val="20"/>
              </w:rPr>
              <w:t> </w:t>
            </w:r>
            <w:r>
              <w:rPr>
                <w:sz w:val="20"/>
              </w:rPr>
              <w:t>shall provide applicable analysis</w:t>
            </w:r>
            <w:r>
              <w:rPr>
                <w:spacing w:val="-2"/>
                <w:sz w:val="20"/>
              </w:rPr>
              <w:t> </w:t>
            </w:r>
            <w:r>
              <w:rPr>
                <w:sz w:val="20"/>
              </w:rPr>
              <w:t>sets and review documentation (inclusive of all planned instructions to the programmer) to the PKR.</w:t>
            </w:r>
          </w:p>
        </w:tc>
        <w:tc>
          <w:tcPr>
            <w:tcW w:w="1843" w:type="dxa"/>
          </w:tcPr>
          <w:p>
            <w:pPr>
              <w:pStyle w:val="TableParagraph"/>
              <w:ind w:left="104"/>
              <w:rPr>
                <w:sz w:val="20"/>
              </w:rPr>
            </w:pPr>
            <w:r>
              <w:rPr>
                <w:sz w:val="20"/>
              </w:rPr>
              <w:t>As part of the PK/PD</w:t>
            </w:r>
            <w:r>
              <w:rPr>
                <w:spacing w:val="-14"/>
                <w:sz w:val="20"/>
              </w:rPr>
              <w:t> </w:t>
            </w:r>
            <w:r>
              <w:rPr>
                <w:sz w:val="20"/>
              </w:rPr>
              <w:t>analysis</w:t>
            </w:r>
          </w:p>
        </w:tc>
      </w:tr>
      <w:tr>
        <w:trPr>
          <w:trHeight w:val="1079" w:hRule="atLeast"/>
        </w:trPr>
        <w:tc>
          <w:tcPr>
            <w:tcW w:w="797" w:type="dxa"/>
          </w:tcPr>
          <w:p>
            <w:pPr>
              <w:pStyle w:val="TableParagraph"/>
              <w:spacing w:before="42"/>
              <w:ind w:left="0" w:right="164"/>
              <w:jc w:val="right"/>
              <w:rPr>
                <w:b/>
                <w:sz w:val="20"/>
              </w:rPr>
            </w:pPr>
            <w:r>
              <w:rPr>
                <w:b/>
                <w:spacing w:val="-2"/>
                <w:sz w:val="20"/>
              </w:rPr>
              <w:t>6.2.3</w:t>
            </w:r>
          </w:p>
        </w:tc>
        <w:tc>
          <w:tcPr>
            <w:tcW w:w="1162" w:type="dxa"/>
          </w:tcPr>
          <w:p>
            <w:pPr>
              <w:pStyle w:val="TableParagraph"/>
              <w:spacing w:before="42"/>
              <w:ind w:left="105"/>
              <w:rPr>
                <w:sz w:val="20"/>
              </w:rPr>
            </w:pPr>
            <w:r>
              <w:rPr>
                <w:spacing w:val="-5"/>
                <w:sz w:val="20"/>
              </w:rPr>
              <w:t>PKR</w:t>
            </w:r>
          </w:p>
        </w:tc>
        <w:tc>
          <w:tcPr>
            <w:tcW w:w="6264" w:type="dxa"/>
          </w:tcPr>
          <w:p>
            <w:pPr>
              <w:pStyle w:val="TableParagraph"/>
              <w:spacing w:line="244" w:lineRule="auto"/>
              <w:ind w:left="104"/>
              <w:rPr>
                <w:sz w:val="20"/>
              </w:rPr>
            </w:pPr>
            <w:r>
              <w:rPr>
                <w:sz w:val="20"/>
              </w:rPr>
              <w:t>Reviews</w:t>
            </w:r>
            <w:r>
              <w:rPr>
                <w:spacing w:val="-4"/>
                <w:sz w:val="20"/>
              </w:rPr>
              <w:t> </w:t>
            </w:r>
            <w:r>
              <w:rPr>
                <w:sz w:val="20"/>
              </w:rPr>
              <w:t>PK</w:t>
            </w:r>
            <w:r>
              <w:rPr>
                <w:spacing w:val="-4"/>
                <w:sz w:val="20"/>
              </w:rPr>
              <w:t> </w:t>
            </w:r>
            <w:r>
              <w:rPr>
                <w:sz w:val="20"/>
              </w:rPr>
              <w:t>and/or</w:t>
            </w:r>
            <w:r>
              <w:rPr>
                <w:spacing w:val="-5"/>
                <w:sz w:val="20"/>
              </w:rPr>
              <w:t> </w:t>
            </w:r>
            <w:r>
              <w:rPr>
                <w:sz w:val="20"/>
              </w:rPr>
              <w:t>PD</w:t>
            </w:r>
            <w:r>
              <w:rPr>
                <w:spacing w:val="-4"/>
                <w:sz w:val="20"/>
              </w:rPr>
              <w:t> </w:t>
            </w:r>
            <w:r>
              <w:rPr>
                <w:sz w:val="20"/>
              </w:rPr>
              <w:t>analysis</w:t>
            </w:r>
            <w:r>
              <w:rPr>
                <w:spacing w:val="-5"/>
                <w:sz w:val="20"/>
              </w:rPr>
              <w:t> </w:t>
            </w:r>
            <w:r>
              <w:rPr>
                <w:sz w:val="20"/>
              </w:rPr>
              <w:t>in</w:t>
            </w:r>
            <w:r>
              <w:rPr>
                <w:spacing w:val="-5"/>
                <w:sz w:val="20"/>
              </w:rPr>
              <w:t> </w:t>
            </w:r>
            <w:r>
              <w:rPr>
                <w:sz w:val="20"/>
              </w:rPr>
              <w:t>accordance</w:t>
            </w:r>
            <w:r>
              <w:rPr>
                <w:spacing w:val="-5"/>
                <w:sz w:val="20"/>
              </w:rPr>
              <w:t> </w:t>
            </w:r>
            <w:r>
              <w:rPr>
                <w:sz w:val="20"/>
              </w:rPr>
              <w:t>with</w:t>
            </w:r>
            <w:r>
              <w:rPr>
                <w:spacing w:val="-5"/>
                <w:sz w:val="20"/>
              </w:rPr>
              <w:t> </w:t>
            </w:r>
            <w:r>
              <w:rPr>
                <w:sz w:val="20"/>
              </w:rPr>
              <w:t>the</w:t>
            </w:r>
            <w:r>
              <w:rPr>
                <w:spacing w:val="-5"/>
                <w:sz w:val="20"/>
              </w:rPr>
              <w:t> </w:t>
            </w:r>
            <w:r>
              <w:rPr>
                <w:sz w:val="20"/>
              </w:rPr>
              <w:t>conventions described in PI_WI_PK0202.</w:t>
            </w:r>
          </w:p>
          <w:p>
            <w:pPr>
              <w:pStyle w:val="TableParagraph"/>
              <w:spacing w:before="11"/>
              <w:ind w:left="0"/>
              <w:rPr>
                <w:sz w:val="25"/>
              </w:rPr>
            </w:pPr>
          </w:p>
          <w:p>
            <w:pPr>
              <w:pStyle w:val="TableParagraph"/>
              <w:spacing w:before="0"/>
              <w:ind w:left="104"/>
              <w:rPr>
                <w:sz w:val="20"/>
              </w:rPr>
            </w:pPr>
            <w:r>
              <w:rPr>
                <w:b/>
                <w:sz w:val="20"/>
              </w:rPr>
              <w:t>Note:</w:t>
            </w:r>
            <w:r>
              <w:rPr>
                <w:b/>
                <w:spacing w:val="47"/>
                <w:sz w:val="20"/>
              </w:rPr>
              <w:t> </w:t>
            </w:r>
            <w:r>
              <w:rPr>
                <w:sz w:val="20"/>
              </w:rPr>
              <w:t>Interim</w:t>
            </w:r>
            <w:r>
              <w:rPr>
                <w:spacing w:val="-6"/>
                <w:sz w:val="20"/>
              </w:rPr>
              <w:t> </w:t>
            </w:r>
            <w:r>
              <w:rPr>
                <w:sz w:val="20"/>
              </w:rPr>
              <w:t>analyses</w:t>
            </w:r>
            <w:r>
              <w:rPr>
                <w:spacing w:val="-5"/>
                <w:sz w:val="20"/>
              </w:rPr>
              <w:t> </w:t>
            </w:r>
            <w:r>
              <w:rPr>
                <w:sz w:val="20"/>
              </w:rPr>
              <w:t>may</w:t>
            </w:r>
            <w:r>
              <w:rPr>
                <w:spacing w:val="-6"/>
                <w:sz w:val="20"/>
              </w:rPr>
              <w:t> </w:t>
            </w:r>
            <w:r>
              <w:rPr>
                <w:sz w:val="20"/>
              </w:rPr>
              <w:t>be</w:t>
            </w:r>
            <w:r>
              <w:rPr>
                <w:spacing w:val="-5"/>
                <w:sz w:val="20"/>
              </w:rPr>
              <w:t> </w:t>
            </w:r>
            <w:r>
              <w:rPr>
                <w:sz w:val="20"/>
              </w:rPr>
              <w:t>exempt</w:t>
            </w:r>
            <w:r>
              <w:rPr>
                <w:spacing w:val="-6"/>
                <w:sz w:val="20"/>
              </w:rPr>
              <w:t> </w:t>
            </w:r>
            <w:r>
              <w:rPr>
                <w:sz w:val="20"/>
              </w:rPr>
              <w:t>from</w:t>
            </w:r>
            <w:r>
              <w:rPr>
                <w:spacing w:val="-5"/>
                <w:sz w:val="20"/>
              </w:rPr>
              <w:t> </w:t>
            </w:r>
            <w:r>
              <w:rPr>
                <w:sz w:val="20"/>
              </w:rPr>
              <w:t>this</w:t>
            </w:r>
            <w:r>
              <w:rPr>
                <w:spacing w:val="-5"/>
                <w:sz w:val="20"/>
              </w:rPr>
              <w:t> </w:t>
            </w:r>
            <w:r>
              <w:rPr>
                <w:spacing w:val="-2"/>
                <w:sz w:val="20"/>
              </w:rPr>
              <w:t>step.</w:t>
            </w:r>
          </w:p>
        </w:tc>
        <w:tc>
          <w:tcPr>
            <w:tcW w:w="1843" w:type="dxa"/>
          </w:tcPr>
          <w:p>
            <w:pPr>
              <w:pStyle w:val="TableParagraph"/>
              <w:spacing w:before="0"/>
              <w:ind w:left="104"/>
              <w:rPr>
                <w:sz w:val="20"/>
              </w:rPr>
            </w:pPr>
            <w:r>
              <w:rPr>
                <w:sz w:val="20"/>
              </w:rPr>
              <w:t>When</w:t>
            </w:r>
            <w:r>
              <w:rPr>
                <w:spacing w:val="-14"/>
                <w:sz w:val="20"/>
              </w:rPr>
              <w:t> </w:t>
            </w:r>
            <w:r>
              <w:rPr>
                <w:sz w:val="20"/>
              </w:rPr>
              <w:t>directed</w:t>
            </w:r>
            <w:r>
              <w:rPr>
                <w:spacing w:val="-14"/>
                <w:sz w:val="20"/>
              </w:rPr>
              <w:t> </w:t>
            </w:r>
            <w:r>
              <w:rPr>
                <w:sz w:val="20"/>
              </w:rPr>
              <w:t>by </w:t>
            </w:r>
            <w:r>
              <w:rPr>
                <w:spacing w:val="-4"/>
                <w:sz w:val="20"/>
              </w:rPr>
              <w:t>PKS</w:t>
            </w:r>
          </w:p>
        </w:tc>
      </w:tr>
    </w:tbl>
    <w:p>
      <w:pPr>
        <w:pStyle w:val="BodyText"/>
        <w:spacing w:before="7"/>
        <w:rPr>
          <w:sz w:val="20"/>
        </w:rPr>
      </w:pPr>
    </w:p>
    <w:p>
      <w:pPr>
        <w:pStyle w:val="Heading2"/>
        <w:numPr>
          <w:ilvl w:val="1"/>
          <w:numId w:val="1"/>
        </w:numPr>
        <w:tabs>
          <w:tab w:pos="1979" w:val="left" w:leader="none"/>
          <w:tab w:pos="1980" w:val="left" w:leader="none"/>
        </w:tabs>
        <w:spacing w:line="240" w:lineRule="auto" w:before="0" w:after="0"/>
        <w:ind w:left="1980" w:right="1899" w:hanging="720"/>
        <w:jc w:val="left"/>
      </w:pPr>
      <w:bookmarkStart w:name="Generation of Post-Analysis SAS Transfer" w:id="9"/>
      <w:bookmarkEnd w:id="9"/>
      <w:r>
        <w:rPr/>
        <w:t>Generatio</w:t>
      </w:r>
      <w:r>
        <w:rPr/>
        <w:t>n</w:t>
      </w:r>
      <w:r>
        <w:rPr>
          <w:spacing w:val="-6"/>
        </w:rPr>
        <w:t> </w:t>
      </w:r>
      <w:r>
        <w:rPr/>
        <w:t>of</w:t>
      </w:r>
      <w:r>
        <w:rPr>
          <w:spacing w:val="-6"/>
        </w:rPr>
        <w:t> </w:t>
      </w:r>
      <w:r>
        <w:rPr/>
        <w:t>Post-Analysis</w:t>
      </w:r>
      <w:r>
        <w:rPr>
          <w:spacing w:val="-3"/>
        </w:rPr>
        <w:t> </w:t>
      </w:r>
      <w:r>
        <w:rPr/>
        <w:t>SAS</w:t>
      </w:r>
      <w:r>
        <w:rPr>
          <w:spacing w:val="-6"/>
        </w:rPr>
        <w:t> </w:t>
      </w:r>
      <w:r>
        <w:rPr/>
        <w:t>Transfer</w:t>
      </w:r>
      <w:r>
        <w:rPr>
          <w:spacing w:val="-5"/>
        </w:rPr>
        <w:t> </w:t>
      </w:r>
      <w:r>
        <w:rPr/>
        <w:t>Files</w:t>
      </w:r>
      <w:r>
        <w:rPr>
          <w:spacing w:val="-8"/>
        </w:rPr>
        <w:t> </w:t>
      </w:r>
      <w:r>
        <w:rPr/>
        <w:t>and</w:t>
      </w:r>
      <w:r>
        <w:rPr>
          <w:spacing w:val="-6"/>
        </w:rPr>
        <w:t> </w:t>
      </w:r>
      <w:r>
        <w:rPr/>
        <w:t>Review</w:t>
      </w:r>
      <w:r>
        <w:rPr>
          <w:spacing w:val="-6"/>
        </w:rPr>
        <w:t> </w:t>
      </w:r>
      <w:r>
        <w:rPr/>
        <w:t>of Biostatistical Outputs</w:t>
      </w:r>
    </w:p>
    <w:p>
      <w:pPr>
        <w:pStyle w:val="BodyText"/>
        <w:spacing w:before="123"/>
        <w:ind w:left="1980" w:right="490"/>
      </w:pPr>
      <w:r>
        <w:rPr/>
        <w:t>For</w:t>
      </w:r>
      <w:r>
        <w:rPr>
          <w:spacing w:val="-2"/>
        </w:rPr>
        <w:t> </w:t>
      </w:r>
      <w:r>
        <w:rPr/>
        <w:t>results</w:t>
      </w:r>
      <w:r>
        <w:rPr>
          <w:spacing w:val="-2"/>
        </w:rPr>
        <w:t> </w:t>
      </w:r>
      <w:r>
        <w:rPr/>
        <w:t>generated</w:t>
      </w:r>
      <w:r>
        <w:rPr>
          <w:spacing w:val="-2"/>
        </w:rPr>
        <w:t> </w:t>
      </w:r>
      <w:r>
        <w:rPr/>
        <w:t>from</w:t>
      </w:r>
      <w:r>
        <w:rPr>
          <w:spacing w:val="-2"/>
        </w:rPr>
        <w:t> </w:t>
      </w:r>
      <w:r>
        <w:rPr/>
        <w:t>WinNonlin,</w:t>
      </w:r>
      <w:r>
        <w:rPr>
          <w:spacing w:val="-2"/>
        </w:rPr>
        <w:t> </w:t>
      </w:r>
      <w:r>
        <w:rPr/>
        <w:t>export</w:t>
      </w:r>
      <w:r>
        <w:rPr>
          <w:spacing w:val="-1"/>
        </w:rPr>
        <w:t> </w:t>
      </w:r>
      <w:r>
        <w:rPr/>
        <w:t>of</w:t>
      </w:r>
      <w:r>
        <w:rPr>
          <w:spacing w:val="-2"/>
        </w:rPr>
        <w:t> </w:t>
      </w:r>
      <w:r>
        <w:rPr/>
        <w:t>data</w:t>
      </w:r>
      <w:r>
        <w:rPr>
          <w:spacing w:val="-2"/>
        </w:rPr>
        <w:t> </w:t>
      </w:r>
      <w:r>
        <w:rPr/>
        <w:t>in</w:t>
      </w:r>
      <w:r>
        <w:rPr>
          <w:spacing w:val="-2"/>
        </w:rPr>
        <w:t> </w:t>
      </w:r>
      <w:r>
        <w:rPr/>
        <w:t>the</w:t>
      </w:r>
      <w:r>
        <w:rPr>
          <w:spacing w:val="-2"/>
        </w:rPr>
        <w:t> </w:t>
      </w:r>
      <w:r>
        <w:rPr/>
        <w:t>form</w:t>
      </w:r>
      <w:r>
        <w:rPr>
          <w:spacing w:val="-2"/>
        </w:rPr>
        <w:t> </w:t>
      </w:r>
      <w:r>
        <w:rPr/>
        <w:t>of</w:t>
      </w:r>
      <w:r>
        <w:rPr>
          <w:spacing w:val="-2"/>
        </w:rPr>
        <w:t> </w:t>
      </w:r>
      <w:r>
        <w:rPr/>
        <w:t>SAS</w:t>
      </w:r>
      <w:r>
        <w:rPr>
          <w:spacing w:val="-2"/>
        </w:rPr>
        <w:t> </w:t>
      </w:r>
      <w:r>
        <w:rPr/>
        <w:t>readable files is required in order to perform the statistical analyses on PK and/or PD parameters. Two types of datasets are typically generated in the post-analysis process and provided to the biostatistician/programmer (internal or external) for further</w:t>
      </w:r>
      <w:r>
        <w:rPr>
          <w:spacing w:val="-4"/>
        </w:rPr>
        <w:t> </w:t>
      </w:r>
      <w:r>
        <w:rPr/>
        <w:t>processing:</w:t>
      </w:r>
      <w:r>
        <w:rPr>
          <w:spacing w:val="-7"/>
        </w:rPr>
        <w:t> </w:t>
      </w:r>
      <w:r>
        <w:rPr/>
        <w:t>postWinNonlin</w:t>
      </w:r>
      <w:r>
        <w:rPr>
          <w:spacing w:val="-6"/>
        </w:rPr>
        <w:t> </w:t>
      </w:r>
      <w:r>
        <w:rPr/>
        <w:t>dataset</w:t>
      </w:r>
      <w:r>
        <w:rPr>
          <w:spacing w:val="-5"/>
        </w:rPr>
        <w:t> </w:t>
      </w:r>
      <w:r>
        <w:rPr/>
        <w:t>and</w:t>
      </w:r>
      <w:r>
        <w:rPr>
          <w:spacing w:val="-5"/>
        </w:rPr>
        <w:t> </w:t>
      </w:r>
      <w:r>
        <w:rPr/>
        <w:t>postWinNonlin</w:t>
      </w:r>
      <w:r>
        <w:rPr>
          <w:spacing w:val="-5"/>
        </w:rPr>
        <w:t> </w:t>
      </w:r>
      <w:r>
        <w:rPr/>
        <w:t>parameter</w:t>
      </w:r>
      <w:r>
        <w:rPr>
          <w:spacing w:val="-5"/>
        </w:rPr>
        <w:t> </w:t>
      </w:r>
      <w:r>
        <w:rPr/>
        <w:t>dataset.</w:t>
      </w:r>
    </w:p>
    <w:p>
      <w:pPr>
        <w:pStyle w:val="BodyText"/>
        <w:spacing w:before="122"/>
        <w:ind w:left="1979" w:right="490"/>
      </w:pPr>
      <w:r>
        <w:rPr/>
        <w:t>The PKS will review appropriate outputs (eg, tables, listings, and figures or alternative</w:t>
      </w:r>
      <w:r>
        <w:rPr>
          <w:spacing w:val="-4"/>
        </w:rPr>
        <w:t> </w:t>
      </w:r>
      <w:r>
        <w:rPr/>
        <w:t>datasets)</w:t>
      </w:r>
      <w:r>
        <w:rPr>
          <w:spacing w:val="-4"/>
        </w:rPr>
        <w:t> </w:t>
      </w:r>
      <w:r>
        <w:rPr/>
        <w:t>to</w:t>
      </w:r>
      <w:r>
        <w:rPr>
          <w:spacing w:val="-4"/>
        </w:rPr>
        <w:t> </w:t>
      </w:r>
      <w:r>
        <w:rPr/>
        <w:t>verify</w:t>
      </w:r>
      <w:r>
        <w:rPr>
          <w:spacing w:val="-4"/>
        </w:rPr>
        <w:t> </w:t>
      </w:r>
      <w:r>
        <w:rPr/>
        <w:t>that</w:t>
      </w:r>
      <w:r>
        <w:rPr>
          <w:spacing w:val="-4"/>
        </w:rPr>
        <w:t> </w:t>
      </w:r>
      <w:r>
        <w:rPr/>
        <w:t>instructions</w:t>
      </w:r>
      <w:r>
        <w:rPr>
          <w:spacing w:val="-4"/>
        </w:rPr>
        <w:t> </w:t>
      </w:r>
      <w:r>
        <w:rPr/>
        <w:t>are</w:t>
      </w:r>
      <w:r>
        <w:rPr>
          <w:spacing w:val="-4"/>
        </w:rPr>
        <w:t> </w:t>
      </w:r>
      <w:r>
        <w:rPr/>
        <w:t>understood</w:t>
      </w:r>
      <w:r>
        <w:rPr>
          <w:spacing w:val="-4"/>
        </w:rPr>
        <w:t> </w:t>
      </w:r>
      <w:r>
        <w:rPr/>
        <w:t>and</w:t>
      </w:r>
      <w:r>
        <w:rPr>
          <w:spacing w:val="-4"/>
        </w:rPr>
        <w:t> </w:t>
      </w:r>
      <w:r>
        <w:rPr/>
        <w:t>the</w:t>
      </w:r>
      <w:r>
        <w:rPr>
          <w:spacing w:val="-4"/>
        </w:rPr>
        <w:t> </w:t>
      </w:r>
      <w:r>
        <w:rPr/>
        <w:t>PK</w:t>
      </w:r>
      <w:r>
        <w:rPr>
          <w:spacing w:val="-4"/>
        </w:rPr>
        <w:t> </w:t>
      </w:r>
      <w:r>
        <w:rPr/>
        <w:t>and/or PD results are correctly displayed in the biostatistical outputs (if within IQVIA </w:t>
      </w:r>
      <w:r>
        <w:rPr>
          <w:spacing w:val="-2"/>
        </w:rPr>
        <w:t>scope).</w:t>
      </w:r>
    </w:p>
    <w:p>
      <w:pPr>
        <w:pStyle w:val="BodyText"/>
        <w:spacing w:before="121"/>
        <w:ind w:left="1979"/>
      </w:pPr>
      <w:r>
        <w:rPr/>
        <w:t>The</w:t>
      </w:r>
      <w:r>
        <w:rPr>
          <w:spacing w:val="-7"/>
        </w:rPr>
        <w:t> </w:t>
      </w:r>
      <w:r>
        <w:rPr/>
        <w:t>following</w:t>
      </w:r>
      <w:r>
        <w:rPr>
          <w:spacing w:val="-5"/>
        </w:rPr>
        <w:t> </w:t>
      </w:r>
      <w:r>
        <w:rPr/>
        <w:t>steps</w:t>
      </w:r>
      <w:r>
        <w:rPr>
          <w:spacing w:val="-5"/>
        </w:rPr>
        <w:t> </w:t>
      </w:r>
      <w:r>
        <w:rPr/>
        <w:t>apply</w:t>
      </w:r>
      <w:r>
        <w:rPr>
          <w:spacing w:val="-5"/>
        </w:rPr>
        <w:t> </w:t>
      </w:r>
      <w:r>
        <w:rPr/>
        <w:t>to</w:t>
      </w:r>
      <w:r>
        <w:rPr>
          <w:spacing w:val="-5"/>
        </w:rPr>
        <w:t> </w:t>
      </w:r>
      <w:r>
        <w:rPr/>
        <w:t>generation</w:t>
      </w:r>
      <w:r>
        <w:rPr>
          <w:spacing w:val="-5"/>
        </w:rPr>
        <w:t> </w:t>
      </w:r>
      <w:r>
        <w:rPr/>
        <w:t>of</w:t>
      </w:r>
      <w:r>
        <w:rPr>
          <w:spacing w:val="-4"/>
        </w:rPr>
        <w:t> </w:t>
      </w:r>
      <w:r>
        <w:rPr/>
        <w:t>the</w:t>
      </w:r>
      <w:r>
        <w:rPr>
          <w:spacing w:val="-5"/>
        </w:rPr>
        <w:t> </w:t>
      </w:r>
      <w:r>
        <w:rPr/>
        <w:t>transfer</w:t>
      </w:r>
      <w:r>
        <w:rPr>
          <w:spacing w:val="-5"/>
        </w:rPr>
        <w:t> </w:t>
      </w:r>
      <w:r>
        <w:rPr/>
        <w:t>files</w:t>
      </w:r>
      <w:r>
        <w:rPr>
          <w:spacing w:val="-5"/>
        </w:rPr>
        <w:t> </w:t>
      </w:r>
      <w:r>
        <w:rPr/>
        <w:t>and</w:t>
      </w:r>
      <w:r>
        <w:rPr>
          <w:spacing w:val="-5"/>
        </w:rPr>
        <w:t> </w:t>
      </w:r>
      <w:r>
        <w:rPr/>
        <w:t>review</w:t>
      </w:r>
      <w:r>
        <w:rPr>
          <w:spacing w:val="-5"/>
        </w:rPr>
        <w:t> </w:t>
      </w:r>
      <w:r>
        <w:rPr/>
        <w:t>of</w:t>
      </w:r>
      <w:r>
        <w:rPr>
          <w:spacing w:val="-4"/>
        </w:rPr>
        <w:t> </w:t>
      </w:r>
      <w:r>
        <w:rPr>
          <w:spacing w:val="-2"/>
        </w:rPr>
        <w:t>outputs:</w:t>
      </w:r>
    </w:p>
    <w:p>
      <w:pPr>
        <w:pStyle w:val="BodyText"/>
        <w:spacing w:before="6"/>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2001" w:hRule="atLeast"/>
        </w:trPr>
        <w:tc>
          <w:tcPr>
            <w:tcW w:w="797" w:type="dxa"/>
          </w:tcPr>
          <w:p>
            <w:pPr>
              <w:pStyle w:val="TableParagraph"/>
              <w:spacing w:before="47"/>
              <w:ind w:left="110"/>
              <w:rPr>
                <w:b/>
                <w:sz w:val="20"/>
              </w:rPr>
            </w:pPr>
            <w:r>
              <w:rPr>
                <w:b/>
                <w:spacing w:val="-2"/>
                <w:sz w:val="20"/>
              </w:rPr>
              <w:t>6.3.1</w:t>
            </w:r>
          </w:p>
        </w:tc>
        <w:tc>
          <w:tcPr>
            <w:tcW w:w="1162" w:type="dxa"/>
          </w:tcPr>
          <w:p>
            <w:pPr>
              <w:pStyle w:val="TableParagraph"/>
              <w:spacing w:before="47"/>
              <w:ind w:left="110"/>
              <w:rPr>
                <w:sz w:val="20"/>
              </w:rPr>
            </w:pPr>
            <w:r>
              <w:rPr>
                <w:spacing w:val="-5"/>
                <w:sz w:val="20"/>
              </w:rPr>
              <w:t>PKS</w:t>
            </w:r>
          </w:p>
        </w:tc>
        <w:tc>
          <w:tcPr>
            <w:tcW w:w="6264" w:type="dxa"/>
          </w:tcPr>
          <w:p>
            <w:pPr>
              <w:pStyle w:val="TableParagraph"/>
              <w:spacing w:before="42"/>
              <w:ind w:left="104" w:right="184"/>
              <w:rPr>
                <w:sz w:val="20"/>
              </w:rPr>
            </w:pPr>
            <w:r>
              <w:rPr>
                <w:sz w:val="20"/>
              </w:rPr>
              <w:t>Provides postWinNonlin dataset and postWinNonlin parameter dataset</w:t>
            </w:r>
            <w:r>
              <w:rPr>
                <w:spacing w:val="-5"/>
                <w:sz w:val="20"/>
              </w:rPr>
              <w:t> </w:t>
            </w:r>
            <w:r>
              <w:rPr>
                <w:sz w:val="20"/>
              </w:rPr>
              <w:t>exported</w:t>
            </w:r>
            <w:r>
              <w:rPr>
                <w:spacing w:val="-5"/>
                <w:sz w:val="20"/>
              </w:rPr>
              <w:t> </w:t>
            </w:r>
            <w:r>
              <w:rPr>
                <w:sz w:val="20"/>
              </w:rPr>
              <w:t>as</w:t>
            </w:r>
            <w:r>
              <w:rPr>
                <w:spacing w:val="-5"/>
                <w:sz w:val="20"/>
              </w:rPr>
              <w:t> </w:t>
            </w:r>
            <w:r>
              <w:rPr>
                <w:sz w:val="20"/>
              </w:rPr>
              <w:t>SAS-readable</w:t>
            </w:r>
            <w:r>
              <w:rPr>
                <w:spacing w:val="-8"/>
                <w:sz w:val="20"/>
              </w:rPr>
              <w:t> </w:t>
            </w:r>
            <w:r>
              <w:rPr>
                <w:sz w:val="20"/>
              </w:rPr>
              <w:t>files</w:t>
            </w:r>
            <w:r>
              <w:rPr>
                <w:spacing w:val="-5"/>
                <w:sz w:val="20"/>
              </w:rPr>
              <w:t> </w:t>
            </w:r>
            <w:r>
              <w:rPr>
                <w:sz w:val="20"/>
              </w:rPr>
              <w:t>(as</w:t>
            </w:r>
            <w:r>
              <w:rPr>
                <w:spacing w:val="-5"/>
                <w:sz w:val="20"/>
              </w:rPr>
              <w:t> </w:t>
            </w:r>
            <w:r>
              <w:rPr>
                <w:sz w:val="20"/>
              </w:rPr>
              <w:t>applicable,</w:t>
            </w:r>
            <w:r>
              <w:rPr>
                <w:spacing w:val="-9"/>
                <w:sz w:val="20"/>
              </w:rPr>
              <w:t> </w:t>
            </w:r>
            <w:r>
              <w:rPr>
                <w:sz w:val="20"/>
              </w:rPr>
              <w:t>either</w:t>
            </w:r>
            <w:r>
              <w:rPr>
                <w:spacing w:val="-2"/>
                <w:sz w:val="20"/>
              </w:rPr>
              <w:t> </w:t>
            </w:r>
            <w:r>
              <w:rPr>
                <w:sz w:val="20"/>
              </w:rPr>
              <w:t>as SAS transport [.xpt] files [preferred] or in some cases comma separated value [.csv] or Excel files) to the IQVIA programmer/biostatistician for further processing.</w:t>
            </w:r>
          </w:p>
          <w:p>
            <w:pPr>
              <w:pStyle w:val="TableParagraph"/>
              <w:spacing w:before="6"/>
              <w:ind w:left="0"/>
              <w:rPr>
                <w:sz w:val="26"/>
              </w:rPr>
            </w:pPr>
          </w:p>
          <w:p>
            <w:pPr>
              <w:pStyle w:val="TableParagraph"/>
              <w:spacing w:line="244" w:lineRule="auto" w:before="0"/>
              <w:ind w:left="104" w:right="184"/>
              <w:rPr>
                <w:sz w:val="20"/>
              </w:rPr>
            </w:pPr>
            <w:r>
              <w:rPr>
                <w:b/>
                <w:sz w:val="20"/>
              </w:rPr>
              <w:t>Note:</w:t>
            </w:r>
            <w:r>
              <w:rPr>
                <w:b/>
                <w:spacing w:val="40"/>
                <w:sz w:val="20"/>
              </w:rPr>
              <w:t> </w:t>
            </w:r>
            <w:r>
              <w:rPr>
                <w:sz w:val="20"/>
              </w:rPr>
              <w:t>The</w:t>
            </w:r>
            <w:r>
              <w:rPr>
                <w:spacing w:val="-4"/>
                <w:sz w:val="20"/>
              </w:rPr>
              <w:t> </w:t>
            </w:r>
            <w:r>
              <w:rPr>
                <w:sz w:val="20"/>
              </w:rPr>
              <w:t>data</w:t>
            </w:r>
            <w:r>
              <w:rPr>
                <w:spacing w:val="-4"/>
                <w:sz w:val="20"/>
              </w:rPr>
              <w:t> </w:t>
            </w:r>
            <w:r>
              <w:rPr>
                <w:sz w:val="20"/>
              </w:rPr>
              <w:t>files</w:t>
            </w:r>
            <w:r>
              <w:rPr>
                <w:spacing w:val="-3"/>
                <w:sz w:val="20"/>
              </w:rPr>
              <w:t> </w:t>
            </w:r>
            <w:r>
              <w:rPr>
                <w:sz w:val="20"/>
              </w:rPr>
              <w:t>generated</w:t>
            </w:r>
            <w:r>
              <w:rPr>
                <w:spacing w:val="-4"/>
                <w:sz w:val="20"/>
              </w:rPr>
              <w:t> </w:t>
            </w:r>
            <w:r>
              <w:rPr>
                <w:sz w:val="20"/>
              </w:rPr>
              <w:t>in</w:t>
            </w:r>
            <w:r>
              <w:rPr>
                <w:spacing w:val="-4"/>
                <w:sz w:val="20"/>
              </w:rPr>
              <w:t> </w:t>
            </w:r>
            <w:r>
              <w:rPr>
                <w:sz w:val="20"/>
              </w:rPr>
              <w:t>WinNonlin</w:t>
            </w:r>
            <w:r>
              <w:rPr>
                <w:spacing w:val="-7"/>
                <w:sz w:val="20"/>
              </w:rPr>
              <w:t> </w:t>
            </w:r>
            <w:r>
              <w:rPr>
                <w:sz w:val="20"/>
              </w:rPr>
              <w:t>may</w:t>
            </w:r>
            <w:r>
              <w:rPr>
                <w:spacing w:val="-4"/>
                <w:sz w:val="20"/>
              </w:rPr>
              <w:t> </w:t>
            </w:r>
            <w:r>
              <w:rPr>
                <w:sz w:val="20"/>
              </w:rPr>
              <w:t>also</w:t>
            </w:r>
            <w:r>
              <w:rPr>
                <w:spacing w:val="-4"/>
                <w:sz w:val="20"/>
              </w:rPr>
              <w:t> </w:t>
            </w:r>
            <w:r>
              <w:rPr>
                <w:sz w:val="20"/>
              </w:rPr>
              <w:t>be</w:t>
            </w:r>
            <w:r>
              <w:rPr>
                <w:spacing w:val="-4"/>
                <w:sz w:val="20"/>
              </w:rPr>
              <w:t> </w:t>
            </w:r>
            <w:r>
              <w:rPr>
                <w:sz w:val="20"/>
              </w:rPr>
              <w:t>provided to the Sponsor or a contracted external provider.</w:t>
            </w:r>
          </w:p>
        </w:tc>
        <w:tc>
          <w:tcPr>
            <w:tcW w:w="1843" w:type="dxa"/>
          </w:tcPr>
          <w:p>
            <w:pPr>
              <w:pStyle w:val="TableParagraph"/>
              <w:spacing w:before="0"/>
              <w:rPr>
                <w:sz w:val="20"/>
              </w:rPr>
            </w:pPr>
            <w:r>
              <w:rPr>
                <w:sz w:val="20"/>
              </w:rPr>
              <w:t>Once</w:t>
            </w:r>
            <w:r>
              <w:rPr>
                <w:spacing w:val="-14"/>
                <w:sz w:val="20"/>
              </w:rPr>
              <w:t> </w:t>
            </w:r>
            <w:r>
              <w:rPr>
                <w:sz w:val="20"/>
              </w:rPr>
              <w:t>analysis</w:t>
            </w:r>
            <w:r>
              <w:rPr>
                <w:spacing w:val="-14"/>
                <w:sz w:val="20"/>
              </w:rPr>
              <w:t> </w:t>
            </w:r>
            <w:r>
              <w:rPr>
                <w:sz w:val="20"/>
              </w:rPr>
              <w:t>is considered final</w:t>
            </w:r>
          </w:p>
        </w:tc>
      </w:tr>
    </w:tbl>
    <w:p>
      <w:pPr>
        <w:spacing w:after="0"/>
        <w:rPr>
          <w:sz w:val="20"/>
        </w:rPr>
        <w:sectPr>
          <w:pgSz w:w="12240" w:h="15840"/>
          <w:pgMar w:header="725" w:footer="952" w:top="2520" w:bottom="114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690" w:hRule="atLeast"/>
        </w:trPr>
        <w:tc>
          <w:tcPr>
            <w:tcW w:w="797" w:type="dxa"/>
          </w:tcPr>
          <w:p>
            <w:pPr>
              <w:pStyle w:val="TableParagraph"/>
              <w:spacing w:before="47"/>
              <w:ind w:left="110"/>
              <w:rPr>
                <w:b/>
                <w:sz w:val="20"/>
              </w:rPr>
            </w:pPr>
            <w:r>
              <w:rPr>
                <w:b/>
                <w:spacing w:val="-2"/>
                <w:sz w:val="20"/>
              </w:rPr>
              <w:t>6.3.2</w:t>
            </w:r>
          </w:p>
        </w:tc>
        <w:tc>
          <w:tcPr>
            <w:tcW w:w="1162" w:type="dxa"/>
            <w:vMerge w:val="restart"/>
          </w:tcPr>
          <w:p>
            <w:pPr>
              <w:pStyle w:val="TableParagraph"/>
              <w:spacing w:before="0"/>
              <w:ind w:left="0"/>
              <w:rPr>
                <w:rFonts w:ascii="Times New Roman"/>
                <w:sz w:val="20"/>
              </w:rPr>
            </w:pPr>
          </w:p>
        </w:tc>
        <w:tc>
          <w:tcPr>
            <w:tcW w:w="6264" w:type="dxa"/>
          </w:tcPr>
          <w:p>
            <w:pPr>
              <w:pStyle w:val="TableParagraph"/>
              <w:spacing w:line="230" w:lineRule="exact" w:before="0"/>
              <w:ind w:left="104" w:right="184"/>
              <w:rPr>
                <w:sz w:val="20"/>
              </w:rPr>
            </w:pPr>
            <w:r>
              <w:rPr>
                <w:sz w:val="20"/>
              </w:rPr>
              <w:t>Provides</w:t>
            </w:r>
            <w:r>
              <w:rPr>
                <w:spacing w:val="-3"/>
                <w:sz w:val="20"/>
              </w:rPr>
              <w:t> </w:t>
            </w:r>
            <w:r>
              <w:rPr>
                <w:sz w:val="20"/>
              </w:rPr>
              <w:t>the</w:t>
            </w:r>
            <w:r>
              <w:rPr>
                <w:spacing w:val="-3"/>
                <w:sz w:val="20"/>
              </w:rPr>
              <w:t> </w:t>
            </w:r>
            <w:r>
              <w:rPr>
                <w:sz w:val="20"/>
              </w:rPr>
              <w:t>programmer</w:t>
            </w:r>
            <w:r>
              <w:rPr>
                <w:spacing w:val="-6"/>
                <w:sz w:val="20"/>
              </w:rPr>
              <w:t> </w:t>
            </w:r>
            <w:r>
              <w:rPr>
                <w:sz w:val="20"/>
              </w:rPr>
              <w:t>and/or</w:t>
            </w:r>
            <w:r>
              <w:rPr>
                <w:spacing w:val="-3"/>
                <w:sz w:val="20"/>
              </w:rPr>
              <w:t> </w:t>
            </w:r>
            <w:r>
              <w:rPr>
                <w:sz w:val="20"/>
              </w:rPr>
              <w:t>biostatistician</w:t>
            </w:r>
            <w:r>
              <w:rPr>
                <w:spacing w:val="-5"/>
                <w:sz w:val="20"/>
              </w:rPr>
              <w:t> </w:t>
            </w:r>
            <w:r>
              <w:rPr>
                <w:sz w:val="20"/>
              </w:rPr>
              <w:t>with</w:t>
            </w:r>
            <w:r>
              <w:rPr>
                <w:spacing w:val="-10"/>
                <w:sz w:val="20"/>
              </w:rPr>
              <w:t> </w:t>
            </w:r>
            <w:r>
              <w:rPr>
                <w:sz w:val="20"/>
              </w:rPr>
              <w:t>clear</w:t>
            </w:r>
            <w:r>
              <w:rPr>
                <w:spacing w:val="-5"/>
                <w:sz w:val="20"/>
              </w:rPr>
              <w:t> </w:t>
            </w:r>
            <w:r>
              <w:rPr>
                <w:sz w:val="20"/>
              </w:rPr>
              <w:t>directions for handling of data during statistical analyses, as described in Section 10 of PI_WI_PK0202.</w:t>
            </w:r>
          </w:p>
        </w:tc>
        <w:tc>
          <w:tcPr>
            <w:tcW w:w="1843" w:type="dxa"/>
          </w:tcPr>
          <w:p>
            <w:pPr>
              <w:pStyle w:val="TableParagraph"/>
              <w:spacing w:before="0"/>
              <w:ind w:left="0"/>
              <w:rPr>
                <w:rFonts w:ascii="Times New Roman"/>
                <w:sz w:val="20"/>
              </w:rPr>
            </w:pPr>
          </w:p>
        </w:tc>
      </w:tr>
      <w:tr>
        <w:trPr>
          <w:trHeight w:val="1540" w:hRule="atLeast"/>
        </w:trPr>
        <w:tc>
          <w:tcPr>
            <w:tcW w:w="797" w:type="dxa"/>
          </w:tcPr>
          <w:p>
            <w:pPr>
              <w:pStyle w:val="TableParagraph"/>
              <w:spacing w:before="42"/>
              <w:ind w:left="110"/>
              <w:rPr>
                <w:b/>
                <w:sz w:val="20"/>
              </w:rPr>
            </w:pPr>
            <w:r>
              <w:rPr>
                <w:b/>
                <w:spacing w:val="-2"/>
                <w:sz w:val="20"/>
              </w:rPr>
              <w:t>6.3.3</w:t>
            </w:r>
          </w:p>
        </w:tc>
        <w:tc>
          <w:tcPr>
            <w:tcW w:w="1162" w:type="dxa"/>
            <w:vMerge/>
            <w:tcBorders>
              <w:top w:val="nil"/>
            </w:tcBorders>
          </w:tcPr>
          <w:p>
            <w:pPr>
              <w:rPr>
                <w:sz w:val="2"/>
                <w:szCs w:val="2"/>
              </w:rPr>
            </w:pPr>
          </w:p>
        </w:tc>
        <w:tc>
          <w:tcPr>
            <w:tcW w:w="6264" w:type="dxa"/>
          </w:tcPr>
          <w:p>
            <w:pPr>
              <w:pStyle w:val="TableParagraph"/>
              <w:spacing w:line="244" w:lineRule="auto"/>
              <w:ind w:left="104" w:right="184"/>
              <w:rPr>
                <w:sz w:val="20"/>
              </w:rPr>
            </w:pPr>
            <w:r>
              <w:rPr>
                <w:sz w:val="20"/>
              </w:rPr>
              <w:t>If applicable, reviews post-analysis parameter calculations performed</w:t>
            </w:r>
            <w:r>
              <w:rPr>
                <w:spacing w:val="-5"/>
                <w:sz w:val="20"/>
              </w:rPr>
              <w:t> </w:t>
            </w:r>
            <w:r>
              <w:rPr>
                <w:sz w:val="20"/>
              </w:rPr>
              <w:t>by</w:t>
            </w:r>
            <w:r>
              <w:rPr>
                <w:spacing w:val="-7"/>
                <w:sz w:val="20"/>
              </w:rPr>
              <w:t> </w:t>
            </w:r>
            <w:r>
              <w:rPr>
                <w:sz w:val="20"/>
              </w:rPr>
              <w:t>the</w:t>
            </w:r>
            <w:r>
              <w:rPr>
                <w:spacing w:val="-7"/>
                <w:sz w:val="20"/>
              </w:rPr>
              <w:t> </w:t>
            </w:r>
            <w:r>
              <w:rPr>
                <w:sz w:val="20"/>
              </w:rPr>
              <w:t>programmer/biostatistician</w:t>
            </w:r>
            <w:r>
              <w:rPr>
                <w:spacing w:val="-4"/>
                <w:sz w:val="20"/>
              </w:rPr>
              <w:t> </w:t>
            </w:r>
            <w:r>
              <w:rPr>
                <w:sz w:val="20"/>
              </w:rPr>
              <w:t>outside</w:t>
            </w:r>
            <w:r>
              <w:rPr>
                <w:spacing w:val="-8"/>
                <w:sz w:val="20"/>
              </w:rPr>
              <w:t> </w:t>
            </w:r>
            <w:r>
              <w:rPr>
                <w:sz w:val="20"/>
              </w:rPr>
              <w:t>of</w:t>
            </w:r>
            <w:r>
              <w:rPr>
                <w:spacing w:val="-8"/>
                <w:sz w:val="20"/>
              </w:rPr>
              <w:t> </w:t>
            </w:r>
            <w:r>
              <w:rPr>
                <w:sz w:val="20"/>
              </w:rPr>
              <w:t>WinNonlin.</w:t>
            </w:r>
          </w:p>
          <w:p>
            <w:pPr>
              <w:pStyle w:val="TableParagraph"/>
              <w:spacing w:before="11"/>
              <w:ind w:left="0"/>
              <w:rPr>
                <w:sz w:val="25"/>
              </w:rPr>
            </w:pPr>
          </w:p>
          <w:p>
            <w:pPr>
              <w:pStyle w:val="TableParagraph"/>
              <w:spacing w:line="242" w:lineRule="auto" w:before="0"/>
              <w:ind w:left="104"/>
              <w:rPr>
                <w:sz w:val="20"/>
              </w:rPr>
            </w:pPr>
            <w:r>
              <w:rPr>
                <w:b/>
                <w:sz w:val="20"/>
              </w:rPr>
              <w:t>Note:</w:t>
            </w:r>
            <w:r>
              <w:rPr>
                <w:b/>
                <w:spacing w:val="40"/>
                <w:sz w:val="20"/>
              </w:rPr>
              <w:t> </w:t>
            </w:r>
            <w:r>
              <w:rPr>
                <w:sz w:val="20"/>
              </w:rPr>
              <w:t>The</w:t>
            </w:r>
            <w:r>
              <w:rPr>
                <w:spacing w:val="-5"/>
                <w:sz w:val="20"/>
              </w:rPr>
              <w:t> </w:t>
            </w:r>
            <w:r>
              <w:rPr>
                <w:sz w:val="20"/>
              </w:rPr>
              <w:t>preferred</w:t>
            </w:r>
            <w:r>
              <w:rPr>
                <w:spacing w:val="-5"/>
                <w:sz w:val="20"/>
              </w:rPr>
              <w:t> </w:t>
            </w:r>
            <w:r>
              <w:rPr>
                <w:sz w:val="20"/>
              </w:rPr>
              <w:t>method</w:t>
            </w:r>
            <w:r>
              <w:rPr>
                <w:spacing w:val="-5"/>
                <w:sz w:val="20"/>
              </w:rPr>
              <w:t> </w:t>
            </w:r>
            <w:r>
              <w:rPr>
                <w:sz w:val="20"/>
              </w:rPr>
              <w:t>for</w:t>
            </w:r>
            <w:r>
              <w:rPr>
                <w:spacing w:val="-5"/>
                <w:sz w:val="20"/>
              </w:rPr>
              <w:t> </w:t>
            </w:r>
            <w:r>
              <w:rPr>
                <w:sz w:val="20"/>
              </w:rPr>
              <w:t>parameter</w:t>
            </w:r>
            <w:r>
              <w:rPr>
                <w:spacing w:val="-5"/>
                <w:sz w:val="20"/>
              </w:rPr>
              <w:t> </w:t>
            </w:r>
            <w:r>
              <w:rPr>
                <w:sz w:val="20"/>
              </w:rPr>
              <w:t>calculations</w:t>
            </w:r>
            <w:r>
              <w:rPr>
                <w:spacing w:val="-2"/>
                <w:sz w:val="20"/>
              </w:rPr>
              <w:t> </w:t>
            </w:r>
            <w:r>
              <w:rPr>
                <w:sz w:val="20"/>
              </w:rPr>
              <w:t>that</w:t>
            </w:r>
            <w:r>
              <w:rPr>
                <w:spacing w:val="-4"/>
                <w:sz w:val="20"/>
              </w:rPr>
              <w:t> </w:t>
            </w:r>
            <w:r>
              <w:rPr>
                <w:sz w:val="20"/>
              </w:rPr>
              <w:t>are</w:t>
            </w:r>
            <w:r>
              <w:rPr>
                <w:spacing w:val="-4"/>
                <w:sz w:val="20"/>
              </w:rPr>
              <w:t> </w:t>
            </w:r>
            <w:r>
              <w:rPr>
                <w:sz w:val="20"/>
              </w:rPr>
              <w:t>not part of the standard WinNonlin output is the use of an appropriate functionality in WinNonlin.</w:t>
            </w:r>
          </w:p>
        </w:tc>
        <w:tc>
          <w:tcPr>
            <w:tcW w:w="1843" w:type="dxa"/>
            <w:vMerge w:val="restart"/>
          </w:tcPr>
          <w:p>
            <w:pPr>
              <w:pStyle w:val="TableParagraph"/>
              <w:ind w:right="228"/>
              <w:rPr>
                <w:sz w:val="20"/>
              </w:rPr>
            </w:pPr>
            <w:r>
              <w:rPr>
                <w:sz w:val="20"/>
              </w:rPr>
              <w:t>After receipt of the draft tables and</w:t>
            </w:r>
            <w:r>
              <w:rPr>
                <w:spacing w:val="-14"/>
                <w:sz w:val="20"/>
              </w:rPr>
              <w:t> </w:t>
            </w:r>
            <w:r>
              <w:rPr>
                <w:sz w:val="20"/>
              </w:rPr>
              <w:t>listings</w:t>
            </w:r>
            <w:r>
              <w:rPr>
                <w:spacing w:val="-14"/>
                <w:sz w:val="20"/>
              </w:rPr>
              <w:t> </w:t>
            </w:r>
            <w:r>
              <w:rPr>
                <w:sz w:val="20"/>
              </w:rPr>
              <w:t>from </w:t>
            </w:r>
            <w:r>
              <w:rPr>
                <w:spacing w:val="-2"/>
                <w:sz w:val="20"/>
              </w:rPr>
              <w:t>IQVIA</w:t>
            </w:r>
          </w:p>
          <w:p>
            <w:pPr>
              <w:pStyle w:val="TableParagraph"/>
              <w:spacing w:before="1"/>
              <w:ind w:right="228"/>
              <w:rPr>
                <w:sz w:val="20"/>
              </w:rPr>
            </w:pPr>
            <w:r>
              <w:rPr>
                <w:sz w:val="20"/>
              </w:rPr>
              <w:t>Biostatistics or </w:t>
            </w:r>
            <w:r>
              <w:rPr>
                <w:spacing w:val="-2"/>
                <w:sz w:val="20"/>
              </w:rPr>
              <w:t>contracted </w:t>
            </w:r>
            <w:r>
              <w:rPr>
                <w:sz w:val="20"/>
              </w:rPr>
              <w:t>external</w:t>
            </w:r>
            <w:r>
              <w:rPr>
                <w:spacing w:val="-14"/>
                <w:sz w:val="20"/>
              </w:rPr>
              <w:t> </w:t>
            </w:r>
            <w:r>
              <w:rPr>
                <w:sz w:val="20"/>
              </w:rPr>
              <w:t>provider</w:t>
            </w:r>
          </w:p>
        </w:tc>
      </w:tr>
      <w:tr>
        <w:trPr>
          <w:trHeight w:val="772" w:hRule="atLeast"/>
        </w:trPr>
        <w:tc>
          <w:tcPr>
            <w:tcW w:w="797" w:type="dxa"/>
          </w:tcPr>
          <w:p>
            <w:pPr>
              <w:pStyle w:val="TableParagraph"/>
              <w:spacing w:before="42"/>
              <w:ind w:left="110"/>
              <w:rPr>
                <w:b/>
                <w:sz w:val="20"/>
              </w:rPr>
            </w:pPr>
            <w:r>
              <w:rPr>
                <w:b/>
                <w:spacing w:val="-2"/>
                <w:sz w:val="20"/>
              </w:rPr>
              <w:t>6.3.4</w:t>
            </w:r>
          </w:p>
        </w:tc>
        <w:tc>
          <w:tcPr>
            <w:tcW w:w="1162" w:type="dxa"/>
            <w:vMerge/>
            <w:tcBorders>
              <w:top w:val="nil"/>
            </w:tcBorders>
          </w:tcPr>
          <w:p>
            <w:pPr>
              <w:rPr>
                <w:sz w:val="2"/>
                <w:szCs w:val="2"/>
              </w:rPr>
            </w:pPr>
          </w:p>
        </w:tc>
        <w:tc>
          <w:tcPr>
            <w:tcW w:w="6264" w:type="dxa"/>
          </w:tcPr>
          <w:p>
            <w:pPr>
              <w:pStyle w:val="TableParagraph"/>
              <w:ind w:left="104" w:right="184"/>
              <w:rPr>
                <w:sz w:val="20"/>
              </w:rPr>
            </w:pPr>
            <w:r>
              <w:rPr>
                <w:sz w:val="20"/>
              </w:rPr>
              <w:t>Verifies that format and content of the statistical outputs matches the</w:t>
            </w:r>
            <w:r>
              <w:rPr>
                <w:spacing w:val="-6"/>
                <w:sz w:val="20"/>
              </w:rPr>
              <w:t> </w:t>
            </w:r>
            <w:r>
              <w:rPr>
                <w:sz w:val="20"/>
              </w:rPr>
              <w:t>study-specific</w:t>
            </w:r>
            <w:r>
              <w:rPr>
                <w:spacing w:val="-6"/>
                <w:sz w:val="20"/>
              </w:rPr>
              <w:t> </w:t>
            </w:r>
            <w:r>
              <w:rPr>
                <w:sz w:val="20"/>
              </w:rPr>
              <w:t>specifications,</w:t>
            </w:r>
            <w:r>
              <w:rPr>
                <w:spacing w:val="-2"/>
                <w:sz w:val="20"/>
              </w:rPr>
              <w:t> </w:t>
            </w:r>
            <w:r>
              <w:rPr>
                <w:sz w:val="20"/>
              </w:rPr>
              <w:t>and</w:t>
            </w:r>
            <w:r>
              <w:rPr>
                <w:spacing w:val="-5"/>
                <w:sz w:val="20"/>
              </w:rPr>
              <w:t> </w:t>
            </w:r>
            <w:r>
              <w:rPr>
                <w:sz w:val="20"/>
              </w:rPr>
              <w:t>that</w:t>
            </w:r>
            <w:r>
              <w:rPr>
                <w:spacing w:val="-7"/>
                <w:sz w:val="20"/>
              </w:rPr>
              <w:t> </w:t>
            </w:r>
            <w:r>
              <w:rPr>
                <w:sz w:val="20"/>
              </w:rPr>
              <w:t>individual</w:t>
            </w:r>
            <w:r>
              <w:rPr>
                <w:spacing w:val="-6"/>
                <w:sz w:val="20"/>
              </w:rPr>
              <w:t> </w:t>
            </w:r>
            <w:r>
              <w:rPr>
                <w:sz w:val="20"/>
              </w:rPr>
              <w:t>data,</w:t>
            </w:r>
            <w:r>
              <w:rPr>
                <w:spacing w:val="-6"/>
                <w:sz w:val="20"/>
              </w:rPr>
              <w:t> </w:t>
            </w:r>
            <w:r>
              <w:rPr>
                <w:sz w:val="20"/>
              </w:rPr>
              <w:t>graphical outputs, and descriptive statistics presented meet expectations.</w:t>
            </w:r>
          </w:p>
        </w:tc>
        <w:tc>
          <w:tcPr>
            <w:tcW w:w="1843" w:type="dxa"/>
            <w:vMerge/>
            <w:tcBorders>
              <w:top w:val="nil"/>
            </w:tcBorders>
          </w:tcPr>
          <w:p>
            <w:pPr>
              <w:rPr>
                <w:sz w:val="2"/>
                <w:szCs w:val="2"/>
              </w:rPr>
            </w:pPr>
          </w:p>
        </w:tc>
      </w:tr>
    </w:tbl>
    <w:p>
      <w:pPr>
        <w:pStyle w:val="BodyText"/>
        <w:spacing w:before="5"/>
        <w:rPr>
          <w:sz w:val="12"/>
        </w:rPr>
      </w:pPr>
    </w:p>
    <w:p>
      <w:pPr>
        <w:pStyle w:val="Heading2"/>
        <w:numPr>
          <w:ilvl w:val="1"/>
          <w:numId w:val="1"/>
        </w:numPr>
        <w:tabs>
          <w:tab w:pos="1979" w:val="left" w:leader="none"/>
          <w:tab w:pos="1980" w:val="left" w:leader="none"/>
        </w:tabs>
        <w:spacing w:line="240" w:lineRule="auto" w:before="94" w:after="0"/>
        <w:ind w:left="1980" w:right="0" w:hanging="720"/>
        <w:jc w:val="left"/>
      </w:pPr>
      <w:bookmarkStart w:name="Rounding" w:id="10"/>
      <w:bookmarkEnd w:id="10"/>
      <w:r>
        <w:rPr>
          <w:spacing w:val="-2"/>
        </w:rPr>
        <w:t>Rounding</w:t>
      </w:r>
    </w:p>
    <w:p>
      <w:pPr>
        <w:pStyle w:val="BodyText"/>
        <w:spacing w:before="121"/>
        <w:ind w:left="1980" w:right="490"/>
      </w:pPr>
      <w:r>
        <w:rPr/>
        <w:t>All PK and PD variables received from sources outside the department shall be reported without rounding. These source data shall be used in all PK and PD parameter calculations without prior rounding. Derived PK/PD parameters are typically rounded for reporting purposes.</w:t>
      </w:r>
      <w:r>
        <w:rPr>
          <w:spacing w:val="40"/>
        </w:rPr>
        <w:t> </w:t>
      </w:r>
      <w:r>
        <w:rPr/>
        <w:t>The parameters may or may not be rounded</w:t>
      </w:r>
      <w:r>
        <w:rPr>
          <w:spacing w:val="-4"/>
        </w:rPr>
        <w:t> </w:t>
      </w:r>
      <w:r>
        <w:rPr/>
        <w:t>prior</w:t>
      </w:r>
      <w:r>
        <w:rPr>
          <w:spacing w:val="-4"/>
        </w:rPr>
        <w:t> </w:t>
      </w:r>
      <w:r>
        <w:rPr/>
        <w:t>to</w:t>
      </w:r>
      <w:r>
        <w:rPr>
          <w:spacing w:val="-4"/>
        </w:rPr>
        <w:t> </w:t>
      </w:r>
      <w:r>
        <w:rPr/>
        <w:t>statistical</w:t>
      </w:r>
      <w:r>
        <w:rPr>
          <w:spacing w:val="-4"/>
        </w:rPr>
        <w:t> </w:t>
      </w:r>
      <w:r>
        <w:rPr/>
        <w:t>analyses.</w:t>
      </w:r>
      <w:r>
        <w:rPr>
          <w:spacing w:val="-4"/>
        </w:rPr>
        <w:t> </w:t>
      </w:r>
      <w:r>
        <w:rPr/>
        <w:t>Rounding</w:t>
      </w:r>
      <w:r>
        <w:rPr>
          <w:spacing w:val="-4"/>
        </w:rPr>
        <w:t> </w:t>
      </w:r>
      <w:r>
        <w:rPr/>
        <w:t>for</w:t>
      </w:r>
      <w:r>
        <w:rPr>
          <w:spacing w:val="-4"/>
        </w:rPr>
        <w:t> </w:t>
      </w:r>
      <w:r>
        <w:rPr/>
        <w:t>derived</w:t>
      </w:r>
      <w:r>
        <w:rPr>
          <w:spacing w:val="-4"/>
        </w:rPr>
        <w:t> </w:t>
      </w:r>
      <w:r>
        <w:rPr/>
        <w:t>PK/PD</w:t>
      </w:r>
      <w:r>
        <w:rPr>
          <w:spacing w:val="-4"/>
        </w:rPr>
        <w:t> </w:t>
      </w:r>
      <w:r>
        <w:rPr/>
        <w:t>parameters</w:t>
      </w:r>
      <w:r>
        <w:rPr>
          <w:spacing w:val="-4"/>
        </w:rPr>
        <w:t> </w:t>
      </w:r>
      <w:r>
        <w:rPr/>
        <w:t>will follow study-specific instructions, or the conventions outlined in Work Instruction PI_WI_PK0202, Pharmacokinetic and Pharmacodynamic Analysis Procedures, when study-specific instructions are not available. The following steps apply to rounding procedures:</w:t>
      </w:r>
    </w:p>
    <w:p>
      <w:pPr>
        <w:pStyle w:val="BodyText"/>
        <w:spacing w:before="8" w:after="1"/>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690" w:hRule="atLeast"/>
        </w:trPr>
        <w:tc>
          <w:tcPr>
            <w:tcW w:w="797" w:type="dxa"/>
          </w:tcPr>
          <w:p>
            <w:pPr>
              <w:pStyle w:val="TableParagraph"/>
              <w:spacing w:before="47"/>
              <w:ind w:left="110"/>
              <w:rPr>
                <w:b/>
                <w:sz w:val="20"/>
              </w:rPr>
            </w:pPr>
            <w:r>
              <w:rPr>
                <w:b/>
                <w:spacing w:val="-2"/>
                <w:sz w:val="20"/>
              </w:rPr>
              <w:t>6.4.1</w:t>
            </w:r>
          </w:p>
        </w:tc>
        <w:tc>
          <w:tcPr>
            <w:tcW w:w="1162" w:type="dxa"/>
            <w:vMerge w:val="restart"/>
          </w:tcPr>
          <w:p>
            <w:pPr>
              <w:pStyle w:val="TableParagraph"/>
              <w:spacing w:before="47"/>
              <w:ind w:left="110"/>
              <w:rPr>
                <w:sz w:val="20"/>
              </w:rPr>
            </w:pPr>
            <w:r>
              <w:rPr>
                <w:spacing w:val="-5"/>
                <w:sz w:val="20"/>
              </w:rPr>
              <w:t>PKS</w:t>
            </w:r>
          </w:p>
        </w:tc>
        <w:tc>
          <w:tcPr>
            <w:tcW w:w="6264" w:type="dxa"/>
          </w:tcPr>
          <w:p>
            <w:pPr>
              <w:pStyle w:val="TableParagraph"/>
              <w:spacing w:line="230" w:lineRule="exact" w:before="0"/>
              <w:ind w:left="104"/>
              <w:rPr>
                <w:sz w:val="20"/>
              </w:rPr>
            </w:pPr>
            <w:r>
              <w:rPr>
                <w:sz w:val="20"/>
              </w:rPr>
              <w:t>As</w:t>
            </w:r>
            <w:r>
              <w:rPr>
                <w:spacing w:val="-4"/>
                <w:sz w:val="20"/>
              </w:rPr>
              <w:t> </w:t>
            </w:r>
            <w:r>
              <w:rPr>
                <w:sz w:val="20"/>
              </w:rPr>
              <w:t>part</w:t>
            </w:r>
            <w:r>
              <w:rPr>
                <w:spacing w:val="-4"/>
                <w:sz w:val="20"/>
              </w:rPr>
              <w:t> </w:t>
            </w:r>
            <w:r>
              <w:rPr>
                <w:sz w:val="20"/>
              </w:rPr>
              <w:t>of</w:t>
            </w:r>
            <w:r>
              <w:rPr>
                <w:spacing w:val="-4"/>
                <w:sz w:val="20"/>
              </w:rPr>
              <w:t> </w:t>
            </w:r>
            <w:r>
              <w:rPr>
                <w:sz w:val="20"/>
              </w:rPr>
              <w:t>the</w:t>
            </w:r>
            <w:r>
              <w:rPr>
                <w:spacing w:val="-4"/>
                <w:sz w:val="20"/>
              </w:rPr>
              <w:t> </w:t>
            </w:r>
            <w:r>
              <w:rPr>
                <w:sz w:val="20"/>
              </w:rPr>
              <w:t>preWinNonlin</w:t>
            </w:r>
            <w:r>
              <w:rPr>
                <w:spacing w:val="-4"/>
                <w:sz w:val="20"/>
              </w:rPr>
              <w:t> </w:t>
            </w:r>
            <w:r>
              <w:rPr>
                <w:sz w:val="20"/>
              </w:rPr>
              <w:t>dataset</w:t>
            </w:r>
            <w:r>
              <w:rPr>
                <w:spacing w:val="-4"/>
                <w:sz w:val="20"/>
              </w:rPr>
              <w:t> </w:t>
            </w:r>
            <w:r>
              <w:rPr>
                <w:sz w:val="20"/>
              </w:rPr>
              <w:t>review,</w:t>
            </w:r>
            <w:r>
              <w:rPr>
                <w:spacing w:val="-5"/>
                <w:sz w:val="20"/>
              </w:rPr>
              <w:t> </w:t>
            </w:r>
            <w:r>
              <w:rPr>
                <w:sz w:val="20"/>
              </w:rPr>
              <w:t>verifies</w:t>
            </w:r>
            <w:r>
              <w:rPr>
                <w:spacing w:val="-4"/>
                <w:sz w:val="20"/>
              </w:rPr>
              <w:t> </w:t>
            </w:r>
            <w:r>
              <w:rPr>
                <w:sz w:val="20"/>
              </w:rPr>
              <w:t>that</w:t>
            </w:r>
            <w:r>
              <w:rPr>
                <w:spacing w:val="-4"/>
                <w:sz w:val="20"/>
              </w:rPr>
              <w:t> </w:t>
            </w:r>
            <w:r>
              <w:rPr>
                <w:sz w:val="20"/>
              </w:rPr>
              <w:t>source</w:t>
            </w:r>
            <w:r>
              <w:rPr>
                <w:spacing w:val="-4"/>
                <w:sz w:val="20"/>
              </w:rPr>
              <w:t> </w:t>
            </w:r>
            <w:r>
              <w:rPr>
                <w:sz w:val="20"/>
              </w:rPr>
              <w:t>data and any variables derived from source data (eg, baseline-adjusted variables) are appropriately rounded.</w:t>
            </w:r>
          </w:p>
        </w:tc>
        <w:tc>
          <w:tcPr>
            <w:tcW w:w="1843" w:type="dxa"/>
          </w:tcPr>
          <w:p>
            <w:pPr>
              <w:pStyle w:val="TableParagraph"/>
              <w:spacing w:before="42"/>
              <w:ind w:right="839"/>
              <w:rPr>
                <w:sz w:val="20"/>
              </w:rPr>
            </w:pPr>
            <w:r>
              <w:rPr>
                <w:sz w:val="20"/>
              </w:rPr>
              <w:t>As</w:t>
            </w:r>
            <w:r>
              <w:rPr>
                <w:spacing w:val="-7"/>
                <w:sz w:val="20"/>
              </w:rPr>
              <w:t> </w:t>
            </w:r>
            <w:r>
              <w:rPr>
                <w:sz w:val="20"/>
              </w:rPr>
              <w:t>part</w:t>
            </w:r>
            <w:r>
              <w:rPr>
                <w:spacing w:val="-7"/>
                <w:sz w:val="20"/>
              </w:rPr>
              <w:t> </w:t>
            </w:r>
            <w:r>
              <w:rPr>
                <w:sz w:val="20"/>
              </w:rPr>
              <w:t>of step</w:t>
            </w:r>
            <w:r>
              <w:rPr>
                <w:spacing w:val="-4"/>
                <w:sz w:val="20"/>
              </w:rPr>
              <w:t> </w:t>
            </w:r>
            <w:r>
              <w:rPr>
                <w:spacing w:val="-2"/>
                <w:sz w:val="20"/>
              </w:rPr>
              <w:t>6.1.2</w:t>
            </w:r>
          </w:p>
        </w:tc>
      </w:tr>
      <w:tr>
        <w:trPr>
          <w:trHeight w:val="1458" w:hRule="atLeast"/>
        </w:trPr>
        <w:tc>
          <w:tcPr>
            <w:tcW w:w="797" w:type="dxa"/>
          </w:tcPr>
          <w:p>
            <w:pPr>
              <w:pStyle w:val="TableParagraph"/>
              <w:spacing w:before="42"/>
              <w:ind w:left="110"/>
              <w:rPr>
                <w:b/>
                <w:sz w:val="20"/>
              </w:rPr>
            </w:pPr>
            <w:r>
              <w:rPr>
                <w:b/>
                <w:spacing w:val="-2"/>
                <w:sz w:val="20"/>
              </w:rPr>
              <w:t>6.4.2</w:t>
            </w:r>
          </w:p>
        </w:tc>
        <w:tc>
          <w:tcPr>
            <w:tcW w:w="1162" w:type="dxa"/>
            <w:vMerge/>
            <w:tcBorders>
              <w:top w:val="nil"/>
            </w:tcBorders>
          </w:tcPr>
          <w:p>
            <w:pPr>
              <w:rPr>
                <w:sz w:val="2"/>
                <w:szCs w:val="2"/>
              </w:rPr>
            </w:pPr>
          </w:p>
        </w:tc>
        <w:tc>
          <w:tcPr>
            <w:tcW w:w="6264" w:type="dxa"/>
          </w:tcPr>
          <w:p>
            <w:pPr>
              <w:pStyle w:val="TableParagraph"/>
              <w:spacing w:before="0"/>
              <w:ind w:left="104" w:right="184"/>
              <w:rPr>
                <w:sz w:val="20"/>
              </w:rPr>
            </w:pPr>
            <w:r>
              <w:rPr>
                <w:sz w:val="20"/>
              </w:rPr>
              <w:t>Identifies</w:t>
            </w:r>
            <w:r>
              <w:rPr>
                <w:spacing w:val="-7"/>
                <w:sz w:val="20"/>
              </w:rPr>
              <w:t> </w:t>
            </w:r>
            <w:r>
              <w:rPr>
                <w:sz w:val="20"/>
              </w:rPr>
              <w:t>parameter</w:t>
            </w:r>
            <w:r>
              <w:rPr>
                <w:spacing w:val="-6"/>
                <w:sz w:val="20"/>
              </w:rPr>
              <w:t> </w:t>
            </w:r>
            <w:r>
              <w:rPr>
                <w:sz w:val="20"/>
              </w:rPr>
              <w:t>units</w:t>
            </w:r>
            <w:r>
              <w:rPr>
                <w:spacing w:val="-6"/>
                <w:sz w:val="20"/>
              </w:rPr>
              <w:t> </w:t>
            </w:r>
            <w:r>
              <w:rPr>
                <w:sz w:val="20"/>
              </w:rPr>
              <w:t>and</w:t>
            </w:r>
            <w:r>
              <w:rPr>
                <w:spacing w:val="-2"/>
                <w:sz w:val="20"/>
              </w:rPr>
              <w:t> </w:t>
            </w:r>
            <w:r>
              <w:rPr>
                <w:sz w:val="20"/>
              </w:rPr>
              <w:t>associated</w:t>
            </w:r>
            <w:r>
              <w:rPr>
                <w:spacing w:val="-3"/>
                <w:sz w:val="20"/>
              </w:rPr>
              <w:t> </w:t>
            </w:r>
            <w:r>
              <w:rPr>
                <w:sz w:val="20"/>
              </w:rPr>
              <w:t>rounding</w:t>
            </w:r>
            <w:r>
              <w:rPr>
                <w:spacing w:val="-6"/>
                <w:sz w:val="20"/>
              </w:rPr>
              <w:t> </w:t>
            </w:r>
            <w:r>
              <w:rPr>
                <w:sz w:val="20"/>
              </w:rPr>
              <w:t>conventions</w:t>
            </w:r>
            <w:r>
              <w:rPr>
                <w:spacing w:val="-7"/>
                <w:sz w:val="20"/>
              </w:rPr>
              <w:t> </w:t>
            </w:r>
            <w:r>
              <w:rPr>
                <w:sz w:val="20"/>
              </w:rPr>
              <w:t>for all PK and/or PD parameters as part of the supporting documentation provided to the programmer.</w:t>
            </w:r>
          </w:p>
          <w:p>
            <w:pPr>
              <w:pStyle w:val="TableParagraph"/>
              <w:spacing w:before="0"/>
              <w:ind w:left="0"/>
              <w:rPr>
                <w:sz w:val="23"/>
              </w:rPr>
            </w:pPr>
          </w:p>
          <w:p>
            <w:pPr>
              <w:pStyle w:val="TableParagraph"/>
              <w:spacing w:line="244" w:lineRule="auto" w:before="0"/>
              <w:ind w:left="104" w:right="184"/>
              <w:rPr>
                <w:sz w:val="20"/>
              </w:rPr>
            </w:pPr>
            <w:r>
              <w:rPr>
                <w:b/>
                <w:sz w:val="20"/>
              </w:rPr>
              <w:t>Note:</w:t>
            </w:r>
            <w:r>
              <w:rPr>
                <w:b/>
                <w:spacing w:val="40"/>
                <w:sz w:val="20"/>
              </w:rPr>
              <w:t> </w:t>
            </w:r>
            <w:r>
              <w:rPr>
                <w:sz w:val="20"/>
              </w:rPr>
              <w:t>This</w:t>
            </w:r>
            <w:r>
              <w:rPr>
                <w:spacing w:val="-4"/>
                <w:sz w:val="20"/>
              </w:rPr>
              <w:t> </w:t>
            </w:r>
            <w:r>
              <w:rPr>
                <w:sz w:val="20"/>
              </w:rPr>
              <w:t>step</w:t>
            </w:r>
            <w:r>
              <w:rPr>
                <w:spacing w:val="-4"/>
                <w:sz w:val="20"/>
              </w:rPr>
              <w:t> </w:t>
            </w:r>
            <w:r>
              <w:rPr>
                <w:sz w:val="20"/>
              </w:rPr>
              <w:t>does</w:t>
            </w:r>
            <w:r>
              <w:rPr>
                <w:spacing w:val="-4"/>
                <w:sz w:val="20"/>
              </w:rPr>
              <w:t> </w:t>
            </w:r>
            <w:r>
              <w:rPr>
                <w:sz w:val="20"/>
              </w:rPr>
              <w:t>not</w:t>
            </w:r>
            <w:r>
              <w:rPr>
                <w:spacing w:val="-4"/>
                <w:sz w:val="20"/>
              </w:rPr>
              <w:t> </w:t>
            </w:r>
            <w:r>
              <w:rPr>
                <w:sz w:val="20"/>
              </w:rPr>
              <w:t>typically</w:t>
            </w:r>
            <w:r>
              <w:rPr>
                <w:spacing w:val="-4"/>
                <w:sz w:val="20"/>
              </w:rPr>
              <w:t> </w:t>
            </w:r>
            <w:r>
              <w:rPr>
                <w:sz w:val="20"/>
              </w:rPr>
              <w:t>apply</w:t>
            </w:r>
            <w:r>
              <w:rPr>
                <w:spacing w:val="-4"/>
                <w:sz w:val="20"/>
              </w:rPr>
              <w:t> </w:t>
            </w:r>
            <w:r>
              <w:rPr>
                <w:sz w:val="20"/>
              </w:rPr>
              <w:t>to</w:t>
            </w:r>
            <w:r>
              <w:rPr>
                <w:spacing w:val="-4"/>
                <w:sz w:val="20"/>
              </w:rPr>
              <w:t> </w:t>
            </w:r>
            <w:r>
              <w:rPr>
                <w:sz w:val="20"/>
              </w:rPr>
              <w:t>interim</w:t>
            </w:r>
            <w:r>
              <w:rPr>
                <w:spacing w:val="-4"/>
                <w:sz w:val="20"/>
              </w:rPr>
              <w:t> </w:t>
            </w:r>
            <w:r>
              <w:rPr>
                <w:sz w:val="20"/>
              </w:rPr>
              <w:t>analyses</w:t>
            </w:r>
            <w:r>
              <w:rPr>
                <w:spacing w:val="-4"/>
                <w:sz w:val="20"/>
              </w:rPr>
              <w:t> </w:t>
            </w:r>
            <w:r>
              <w:rPr>
                <w:sz w:val="20"/>
              </w:rPr>
              <w:t>and may not apply to all final analyses.</w:t>
            </w:r>
          </w:p>
        </w:tc>
        <w:tc>
          <w:tcPr>
            <w:tcW w:w="1843" w:type="dxa"/>
          </w:tcPr>
          <w:p>
            <w:pPr>
              <w:pStyle w:val="TableParagraph"/>
              <w:ind w:right="353"/>
              <w:rPr>
                <w:sz w:val="20"/>
              </w:rPr>
            </w:pPr>
            <w:r>
              <w:rPr>
                <w:sz w:val="20"/>
              </w:rPr>
              <w:t>As part of</w:t>
            </w:r>
            <w:r>
              <w:rPr>
                <w:spacing w:val="40"/>
                <w:sz w:val="20"/>
              </w:rPr>
              <w:t> </w:t>
            </w:r>
            <w:r>
              <w:rPr>
                <w:sz w:val="20"/>
              </w:rPr>
              <w:t>steps</w:t>
            </w:r>
            <w:r>
              <w:rPr>
                <w:spacing w:val="-14"/>
                <w:sz w:val="20"/>
              </w:rPr>
              <w:t> </w:t>
            </w:r>
            <w:r>
              <w:rPr>
                <w:sz w:val="20"/>
              </w:rPr>
              <w:t>6.2.2</w:t>
            </w:r>
            <w:r>
              <w:rPr>
                <w:spacing w:val="-14"/>
                <w:sz w:val="20"/>
              </w:rPr>
              <w:t> </w:t>
            </w:r>
            <w:r>
              <w:rPr>
                <w:sz w:val="20"/>
              </w:rPr>
              <w:t>and</w:t>
            </w:r>
          </w:p>
          <w:p>
            <w:pPr>
              <w:pStyle w:val="TableParagraph"/>
              <w:spacing w:before="0"/>
              <w:rPr>
                <w:sz w:val="20"/>
              </w:rPr>
            </w:pPr>
            <w:r>
              <w:rPr>
                <w:spacing w:val="-2"/>
                <w:sz w:val="20"/>
              </w:rPr>
              <w:t>6.3.2</w:t>
            </w:r>
          </w:p>
        </w:tc>
      </w:tr>
      <w:tr>
        <w:trPr>
          <w:trHeight w:val="772" w:hRule="atLeast"/>
        </w:trPr>
        <w:tc>
          <w:tcPr>
            <w:tcW w:w="797" w:type="dxa"/>
          </w:tcPr>
          <w:p>
            <w:pPr>
              <w:pStyle w:val="TableParagraph"/>
              <w:spacing w:before="47"/>
              <w:ind w:left="110"/>
              <w:rPr>
                <w:b/>
                <w:sz w:val="20"/>
              </w:rPr>
            </w:pPr>
            <w:r>
              <w:rPr>
                <w:b/>
                <w:spacing w:val="-2"/>
                <w:sz w:val="20"/>
              </w:rPr>
              <w:t>6.4.3</w:t>
            </w:r>
          </w:p>
        </w:tc>
        <w:tc>
          <w:tcPr>
            <w:tcW w:w="1162" w:type="dxa"/>
          </w:tcPr>
          <w:p>
            <w:pPr>
              <w:pStyle w:val="TableParagraph"/>
              <w:spacing w:before="47"/>
              <w:ind w:left="110"/>
              <w:rPr>
                <w:sz w:val="20"/>
              </w:rPr>
            </w:pPr>
            <w:r>
              <w:rPr>
                <w:spacing w:val="-5"/>
                <w:sz w:val="20"/>
              </w:rPr>
              <w:t>PKR</w:t>
            </w:r>
          </w:p>
        </w:tc>
        <w:tc>
          <w:tcPr>
            <w:tcW w:w="6264" w:type="dxa"/>
          </w:tcPr>
          <w:p>
            <w:pPr>
              <w:pStyle w:val="TableParagraph"/>
              <w:spacing w:before="42"/>
              <w:ind w:left="104"/>
              <w:rPr>
                <w:sz w:val="20"/>
              </w:rPr>
            </w:pPr>
            <w:r>
              <w:rPr>
                <w:sz w:val="20"/>
              </w:rPr>
              <w:t>When</w:t>
            </w:r>
            <w:r>
              <w:rPr>
                <w:spacing w:val="-4"/>
                <w:sz w:val="20"/>
              </w:rPr>
              <w:t> </w:t>
            </w:r>
            <w:r>
              <w:rPr>
                <w:sz w:val="20"/>
              </w:rPr>
              <w:t>appropriate,</w:t>
            </w:r>
            <w:r>
              <w:rPr>
                <w:spacing w:val="-7"/>
                <w:sz w:val="20"/>
              </w:rPr>
              <w:t> </w:t>
            </w:r>
            <w:r>
              <w:rPr>
                <w:sz w:val="20"/>
              </w:rPr>
              <w:t>verifies</w:t>
            </w:r>
            <w:r>
              <w:rPr>
                <w:spacing w:val="-6"/>
                <w:sz w:val="20"/>
              </w:rPr>
              <w:t> </w:t>
            </w:r>
            <w:r>
              <w:rPr>
                <w:sz w:val="20"/>
              </w:rPr>
              <w:t>that</w:t>
            </w:r>
            <w:r>
              <w:rPr>
                <w:spacing w:val="-7"/>
                <w:sz w:val="20"/>
              </w:rPr>
              <w:t> </w:t>
            </w:r>
            <w:r>
              <w:rPr>
                <w:sz w:val="20"/>
              </w:rPr>
              <w:t>the</w:t>
            </w:r>
            <w:r>
              <w:rPr>
                <w:spacing w:val="-2"/>
                <w:sz w:val="20"/>
              </w:rPr>
              <w:t> </w:t>
            </w:r>
            <w:r>
              <w:rPr>
                <w:sz w:val="20"/>
              </w:rPr>
              <w:t>rounding</w:t>
            </w:r>
            <w:r>
              <w:rPr>
                <w:spacing w:val="-7"/>
                <w:sz w:val="20"/>
              </w:rPr>
              <w:t> </w:t>
            </w:r>
            <w:r>
              <w:rPr>
                <w:sz w:val="20"/>
              </w:rPr>
              <w:t>instructions</w:t>
            </w:r>
            <w:r>
              <w:rPr>
                <w:spacing w:val="-5"/>
                <w:sz w:val="20"/>
              </w:rPr>
              <w:t> </w:t>
            </w:r>
            <w:r>
              <w:rPr>
                <w:sz w:val="20"/>
              </w:rPr>
              <w:t>provided</w:t>
            </w:r>
            <w:r>
              <w:rPr>
                <w:spacing w:val="-5"/>
                <w:sz w:val="20"/>
              </w:rPr>
              <w:t> </w:t>
            </w:r>
            <w:r>
              <w:rPr>
                <w:sz w:val="20"/>
              </w:rPr>
              <w:t>by the PKS comply with study-specific instructions (or, in absence thereof, with the conventions in PI_WI_PK0202).</w:t>
            </w:r>
          </w:p>
        </w:tc>
        <w:tc>
          <w:tcPr>
            <w:tcW w:w="1843" w:type="dxa"/>
          </w:tcPr>
          <w:p>
            <w:pPr>
              <w:pStyle w:val="TableParagraph"/>
              <w:spacing w:before="42"/>
              <w:ind w:right="339"/>
              <w:rPr>
                <w:sz w:val="20"/>
              </w:rPr>
            </w:pPr>
            <w:r>
              <w:rPr>
                <w:sz w:val="20"/>
              </w:rPr>
              <w:t>As</w:t>
            </w:r>
            <w:r>
              <w:rPr>
                <w:spacing w:val="-13"/>
                <w:sz w:val="20"/>
              </w:rPr>
              <w:t> </w:t>
            </w:r>
            <w:r>
              <w:rPr>
                <w:sz w:val="20"/>
              </w:rPr>
              <w:t>part</w:t>
            </w:r>
            <w:r>
              <w:rPr>
                <w:spacing w:val="-13"/>
                <w:sz w:val="20"/>
              </w:rPr>
              <w:t> </w:t>
            </w:r>
            <w:r>
              <w:rPr>
                <w:sz w:val="20"/>
              </w:rPr>
              <w:t>of</w:t>
            </w:r>
            <w:r>
              <w:rPr>
                <w:spacing w:val="-11"/>
                <w:sz w:val="20"/>
              </w:rPr>
              <w:t> </w:t>
            </w:r>
            <w:r>
              <w:rPr>
                <w:sz w:val="20"/>
              </w:rPr>
              <w:t>step </w:t>
            </w:r>
            <w:r>
              <w:rPr>
                <w:spacing w:val="-2"/>
                <w:sz w:val="20"/>
              </w:rPr>
              <w:t>6.2.3</w:t>
            </w:r>
          </w:p>
        </w:tc>
      </w:tr>
      <w:tr>
        <w:trPr>
          <w:trHeight w:val="772" w:hRule="atLeast"/>
        </w:trPr>
        <w:tc>
          <w:tcPr>
            <w:tcW w:w="797" w:type="dxa"/>
          </w:tcPr>
          <w:p>
            <w:pPr>
              <w:pStyle w:val="TableParagraph"/>
              <w:spacing w:before="42"/>
              <w:ind w:left="110"/>
              <w:rPr>
                <w:b/>
                <w:sz w:val="20"/>
              </w:rPr>
            </w:pPr>
            <w:r>
              <w:rPr>
                <w:b/>
                <w:spacing w:val="-2"/>
                <w:sz w:val="20"/>
              </w:rPr>
              <w:t>6.4.4</w:t>
            </w:r>
          </w:p>
        </w:tc>
        <w:tc>
          <w:tcPr>
            <w:tcW w:w="1162" w:type="dxa"/>
          </w:tcPr>
          <w:p>
            <w:pPr>
              <w:pStyle w:val="TableParagraph"/>
              <w:spacing w:before="42"/>
              <w:ind w:left="110"/>
              <w:rPr>
                <w:sz w:val="20"/>
              </w:rPr>
            </w:pPr>
            <w:r>
              <w:rPr>
                <w:spacing w:val="-5"/>
                <w:sz w:val="20"/>
              </w:rPr>
              <w:t>PKS</w:t>
            </w:r>
          </w:p>
        </w:tc>
        <w:tc>
          <w:tcPr>
            <w:tcW w:w="6264" w:type="dxa"/>
          </w:tcPr>
          <w:p>
            <w:pPr>
              <w:pStyle w:val="TableParagraph"/>
              <w:ind w:left="104"/>
              <w:rPr>
                <w:sz w:val="20"/>
              </w:rPr>
            </w:pPr>
            <w:r>
              <w:rPr>
                <w:sz w:val="20"/>
              </w:rPr>
              <w:t>Spot-checks</w:t>
            </w:r>
            <w:r>
              <w:rPr>
                <w:spacing w:val="-4"/>
                <w:sz w:val="20"/>
              </w:rPr>
              <w:t> </w:t>
            </w:r>
            <w:r>
              <w:rPr>
                <w:sz w:val="20"/>
              </w:rPr>
              <w:t>statistical</w:t>
            </w:r>
            <w:r>
              <w:rPr>
                <w:spacing w:val="-4"/>
                <w:sz w:val="20"/>
              </w:rPr>
              <w:t> </w:t>
            </w:r>
            <w:r>
              <w:rPr>
                <w:sz w:val="20"/>
              </w:rPr>
              <w:t>outputs</w:t>
            </w:r>
            <w:r>
              <w:rPr>
                <w:spacing w:val="-5"/>
                <w:sz w:val="20"/>
              </w:rPr>
              <w:t> </w:t>
            </w:r>
            <w:r>
              <w:rPr>
                <w:sz w:val="20"/>
              </w:rPr>
              <w:t>(tables</w:t>
            </w:r>
            <w:r>
              <w:rPr>
                <w:spacing w:val="-4"/>
                <w:sz w:val="20"/>
              </w:rPr>
              <w:t> </w:t>
            </w:r>
            <w:r>
              <w:rPr>
                <w:sz w:val="20"/>
              </w:rPr>
              <w:t>and/or</w:t>
            </w:r>
            <w:r>
              <w:rPr>
                <w:spacing w:val="-5"/>
                <w:sz w:val="20"/>
              </w:rPr>
              <w:t> </w:t>
            </w:r>
            <w:r>
              <w:rPr>
                <w:sz w:val="20"/>
              </w:rPr>
              <w:t>listings)</w:t>
            </w:r>
            <w:r>
              <w:rPr>
                <w:spacing w:val="-5"/>
                <w:sz w:val="20"/>
              </w:rPr>
              <w:t> </w:t>
            </w:r>
            <w:r>
              <w:rPr>
                <w:sz w:val="20"/>
              </w:rPr>
              <w:t>to</w:t>
            </w:r>
            <w:r>
              <w:rPr>
                <w:spacing w:val="-4"/>
                <w:sz w:val="20"/>
              </w:rPr>
              <w:t> </w:t>
            </w:r>
            <w:r>
              <w:rPr>
                <w:sz w:val="20"/>
              </w:rPr>
              <w:t>verify</w:t>
            </w:r>
            <w:r>
              <w:rPr>
                <w:spacing w:val="-5"/>
                <w:sz w:val="20"/>
              </w:rPr>
              <w:t> </w:t>
            </w:r>
            <w:r>
              <w:rPr>
                <w:sz w:val="20"/>
              </w:rPr>
              <w:t>that conventions for rounding follow study-specific instructions (or, in absence thereof, with the conventions in PI_WI_PK0202).</w:t>
            </w:r>
          </w:p>
        </w:tc>
        <w:tc>
          <w:tcPr>
            <w:tcW w:w="1843" w:type="dxa"/>
          </w:tcPr>
          <w:p>
            <w:pPr>
              <w:pStyle w:val="TableParagraph"/>
              <w:ind w:right="839"/>
              <w:rPr>
                <w:sz w:val="20"/>
              </w:rPr>
            </w:pPr>
            <w:r>
              <w:rPr>
                <w:sz w:val="20"/>
              </w:rPr>
              <w:t>As</w:t>
            </w:r>
            <w:r>
              <w:rPr>
                <w:spacing w:val="-7"/>
                <w:sz w:val="20"/>
              </w:rPr>
              <w:t> </w:t>
            </w:r>
            <w:r>
              <w:rPr>
                <w:sz w:val="20"/>
              </w:rPr>
              <w:t>part</w:t>
            </w:r>
            <w:r>
              <w:rPr>
                <w:spacing w:val="-7"/>
                <w:sz w:val="20"/>
              </w:rPr>
              <w:t> </w:t>
            </w:r>
            <w:r>
              <w:rPr>
                <w:sz w:val="20"/>
              </w:rPr>
              <w:t>of step</w:t>
            </w:r>
            <w:r>
              <w:rPr>
                <w:spacing w:val="-4"/>
                <w:sz w:val="20"/>
              </w:rPr>
              <w:t> </w:t>
            </w:r>
            <w:r>
              <w:rPr>
                <w:spacing w:val="-2"/>
                <w:sz w:val="20"/>
              </w:rPr>
              <w:t>6.3.4</w:t>
            </w:r>
          </w:p>
        </w:tc>
      </w:tr>
    </w:tbl>
    <w:p>
      <w:pPr>
        <w:pStyle w:val="BodyText"/>
        <w:spacing w:before="8"/>
        <w:rPr>
          <w:sz w:val="20"/>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Standardization of PK and PD Symbols" w:id="11"/>
      <w:bookmarkEnd w:id="11"/>
      <w:r>
        <w:rPr/>
        <w:t>Standardizatio</w:t>
      </w:r>
      <w:r>
        <w:rPr/>
        <w:t>n</w:t>
      </w:r>
      <w:r>
        <w:rPr>
          <w:spacing w:val="-5"/>
        </w:rPr>
        <w:t> </w:t>
      </w:r>
      <w:r>
        <w:rPr/>
        <w:t>of</w:t>
      </w:r>
      <w:r>
        <w:rPr>
          <w:spacing w:val="-5"/>
        </w:rPr>
        <w:t> </w:t>
      </w:r>
      <w:r>
        <w:rPr/>
        <w:t>PK</w:t>
      </w:r>
      <w:r>
        <w:rPr>
          <w:spacing w:val="-5"/>
        </w:rPr>
        <w:t> </w:t>
      </w:r>
      <w:r>
        <w:rPr/>
        <w:t>and</w:t>
      </w:r>
      <w:r>
        <w:rPr>
          <w:spacing w:val="-5"/>
        </w:rPr>
        <w:t> </w:t>
      </w:r>
      <w:r>
        <w:rPr/>
        <w:t>PD</w:t>
      </w:r>
      <w:r>
        <w:rPr>
          <w:spacing w:val="-4"/>
        </w:rPr>
        <w:t> </w:t>
      </w:r>
      <w:r>
        <w:rPr>
          <w:spacing w:val="-2"/>
        </w:rPr>
        <w:t>Symbols</w:t>
      </w:r>
    </w:p>
    <w:p>
      <w:pPr>
        <w:pStyle w:val="BodyText"/>
        <w:spacing w:before="121"/>
        <w:ind w:left="1980" w:right="490"/>
      </w:pPr>
      <w:r>
        <w:rPr/>
        <w:t>Work Instruction PI_WI_PK0205, Standardization of Pharmacokinetic and Pharmacodynamic</w:t>
      </w:r>
      <w:r>
        <w:rPr>
          <w:spacing w:val="-5"/>
        </w:rPr>
        <w:t> </w:t>
      </w:r>
      <w:r>
        <w:rPr/>
        <w:t>Symbols,</w:t>
      </w:r>
      <w:r>
        <w:rPr>
          <w:spacing w:val="-5"/>
        </w:rPr>
        <w:t> </w:t>
      </w:r>
      <w:r>
        <w:rPr/>
        <w:t>defines</w:t>
      </w:r>
      <w:r>
        <w:rPr>
          <w:spacing w:val="-5"/>
        </w:rPr>
        <w:t> </w:t>
      </w:r>
      <w:r>
        <w:rPr/>
        <w:t>symbols</w:t>
      </w:r>
      <w:r>
        <w:rPr>
          <w:spacing w:val="-5"/>
        </w:rPr>
        <w:t> </w:t>
      </w:r>
      <w:r>
        <w:rPr/>
        <w:t>and</w:t>
      </w:r>
      <w:r>
        <w:rPr>
          <w:spacing w:val="-5"/>
        </w:rPr>
        <w:t> </w:t>
      </w:r>
      <w:r>
        <w:rPr/>
        <w:t>abbreviations</w:t>
      </w:r>
      <w:r>
        <w:rPr>
          <w:spacing w:val="-5"/>
        </w:rPr>
        <w:t> </w:t>
      </w:r>
      <w:r>
        <w:rPr/>
        <w:t>to</w:t>
      </w:r>
      <w:r>
        <w:rPr>
          <w:spacing w:val="-5"/>
        </w:rPr>
        <w:t> </w:t>
      </w:r>
      <w:r>
        <w:rPr/>
        <w:t>be</w:t>
      </w:r>
      <w:r>
        <w:rPr>
          <w:spacing w:val="-5"/>
        </w:rPr>
        <w:t> </w:t>
      </w:r>
      <w:r>
        <w:rPr/>
        <w:t>typically</w:t>
      </w:r>
    </w:p>
    <w:p>
      <w:pPr>
        <w:spacing w:after="0"/>
        <w:sectPr>
          <w:pgSz w:w="12240" w:h="15840"/>
          <w:pgMar w:header="725" w:footer="952" w:top="2520" w:bottom="1140" w:left="900" w:right="960"/>
        </w:sectPr>
      </w:pPr>
    </w:p>
    <w:p>
      <w:pPr>
        <w:pStyle w:val="BodyText"/>
        <w:spacing w:before="11"/>
        <w:rPr>
          <w:sz w:val="13"/>
        </w:rPr>
      </w:pPr>
    </w:p>
    <w:p>
      <w:pPr>
        <w:pStyle w:val="BodyText"/>
        <w:spacing w:before="94"/>
        <w:ind w:left="1980" w:right="490"/>
      </w:pPr>
      <w:r>
        <w:rPr/>
        <w:t>used, and their format, for commonly reported PK and PD parameters in written documents.</w:t>
      </w:r>
      <w:r>
        <w:rPr>
          <w:spacing w:val="-4"/>
        </w:rPr>
        <w:t> </w:t>
      </w:r>
      <w:r>
        <w:rPr/>
        <w:t>The</w:t>
      </w:r>
      <w:r>
        <w:rPr>
          <w:spacing w:val="-4"/>
        </w:rPr>
        <w:t> </w:t>
      </w:r>
      <w:r>
        <w:rPr/>
        <w:t>nomenclature</w:t>
      </w:r>
      <w:r>
        <w:rPr>
          <w:spacing w:val="-4"/>
        </w:rPr>
        <w:t> </w:t>
      </w:r>
      <w:r>
        <w:rPr/>
        <w:t>and</w:t>
      </w:r>
      <w:r>
        <w:rPr>
          <w:spacing w:val="-4"/>
        </w:rPr>
        <w:t> </w:t>
      </w:r>
      <w:r>
        <w:rPr/>
        <w:t>format</w:t>
      </w:r>
      <w:r>
        <w:rPr>
          <w:spacing w:val="-4"/>
        </w:rPr>
        <w:t> </w:t>
      </w:r>
      <w:r>
        <w:rPr/>
        <w:t>may</w:t>
      </w:r>
      <w:r>
        <w:rPr>
          <w:spacing w:val="-4"/>
        </w:rPr>
        <w:t> </w:t>
      </w:r>
      <w:r>
        <w:rPr/>
        <w:t>vary</w:t>
      </w:r>
      <w:r>
        <w:rPr>
          <w:spacing w:val="-4"/>
        </w:rPr>
        <w:t> </w:t>
      </w:r>
      <w:r>
        <w:rPr/>
        <w:t>depending</w:t>
      </w:r>
      <w:r>
        <w:rPr>
          <w:spacing w:val="-4"/>
        </w:rPr>
        <w:t> </w:t>
      </w:r>
      <w:r>
        <w:rPr/>
        <w:t>on</w:t>
      </w:r>
      <w:r>
        <w:rPr>
          <w:spacing w:val="-4"/>
        </w:rPr>
        <w:t> </w:t>
      </w:r>
      <w:r>
        <w:rPr/>
        <w:t>specific</w:t>
      </w:r>
      <w:r>
        <w:rPr>
          <w:spacing w:val="-4"/>
        </w:rPr>
        <w:t> </w:t>
      </w:r>
      <w:r>
        <w:rPr/>
        <w:t>needs of</w:t>
      </w:r>
      <w:r>
        <w:rPr>
          <w:spacing w:val="-3"/>
        </w:rPr>
        <w:t> </w:t>
      </w:r>
      <w:r>
        <w:rPr/>
        <w:t>the</w:t>
      </w:r>
      <w:r>
        <w:rPr>
          <w:spacing w:val="-3"/>
        </w:rPr>
        <w:t> </w:t>
      </w:r>
      <w:r>
        <w:rPr/>
        <w:t>project</w:t>
      </w:r>
      <w:r>
        <w:rPr>
          <w:spacing w:val="-3"/>
        </w:rPr>
        <w:t> </w:t>
      </w:r>
      <w:r>
        <w:rPr/>
        <w:t>or</w:t>
      </w:r>
      <w:r>
        <w:rPr>
          <w:spacing w:val="-3"/>
        </w:rPr>
        <w:t> </w:t>
      </w:r>
      <w:r>
        <w:rPr/>
        <w:t>requests</w:t>
      </w:r>
      <w:r>
        <w:rPr>
          <w:spacing w:val="-3"/>
        </w:rPr>
        <w:t> </w:t>
      </w:r>
      <w:r>
        <w:rPr/>
        <w:t>by</w:t>
      </w:r>
      <w:r>
        <w:rPr>
          <w:spacing w:val="-1"/>
        </w:rPr>
        <w:t> </w:t>
      </w:r>
      <w:r>
        <w:rPr/>
        <w:t>the</w:t>
      </w:r>
      <w:r>
        <w:rPr>
          <w:spacing w:val="-3"/>
        </w:rPr>
        <w:t> </w:t>
      </w:r>
      <w:r>
        <w:rPr/>
        <w:t>Sponsor.</w:t>
      </w:r>
      <w:r>
        <w:rPr>
          <w:spacing w:val="-3"/>
        </w:rPr>
        <w:t> </w:t>
      </w:r>
      <w:r>
        <w:rPr/>
        <w:t>Staff</w:t>
      </w:r>
      <w:r>
        <w:rPr>
          <w:spacing w:val="-3"/>
        </w:rPr>
        <w:t> </w:t>
      </w:r>
      <w:r>
        <w:rPr/>
        <w:t>may</w:t>
      </w:r>
      <w:r>
        <w:rPr>
          <w:spacing w:val="-3"/>
        </w:rPr>
        <w:t> </w:t>
      </w:r>
      <w:r>
        <w:rPr/>
        <w:t>supplement</w:t>
      </w:r>
      <w:r>
        <w:rPr>
          <w:spacing w:val="-3"/>
        </w:rPr>
        <w:t> </w:t>
      </w:r>
      <w:r>
        <w:rPr/>
        <w:t>these</w:t>
      </w:r>
      <w:r>
        <w:rPr>
          <w:spacing w:val="-3"/>
        </w:rPr>
        <w:t> </w:t>
      </w:r>
      <w:r>
        <w:rPr/>
        <w:t>parameter symbols and abbreviations when further clarification or differentiation is required between parameters or sets of parameters.</w:t>
      </w:r>
    </w:p>
    <w:p>
      <w:pPr>
        <w:pStyle w:val="BodyText"/>
        <w:spacing w:before="7"/>
        <w:rPr>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SUPPORTING DOCUMENTATION" w:id="12"/>
      <w:bookmarkEnd w:id="12"/>
      <w:r>
        <w:rPr>
          <w:b/>
          <w:sz w:val="22"/>
        </w:rPr>
        <w:t>SUPPORTIN</w:t>
      </w:r>
      <w:r>
        <w:rPr>
          <w:b/>
          <w:sz w:val="22"/>
        </w:rPr>
        <w:t>G</w:t>
      </w:r>
      <w:r>
        <w:rPr>
          <w:b/>
          <w:spacing w:val="-11"/>
          <w:sz w:val="22"/>
        </w:rPr>
        <w:t> </w:t>
      </w:r>
      <w:r>
        <w:rPr>
          <w:b/>
          <w:spacing w:val="-2"/>
          <w:sz w:val="22"/>
        </w:rPr>
        <w:t>DOCUMENTATION</w:t>
      </w:r>
    </w:p>
    <w:p>
      <w:pPr>
        <w:pStyle w:val="BodyText"/>
        <w:rPr>
          <w:b/>
          <w:sz w:val="20"/>
        </w:rPr>
      </w:pPr>
    </w:p>
    <w:p>
      <w:pPr>
        <w:pStyle w:val="BodyText"/>
        <w:spacing w:before="6"/>
        <w:rPr>
          <w:b/>
          <w:sz w:val="23"/>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16"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rPr>
                <w:b/>
                <w:sz w:val="22"/>
              </w:rPr>
            </w:pPr>
            <w:r>
              <w:rPr>
                <w:b/>
                <w:spacing w:val="-2"/>
                <w:sz w:val="22"/>
              </w:rPr>
              <w:t>TITLE</w:t>
            </w:r>
          </w:p>
        </w:tc>
      </w:tr>
      <w:tr>
        <w:trPr>
          <w:trHeight w:val="321" w:hRule="atLeast"/>
        </w:trPr>
        <w:tc>
          <w:tcPr>
            <w:tcW w:w="3778" w:type="dxa"/>
            <w:shd w:val="clear" w:color="auto" w:fill="D9D9D9"/>
          </w:tcPr>
          <w:p>
            <w:pPr>
              <w:pStyle w:val="TableParagraph"/>
              <w:spacing w:before="33"/>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561" w:hRule="atLeast"/>
        </w:trPr>
        <w:tc>
          <w:tcPr>
            <w:tcW w:w="3778" w:type="dxa"/>
          </w:tcPr>
          <w:p>
            <w:pPr>
              <w:pStyle w:val="TableParagraph"/>
              <w:tabs>
                <w:tab w:pos="547" w:val="left" w:leader="none"/>
              </w:tabs>
              <w:spacing w:before="153"/>
              <w:ind w:left="0" w:right="692"/>
              <w:jc w:val="right"/>
              <w:rPr>
                <w:sz w:val="22"/>
              </w:rPr>
            </w:pPr>
            <w:r>
              <w:rPr>
                <w:b/>
                <w:spacing w:val="-5"/>
                <w:sz w:val="22"/>
              </w:rPr>
              <w:t>7.1</w:t>
            </w:r>
            <w:r>
              <w:rPr>
                <w:b/>
                <w:sz w:val="22"/>
              </w:rPr>
              <w:tab/>
            </w:r>
            <w:hyperlink r:id="rId11">
              <w:r>
                <w:rPr>
                  <w:color w:val="0000FF"/>
                  <w:spacing w:val="-2"/>
                  <w:sz w:val="22"/>
                  <w:u w:val="single" w:color="0000FF"/>
                </w:rPr>
                <w:t>PI_WI_PK0202</w:t>
              </w:r>
            </w:hyperlink>
          </w:p>
        </w:tc>
        <w:tc>
          <w:tcPr>
            <w:tcW w:w="6125" w:type="dxa"/>
          </w:tcPr>
          <w:p>
            <w:pPr>
              <w:pStyle w:val="TableParagraph"/>
              <w:spacing w:line="232" w:lineRule="auto" w:before="30"/>
              <w:ind w:right="139"/>
              <w:rPr>
                <w:sz w:val="22"/>
              </w:rPr>
            </w:pPr>
            <w:r>
              <w:rPr>
                <w:sz w:val="22"/>
              </w:rPr>
              <w:t>Pharmacokinetic</w:t>
            </w:r>
            <w:r>
              <w:rPr>
                <w:spacing w:val="-12"/>
                <w:sz w:val="22"/>
              </w:rPr>
              <w:t> </w:t>
            </w:r>
            <w:r>
              <w:rPr>
                <w:sz w:val="22"/>
              </w:rPr>
              <w:t>and</w:t>
            </w:r>
            <w:r>
              <w:rPr>
                <w:spacing w:val="-12"/>
                <w:sz w:val="22"/>
              </w:rPr>
              <w:t> </w:t>
            </w:r>
            <w:r>
              <w:rPr>
                <w:sz w:val="22"/>
              </w:rPr>
              <w:t>Pharmacodynamic</w:t>
            </w:r>
            <w:r>
              <w:rPr>
                <w:spacing w:val="-12"/>
                <w:sz w:val="22"/>
              </w:rPr>
              <w:t> </w:t>
            </w:r>
            <w:r>
              <w:rPr>
                <w:sz w:val="22"/>
              </w:rPr>
              <w:t>Analysis </w:t>
            </w:r>
            <w:r>
              <w:rPr>
                <w:spacing w:val="-2"/>
                <w:sz w:val="22"/>
              </w:rPr>
              <w:t>Procedures</w:t>
            </w:r>
          </w:p>
        </w:tc>
      </w:tr>
      <w:tr>
        <w:trPr>
          <w:trHeight w:val="561" w:hRule="atLeast"/>
        </w:trPr>
        <w:tc>
          <w:tcPr>
            <w:tcW w:w="3778" w:type="dxa"/>
          </w:tcPr>
          <w:p>
            <w:pPr>
              <w:pStyle w:val="TableParagraph"/>
              <w:tabs>
                <w:tab w:pos="547" w:val="left" w:leader="none"/>
              </w:tabs>
              <w:spacing w:before="153"/>
              <w:ind w:left="0" w:right="692"/>
              <w:jc w:val="right"/>
              <w:rPr>
                <w:sz w:val="22"/>
              </w:rPr>
            </w:pPr>
            <w:r>
              <w:rPr>
                <w:b/>
                <w:spacing w:val="-5"/>
                <w:sz w:val="22"/>
              </w:rPr>
              <w:t>7.2</w:t>
            </w:r>
            <w:r>
              <w:rPr>
                <w:b/>
                <w:sz w:val="22"/>
              </w:rPr>
              <w:tab/>
            </w:r>
            <w:hyperlink r:id="rId12">
              <w:r>
                <w:rPr>
                  <w:color w:val="0000FF"/>
                  <w:spacing w:val="-2"/>
                  <w:sz w:val="22"/>
                  <w:u w:val="single" w:color="0000FF"/>
                </w:rPr>
                <w:t>PI_WI_PK0205</w:t>
              </w:r>
            </w:hyperlink>
          </w:p>
        </w:tc>
        <w:tc>
          <w:tcPr>
            <w:tcW w:w="6125" w:type="dxa"/>
          </w:tcPr>
          <w:p>
            <w:pPr>
              <w:pStyle w:val="TableParagraph"/>
              <w:spacing w:line="228" w:lineRule="auto" w:before="34"/>
              <w:rPr>
                <w:sz w:val="22"/>
              </w:rPr>
            </w:pPr>
            <w:r>
              <w:rPr>
                <w:sz w:val="22"/>
              </w:rPr>
              <w:t>Standardization</w:t>
            </w:r>
            <w:r>
              <w:rPr>
                <w:spacing w:val="-9"/>
                <w:sz w:val="22"/>
              </w:rPr>
              <w:t> </w:t>
            </w:r>
            <w:r>
              <w:rPr>
                <w:sz w:val="22"/>
              </w:rPr>
              <w:t>of</w:t>
            </w:r>
            <w:r>
              <w:rPr>
                <w:spacing w:val="-9"/>
                <w:sz w:val="22"/>
              </w:rPr>
              <w:t> </w:t>
            </w:r>
            <w:r>
              <w:rPr>
                <w:sz w:val="22"/>
              </w:rPr>
              <w:t>Pharmacokinetic</w:t>
            </w:r>
            <w:r>
              <w:rPr>
                <w:spacing w:val="-9"/>
                <w:sz w:val="22"/>
              </w:rPr>
              <w:t> </w:t>
            </w:r>
            <w:r>
              <w:rPr>
                <w:sz w:val="22"/>
              </w:rPr>
              <w:t>and</w:t>
            </w:r>
            <w:r>
              <w:rPr>
                <w:spacing w:val="-9"/>
                <w:sz w:val="22"/>
              </w:rPr>
              <w:t> </w:t>
            </w:r>
            <w:r>
              <w:rPr>
                <w:sz w:val="22"/>
              </w:rPr>
              <w:t>Pharmacodynamic </w:t>
            </w:r>
            <w:r>
              <w:rPr>
                <w:spacing w:val="-2"/>
                <w:sz w:val="22"/>
              </w:rPr>
              <w:t>Symbols</w:t>
            </w:r>
          </w:p>
        </w:tc>
      </w:tr>
    </w:tbl>
    <w:p>
      <w:pPr>
        <w:pStyle w:val="BodyText"/>
        <w:spacing w:before="4"/>
        <w:rPr>
          <w:b/>
          <w:sz w:val="12"/>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SUPERSEDES" w:id="13"/>
      <w:bookmarkEnd w:id="13"/>
      <w:r>
        <w:rPr>
          <w:b/>
          <w:spacing w:val="-2"/>
          <w:sz w:val="22"/>
        </w:rPr>
        <w:t>SUPERSEDES</w:t>
      </w:r>
    </w:p>
    <w:p>
      <w:pPr>
        <w:pStyle w:val="BodyText"/>
        <w:spacing w:before="2"/>
        <w:rPr>
          <w:b/>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before="0"/>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before="0"/>
              <w:ind w:left="105"/>
              <w:rPr>
                <w:b/>
                <w:sz w:val="22"/>
              </w:rPr>
            </w:pPr>
            <w:r>
              <w:rPr>
                <w:b/>
                <w:spacing w:val="-2"/>
                <w:sz w:val="22"/>
              </w:rPr>
              <w:t>TITLE</w:t>
            </w:r>
          </w:p>
        </w:tc>
        <w:tc>
          <w:tcPr>
            <w:tcW w:w="2338" w:type="dxa"/>
            <w:shd w:val="clear" w:color="auto" w:fill="BFBFBF"/>
          </w:tcPr>
          <w:p>
            <w:pPr>
              <w:pStyle w:val="TableParagraph"/>
              <w:spacing w:line="248" w:lineRule="exact" w:before="0"/>
              <w:ind w:left="104"/>
              <w:rPr>
                <w:b/>
                <w:sz w:val="22"/>
              </w:rPr>
            </w:pPr>
            <w:r>
              <w:rPr>
                <w:b/>
                <w:sz w:val="22"/>
              </w:rPr>
              <w:t>REVISION</w:t>
            </w:r>
            <w:r>
              <w:rPr>
                <w:b/>
                <w:spacing w:val="-9"/>
                <w:sz w:val="22"/>
              </w:rPr>
              <w:t> </w:t>
            </w:r>
            <w:r>
              <w:rPr>
                <w:b/>
                <w:spacing w:val="-2"/>
                <w:sz w:val="22"/>
              </w:rPr>
              <w:t>NUMBER</w:t>
            </w:r>
          </w:p>
        </w:tc>
      </w:tr>
      <w:tr>
        <w:trPr>
          <w:trHeight w:val="508" w:hRule="atLeast"/>
        </w:trPr>
        <w:tc>
          <w:tcPr>
            <w:tcW w:w="3778" w:type="dxa"/>
          </w:tcPr>
          <w:p>
            <w:pPr>
              <w:pStyle w:val="TableParagraph"/>
              <w:tabs>
                <w:tab w:pos="1559" w:val="left" w:leader="none"/>
              </w:tabs>
              <w:ind w:left="1012"/>
              <w:rPr>
                <w:sz w:val="22"/>
              </w:rPr>
            </w:pPr>
            <w:r>
              <w:rPr>
                <w:b/>
                <w:spacing w:val="-5"/>
                <w:sz w:val="22"/>
              </w:rPr>
              <w:t>8.1</w:t>
            </w:r>
            <w:r>
              <w:rPr>
                <w:b/>
                <w:sz w:val="22"/>
              </w:rPr>
              <w:tab/>
            </w:r>
            <w:r>
              <w:rPr>
                <w:spacing w:val="-2"/>
                <w:sz w:val="22"/>
              </w:rPr>
              <w:t>PI_OP_PK0206</w:t>
            </w:r>
          </w:p>
        </w:tc>
        <w:tc>
          <w:tcPr>
            <w:tcW w:w="3802" w:type="dxa"/>
          </w:tcPr>
          <w:p>
            <w:pPr>
              <w:pStyle w:val="TableParagraph"/>
              <w:spacing w:line="254" w:lineRule="exact" w:before="0"/>
              <w:ind w:left="104"/>
              <w:rPr>
                <w:sz w:val="22"/>
              </w:rPr>
            </w:pPr>
            <w:r>
              <w:rPr>
                <w:spacing w:val="-2"/>
                <w:sz w:val="22"/>
              </w:rPr>
              <w:t>Pharmacokinetic/Pharmacodynamic </w:t>
            </w:r>
            <w:bookmarkStart w:name="MODIFICATION FROM PREVIOUS REVISION" w:id="14"/>
            <w:bookmarkEnd w:id="14"/>
            <w:r>
              <w:rPr>
                <w:spacing w:val="-2"/>
                <w:sz w:val="22"/>
              </w:rPr>
              <w:t>Analysis</w:t>
            </w:r>
          </w:p>
        </w:tc>
        <w:tc>
          <w:tcPr>
            <w:tcW w:w="2338" w:type="dxa"/>
          </w:tcPr>
          <w:p>
            <w:pPr>
              <w:pStyle w:val="TableParagraph"/>
              <w:spacing w:before="0"/>
              <w:ind w:left="104"/>
              <w:rPr>
                <w:sz w:val="22"/>
              </w:rPr>
            </w:pPr>
            <w:r>
              <w:rPr>
                <w:w w:val="100"/>
                <w:sz w:val="22"/>
              </w:rPr>
              <w:t>5</w:t>
            </w:r>
          </w:p>
        </w:tc>
      </w:tr>
    </w:tbl>
    <w:p>
      <w:pPr>
        <w:pStyle w:val="BodyText"/>
        <w:spacing w:before="5"/>
        <w:rPr>
          <w:b/>
          <w:sz w:val="20"/>
        </w:rPr>
      </w:pPr>
    </w:p>
    <w:p>
      <w:pPr>
        <w:pStyle w:val="ListParagraph"/>
        <w:numPr>
          <w:ilvl w:val="0"/>
          <w:numId w:val="1"/>
        </w:numPr>
        <w:tabs>
          <w:tab w:pos="1259" w:val="left" w:leader="none"/>
          <w:tab w:pos="1260" w:val="left" w:leader="none"/>
        </w:tabs>
        <w:spacing w:line="240" w:lineRule="auto" w:before="1" w:after="0"/>
        <w:ind w:left="1260" w:right="0" w:hanging="720"/>
        <w:jc w:val="left"/>
        <w:rPr>
          <w:b/>
          <w:sz w:val="22"/>
        </w:rPr>
      </w:pPr>
      <w:r>
        <w:rPr>
          <w:b/>
          <w:sz w:val="22"/>
        </w:rPr>
        <w:t>MODIFICATION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rPr>
          <w:b/>
          <w:sz w:val="20"/>
        </w:rPr>
      </w:pPr>
    </w:p>
    <w:p>
      <w:pPr>
        <w:pStyle w:val="BodyText"/>
        <w:spacing w:before="7"/>
        <w:rPr>
          <w:b/>
          <w:sz w:val="12"/>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8"/>
        <w:gridCol w:w="2967"/>
        <w:gridCol w:w="3514"/>
      </w:tblGrid>
      <w:tr>
        <w:trPr>
          <w:trHeight w:val="325" w:hRule="atLeast"/>
        </w:trPr>
        <w:tc>
          <w:tcPr>
            <w:tcW w:w="3418" w:type="dxa"/>
            <w:shd w:val="clear" w:color="auto" w:fill="BFBFBF"/>
          </w:tcPr>
          <w:p>
            <w:pPr>
              <w:pStyle w:val="TableParagraph"/>
              <w:spacing w:before="28"/>
              <w:ind w:left="110"/>
              <w:rPr>
                <w:b/>
                <w:sz w:val="22"/>
              </w:rPr>
            </w:pPr>
            <w:r>
              <w:rPr>
                <w:b/>
                <w:spacing w:val="-2"/>
                <w:sz w:val="22"/>
              </w:rPr>
              <w:t>CHANGE</w:t>
            </w:r>
          </w:p>
        </w:tc>
        <w:tc>
          <w:tcPr>
            <w:tcW w:w="2967" w:type="dxa"/>
            <w:shd w:val="clear" w:color="auto" w:fill="BFBFBF"/>
          </w:tcPr>
          <w:p>
            <w:pPr>
              <w:pStyle w:val="TableParagraph"/>
              <w:spacing w:before="28"/>
              <w:ind w:left="105"/>
              <w:rPr>
                <w:b/>
                <w:sz w:val="22"/>
              </w:rPr>
            </w:pPr>
            <w:r>
              <w:rPr>
                <w:b/>
                <w:sz w:val="22"/>
              </w:rPr>
              <w:t>SECTION</w:t>
            </w:r>
            <w:r>
              <w:rPr>
                <w:b/>
                <w:spacing w:val="-8"/>
                <w:sz w:val="22"/>
              </w:rPr>
              <w:t> </w:t>
            </w:r>
            <w:r>
              <w:rPr>
                <w:b/>
                <w:spacing w:val="-2"/>
                <w:sz w:val="22"/>
              </w:rPr>
              <w:t>REFERENCE</w:t>
            </w:r>
          </w:p>
        </w:tc>
        <w:tc>
          <w:tcPr>
            <w:tcW w:w="3514" w:type="dxa"/>
            <w:shd w:val="clear" w:color="auto" w:fill="BFBFBF"/>
          </w:tcPr>
          <w:p>
            <w:pPr>
              <w:pStyle w:val="TableParagraph"/>
              <w:spacing w:before="28"/>
              <w:rPr>
                <w:b/>
                <w:sz w:val="22"/>
              </w:rPr>
            </w:pPr>
            <w:r>
              <w:rPr>
                <w:b/>
                <w:spacing w:val="-2"/>
                <w:sz w:val="22"/>
              </w:rPr>
              <w:t>JUSTIFICATION</w:t>
            </w:r>
          </w:p>
        </w:tc>
      </w:tr>
      <w:tr>
        <w:trPr>
          <w:trHeight w:val="556" w:hRule="atLeast"/>
        </w:trPr>
        <w:tc>
          <w:tcPr>
            <w:tcW w:w="3418" w:type="dxa"/>
          </w:tcPr>
          <w:p>
            <w:pPr>
              <w:pStyle w:val="TableParagraph"/>
              <w:spacing w:line="228" w:lineRule="auto" w:before="34"/>
              <w:ind w:left="110"/>
              <w:rPr>
                <w:sz w:val="22"/>
              </w:rPr>
            </w:pPr>
            <w:r>
              <w:rPr>
                <w:sz w:val="22"/>
              </w:rPr>
              <w:t>Aligned language with that of Section</w:t>
            </w:r>
            <w:r>
              <w:rPr>
                <w:spacing w:val="-11"/>
                <w:sz w:val="22"/>
              </w:rPr>
              <w:t> </w:t>
            </w:r>
            <w:r>
              <w:rPr>
                <w:sz w:val="22"/>
              </w:rPr>
              <w:t>6.1.1</w:t>
            </w:r>
            <w:r>
              <w:rPr>
                <w:spacing w:val="-11"/>
                <w:sz w:val="22"/>
              </w:rPr>
              <w:t> </w:t>
            </w:r>
            <w:r>
              <w:rPr>
                <w:sz w:val="22"/>
              </w:rPr>
              <w:t>in</w:t>
            </w:r>
            <w:r>
              <w:rPr>
                <w:spacing w:val="-14"/>
                <w:sz w:val="22"/>
              </w:rPr>
              <w:t> </w:t>
            </w:r>
            <w:r>
              <w:rPr>
                <w:sz w:val="22"/>
              </w:rPr>
              <w:t>PI_WI_PK0202</w:t>
            </w:r>
          </w:p>
        </w:tc>
        <w:tc>
          <w:tcPr>
            <w:tcW w:w="2967" w:type="dxa"/>
          </w:tcPr>
          <w:p>
            <w:pPr>
              <w:pStyle w:val="TableParagraph"/>
              <w:spacing w:before="28"/>
              <w:ind w:left="105"/>
              <w:rPr>
                <w:sz w:val="22"/>
              </w:rPr>
            </w:pPr>
            <w:r>
              <w:rPr>
                <w:sz w:val="22"/>
              </w:rPr>
              <w:t>Section </w:t>
            </w:r>
            <w:r>
              <w:rPr>
                <w:spacing w:val="-2"/>
                <w:sz w:val="22"/>
              </w:rPr>
              <w:t>6.1.1</w:t>
            </w:r>
          </w:p>
        </w:tc>
        <w:tc>
          <w:tcPr>
            <w:tcW w:w="3514" w:type="dxa"/>
          </w:tcPr>
          <w:p>
            <w:pPr>
              <w:pStyle w:val="TableParagraph"/>
              <w:spacing w:line="228" w:lineRule="auto" w:before="34"/>
              <w:rPr>
                <w:sz w:val="22"/>
              </w:rPr>
            </w:pPr>
            <w:r>
              <w:rPr>
                <w:sz w:val="22"/>
              </w:rPr>
              <w:t>Maintain consistent language between</w:t>
            </w:r>
            <w:r>
              <w:rPr>
                <w:spacing w:val="-8"/>
                <w:sz w:val="22"/>
              </w:rPr>
              <w:t> </w:t>
            </w:r>
            <w:r>
              <w:rPr>
                <w:sz w:val="22"/>
              </w:rPr>
              <w:t>OP</w:t>
            </w:r>
            <w:r>
              <w:rPr>
                <w:spacing w:val="-8"/>
                <w:sz w:val="22"/>
              </w:rPr>
              <w:t> </w:t>
            </w:r>
            <w:r>
              <w:rPr>
                <w:sz w:val="22"/>
              </w:rPr>
              <w:t>and</w:t>
            </w:r>
            <w:r>
              <w:rPr>
                <w:spacing w:val="-8"/>
                <w:sz w:val="22"/>
              </w:rPr>
              <w:t> </w:t>
            </w:r>
            <w:r>
              <w:rPr>
                <w:sz w:val="22"/>
              </w:rPr>
              <w:t>associated</w:t>
            </w:r>
            <w:r>
              <w:rPr>
                <w:spacing w:val="-8"/>
                <w:sz w:val="22"/>
              </w:rPr>
              <w:t> </w:t>
            </w:r>
            <w:r>
              <w:rPr>
                <w:sz w:val="22"/>
              </w:rPr>
              <w:t>WI</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APPENDICES" w:id="15"/>
      <w:bookmarkEnd w:id="15"/>
      <w:r>
        <w:rPr>
          <w:b/>
          <w:spacing w:val="-2"/>
          <w:sz w:val="22"/>
        </w:rPr>
        <w:t>APPENDICES</w:t>
      </w:r>
    </w:p>
    <w:p>
      <w:pPr>
        <w:pStyle w:val="BodyText"/>
        <w:spacing w:before="126"/>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3"/>
        </w:rPr>
      </w:pPr>
      <w:r>
        <w:rPr/>
        <w:pict>
          <v:rect style="position:absolute;margin-left:66pt;margin-top:9.047764pt;width:475.44pt;height:.24pt;mso-position-horizontal-relative:page;mso-position-vertical-relative:paragraph;z-index:-15727616;mso-wrap-distance-left:0;mso-wrap-distance-right:0" id="docshape8" filled="true" fillcolor="#000000" stroked="false">
            <v:fill type="solid"/>
            <w10:wrap type="topAndBottom"/>
          </v:rect>
        </w:pict>
      </w:r>
    </w:p>
    <w:p>
      <w:pPr>
        <w:spacing w:line="183" w:lineRule="exact" w:before="18"/>
        <w:ind w:left="4764" w:right="0" w:firstLine="0"/>
        <w:jc w:val="left"/>
        <w:rPr>
          <w:sz w:val="16"/>
        </w:rPr>
      </w:pPr>
      <w:r>
        <w:rPr>
          <w:sz w:val="16"/>
        </w:rPr>
        <w:t>Page</w:t>
      </w:r>
      <w:r>
        <w:rPr>
          <w:spacing w:val="-2"/>
          <w:sz w:val="16"/>
        </w:rPr>
        <w:t> </w:t>
      </w:r>
      <w:r>
        <w:rPr>
          <w:sz w:val="16"/>
        </w:rPr>
        <w:t>5</w:t>
      </w:r>
      <w:r>
        <w:rPr>
          <w:spacing w:val="-4"/>
          <w:sz w:val="16"/>
        </w:rPr>
        <w:t> </w:t>
      </w:r>
      <w:r>
        <w:rPr>
          <w:sz w:val="16"/>
        </w:rPr>
        <w:t>of</w:t>
      </w:r>
      <w:r>
        <w:rPr>
          <w:spacing w:val="-3"/>
          <w:sz w:val="16"/>
        </w:rPr>
        <w:t> </w:t>
      </w:r>
      <w:r>
        <w:rPr>
          <w:spacing w:val="-10"/>
          <w:sz w:val="16"/>
        </w:rPr>
        <w:t>5</w:t>
      </w:r>
    </w:p>
    <w:p>
      <w:pPr>
        <w:spacing w:line="244" w:lineRule="auto" w:before="0"/>
        <w:ind w:left="448" w:right="490" w:firstLine="0"/>
        <w:jc w:val="left"/>
        <w:rPr>
          <w:sz w:val="16"/>
        </w:rPr>
      </w:pPr>
      <w:r>
        <w:rPr>
          <w:sz w:val="16"/>
        </w:rPr>
        <w:t>Copyright</w:t>
      </w:r>
      <w:r>
        <w:rPr>
          <w:spacing w:val="-2"/>
          <w:sz w:val="16"/>
        </w:rPr>
        <w:t> </w:t>
      </w:r>
      <w:r>
        <w:rPr>
          <w:sz w:val="16"/>
        </w:rPr>
        <w:t>©</w:t>
      </w:r>
      <w:r>
        <w:rPr>
          <w:spacing w:val="-2"/>
          <w:sz w:val="16"/>
        </w:rPr>
        <w:t> </w:t>
      </w:r>
      <w:r>
        <w:rPr>
          <w:sz w:val="16"/>
        </w:rPr>
        <w:t>2010,</w:t>
      </w:r>
      <w:r>
        <w:rPr>
          <w:spacing w:val="-2"/>
          <w:sz w:val="16"/>
        </w:rPr>
        <w:t> </w:t>
      </w:r>
      <w:r>
        <w:rPr>
          <w:sz w:val="16"/>
        </w:rPr>
        <w:t>2013,</w:t>
      </w:r>
      <w:r>
        <w:rPr>
          <w:spacing w:val="-2"/>
          <w:sz w:val="16"/>
        </w:rPr>
        <w:t> </w:t>
      </w:r>
      <w:r>
        <w:rPr>
          <w:sz w:val="16"/>
        </w:rPr>
        <w:t>2014,</w:t>
      </w:r>
      <w:r>
        <w:rPr>
          <w:spacing w:val="-2"/>
          <w:sz w:val="16"/>
        </w:rPr>
        <w:t> </w:t>
      </w:r>
      <w:r>
        <w:rPr>
          <w:sz w:val="16"/>
        </w:rPr>
        <w:t>2016,</w:t>
      </w:r>
      <w:r>
        <w:rPr>
          <w:spacing w:val="-2"/>
          <w:sz w:val="16"/>
        </w:rPr>
        <w:t> </w:t>
      </w:r>
      <w:r>
        <w:rPr>
          <w:sz w:val="16"/>
        </w:rPr>
        <w:t>2018,</w:t>
      </w:r>
      <w:r>
        <w:rPr>
          <w:spacing w:val="-3"/>
          <w:sz w:val="16"/>
        </w:rPr>
        <w:t> </w:t>
      </w:r>
      <w:r>
        <w:rPr>
          <w:sz w:val="16"/>
        </w:rPr>
        <w:t>2020</w:t>
      </w:r>
      <w:r>
        <w:rPr>
          <w:spacing w:val="-2"/>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 to IQVIA Holdings Inc. and its subsidiaries. Unauthorized use, disclosure or reproduction is strictly prohibited.</w:t>
      </w:r>
    </w:p>
    <w:p>
      <w:pPr>
        <w:spacing w:after="0" w:line="244" w:lineRule="auto"/>
        <w:jc w:val="left"/>
        <w:rPr>
          <w:sz w:val="16"/>
        </w:rPr>
        <w:sectPr>
          <w:headerReference w:type="default" r:id="rId9"/>
          <w:footerReference w:type="default" r:id="rId10"/>
          <w:pgSz w:w="12240" w:h="15840"/>
          <w:pgMar w:header="725" w:footer="268" w:top="2520" w:bottom="460" w:left="900" w:right="960"/>
        </w:sectPr>
      </w:pPr>
    </w:p>
    <w:p>
      <w:pPr>
        <w:spacing w:line="321" w:lineRule="exact" w:before="79"/>
        <w:ind w:left="606" w:right="516" w:firstLine="0"/>
        <w:jc w:val="center"/>
        <w:rPr>
          <w:sz w:val="28"/>
        </w:rPr>
      </w:pPr>
      <w:r>
        <w:rPr/>
        <w:drawing>
          <wp:anchor distT="0" distB="0" distL="0" distR="0" allowOverlap="1" layoutInCell="1" locked="0" behindDoc="0" simplePos="0" relativeHeight="15730176">
            <wp:simplePos x="0" y="0"/>
            <wp:positionH relativeFrom="page">
              <wp:posOffset>1780794</wp:posOffset>
            </wp:positionH>
            <wp:positionV relativeFrom="paragraph">
              <wp:posOffset>207033</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15" cstate="print"/>
                    <a:stretch>
                      <a:fillRect/>
                    </a:stretch>
                  </pic:blipFill>
                  <pic:spPr>
                    <a:xfrm>
                      <a:off x="0" y="0"/>
                      <a:ext cx="19812" cy="9905"/>
                    </a:xfrm>
                    <a:prstGeom prst="rect">
                      <a:avLst/>
                    </a:prstGeom>
                  </pic:spPr>
                </pic:pic>
              </a:graphicData>
            </a:graphic>
          </wp:anchor>
        </w:drawing>
      </w:r>
      <w:bookmarkStart w:name="244056692_2_0_sgTemplateFile.pdf" w:id="16"/>
      <w:bookmarkEnd w:id="16"/>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610" w:firstLine="0"/>
        <w:jc w:val="left"/>
        <w:rPr>
          <w:sz w:val="20"/>
        </w:rPr>
      </w:pPr>
      <w:r>
        <w:rPr>
          <w:sz w:val="20"/>
        </w:rPr>
        <w:t>UserName:</w:t>
      </w:r>
      <w:r>
        <w:rPr>
          <w:spacing w:val="-11"/>
          <w:sz w:val="20"/>
        </w:rPr>
        <w:t> </w:t>
      </w:r>
      <w:r>
        <w:rPr>
          <w:sz w:val="20"/>
        </w:rPr>
        <w:t>Rossouw,</w:t>
      </w:r>
      <w:r>
        <w:rPr>
          <w:spacing w:val="-11"/>
          <w:sz w:val="20"/>
        </w:rPr>
        <w:t> </w:t>
      </w:r>
      <w:r>
        <w:rPr>
          <w:sz w:val="20"/>
        </w:rPr>
        <w:t>Sharon</w:t>
      </w:r>
      <w:r>
        <w:rPr>
          <w:spacing w:val="37"/>
          <w:sz w:val="20"/>
        </w:rPr>
        <w:t> </w:t>
      </w:r>
      <w:r>
        <w:rPr>
          <w:sz w:val="20"/>
        </w:rPr>
        <w:t>(q608169) </w:t>
      </w:r>
      <w:r>
        <w:rPr>
          <w:spacing w:val="-2"/>
          <w:sz w:val="20"/>
        </w:rPr>
        <w:t>Title:</w:t>
      </w:r>
    </w:p>
    <w:p>
      <w:pPr>
        <w:spacing w:line="249" w:lineRule="auto" w:before="1"/>
        <w:ind w:left="740" w:right="3119" w:firstLine="0"/>
        <w:jc w:val="left"/>
        <w:rPr>
          <w:sz w:val="20"/>
        </w:rPr>
      </w:pPr>
      <w:r>
        <w:rPr>
          <w:sz w:val="20"/>
        </w:rPr>
        <w:t>Date:</w:t>
      </w:r>
      <w:r>
        <w:rPr>
          <w:spacing w:val="-5"/>
          <w:sz w:val="20"/>
        </w:rPr>
        <w:t> </w:t>
      </w:r>
      <w:r>
        <w:rPr>
          <w:sz w:val="20"/>
        </w:rPr>
        <w:t>Wednesday,</w:t>
      </w:r>
      <w:r>
        <w:rPr>
          <w:spacing w:val="-4"/>
          <w:sz w:val="20"/>
        </w:rPr>
        <w:t> </w:t>
      </w:r>
      <w:r>
        <w:rPr>
          <w:sz w:val="20"/>
        </w:rPr>
        <w:t>30</w:t>
      </w:r>
      <w:r>
        <w:rPr>
          <w:spacing w:val="-5"/>
          <w:sz w:val="20"/>
        </w:rPr>
        <w:t> </w:t>
      </w:r>
      <w:r>
        <w:rPr>
          <w:sz w:val="20"/>
        </w:rPr>
        <w:t>September</w:t>
      </w:r>
      <w:r>
        <w:rPr>
          <w:spacing w:val="-4"/>
          <w:sz w:val="20"/>
        </w:rPr>
        <w:t> </w:t>
      </w:r>
      <w:r>
        <w:rPr>
          <w:sz w:val="20"/>
        </w:rPr>
        <w:t>2020,</w:t>
      </w:r>
      <w:r>
        <w:rPr>
          <w:spacing w:val="-5"/>
          <w:sz w:val="20"/>
        </w:rPr>
        <w:t> </w:t>
      </w:r>
      <w:r>
        <w:rPr>
          <w:sz w:val="20"/>
        </w:rPr>
        <w:t>10:50</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610" w:firstLine="0"/>
        <w:jc w:val="left"/>
        <w:rPr>
          <w:sz w:val="20"/>
        </w:rPr>
      </w:pPr>
      <w:r>
        <w:rPr>
          <w:sz w:val="20"/>
        </w:rPr>
        <w:t>UserName:</w:t>
      </w:r>
      <w:r>
        <w:rPr>
          <w:spacing w:val="-10"/>
          <w:sz w:val="20"/>
        </w:rPr>
        <w:t> </w:t>
      </w:r>
      <w:r>
        <w:rPr>
          <w:sz w:val="20"/>
        </w:rPr>
        <w:t>Levasseur,</w:t>
      </w:r>
      <w:r>
        <w:rPr>
          <w:spacing w:val="-10"/>
          <w:sz w:val="20"/>
        </w:rPr>
        <w:t> </w:t>
      </w:r>
      <w:r>
        <w:rPr>
          <w:sz w:val="20"/>
        </w:rPr>
        <w:t>Laurence</w:t>
      </w:r>
      <w:r>
        <w:rPr>
          <w:spacing w:val="37"/>
          <w:sz w:val="20"/>
        </w:rPr>
        <w:t> </w:t>
      </w:r>
      <w:r>
        <w:rPr>
          <w:sz w:val="20"/>
        </w:rPr>
        <w:t>(q411935) </w:t>
      </w:r>
      <w:r>
        <w:rPr>
          <w:spacing w:val="-2"/>
          <w:sz w:val="20"/>
        </w:rPr>
        <w:t>Title:</w:t>
      </w:r>
    </w:p>
    <w:p>
      <w:pPr>
        <w:spacing w:line="249" w:lineRule="auto" w:before="1"/>
        <w:ind w:left="740" w:right="3119" w:firstLine="0"/>
        <w:jc w:val="left"/>
        <w:rPr>
          <w:sz w:val="20"/>
        </w:rPr>
      </w:pPr>
      <w:r>
        <w:rPr>
          <w:sz w:val="20"/>
        </w:rPr>
        <w:t>Date:</w:t>
      </w:r>
      <w:r>
        <w:rPr>
          <w:spacing w:val="-5"/>
          <w:sz w:val="20"/>
        </w:rPr>
        <w:t> </w:t>
      </w:r>
      <w:r>
        <w:rPr>
          <w:sz w:val="20"/>
        </w:rPr>
        <w:t>Wednesday,</w:t>
      </w:r>
      <w:r>
        <w:rPr>
          <w:spacing w:val="-4"/>
          <w:sz w:val="20"/>
        </w:rPr>
        <w:t> </w:t>
      </w:r>
      <w:r>
        <w:rPr>
          <w:sz w:val="20"/>
        </w:rPr>
        <w:t>30</w:t>
      </w:r>
      <w:r>
        <w:rPr>
          <w:spacing w:val="-5"/>
          <w:sz w:val="20"/>
        </w:rPr>
        <w:t> </w:t>
      </w:r>
      <w:r>
        <w:rPr>
          <w:sz w:val="20"/>
        </w:rPr>
        <w:t>September</w:t>
      </w:r>
      <w:r>
        <w:rPr>
          <w:spacing w:val="-4"/>
          <w:sz w:val="20"/>
        </w:rPr>
        <w:t> </w:t>
      </w:r>
      <w:r>
        <w:rPr>
          <w:sz w:val="20"/>
        </w:rPr>
        <w:t>2020,</w:t>
      </w:r>
      <w:r>
        <w:rPr>
          <w:spacing w:val="-5"/>
          <w:sz w:val="20"/>
        </w:rPr>
        <w:t> </w:t>
      </w:r>
      <w:r>
        <w:rPr>
          <w:sz w:val="20"/>
        </w:rPr>
        <w:t>11:26</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13"/>
      <w:footerReference w:type="default" r:id="rId14"/>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34.159973pt;width:470.88pt;height:.48pt;mso-position-horizontal-relative:page;mso-position-vertical-relative:page;z-index:-16024576"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34.870239pt;width:451.05pt;height:49.15pt;mso-position-horizontal-relative:page;mso-position-vertical-relative:page;z-index:-16024064" type="#_x0000_t202" id="docshape2" filled="false" stroked="false">
          <v:textbox inset="0,0,0,0">
            <w:txbxContent>
              <w:p>
                <w:pPr>
                  <w:spacing w:line="183" w:lineRule="exact" w:before="13"/>
                  <w:ind w:left="4292"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10"/>
                    <w:sz w:val="16"/>
                  </w:rPr>
                  <w:t>5</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2010,</w:t>
                </w:r>
                <w:r>
                  <w:rPr>
                    <w:spacing w:val="-2"/>
                    <w:sz w:val="16"/>
                  </w:rPr>
                  <w:t> </w:t>
                </w:r>
                <w:r>
                  <w:rPr>
                    <w:sz w:val="16"/>
                  </w:rPr>
                  <w:t>2013,</w:t>
                </w:r>
                <w:r>
                  <w:rPr>
                    <w:spacing w:val="-2"/>
                    <w:sz w:val="16"/>
                  </w:rPr>
                  <w:t> </w:t>
                </w:r>
                <w:r>
                  <w:rPr>
                    <w:sz w:val="16"/>
                  </w:rPr>
                  <w:t>2014,</w:t>
                </w:r>
                <w:r>
                  <w:rPr>
                    <w:spacing w:val="-2"/>
                    <w:sz w:val="16"/>
                  </w:rPr>
                  <w:t> </w:t>
                </w:r>
                <w:r>
                  <w:rPr>
                    <w:sz w:val="16"/>
                  </w:rPr>
                  <w:t>2016,</w:t>
                </w:r>
                <w:r>
                  <w:rPr>
                    <w:spacing w:val="-2"/>
                    <w:sz w:val="16"/>
                  </w:rPr>
                  <w:t> </w:t>
                </w:r>
                <w:r>
                  <w:rPr>
                    <w:sz w:val="16"/>
                  </w:rPr>
                  <w:t>2018,</w:t>
                </w:r>
                <w:r>
                  <w:rPr>
                    <w:spacing w:val="-3"/>
                    <w:sz w:val="16"/>
                  </w:rPr>
                  <w:t> </w:t>
                </w:r>
                <w:r>
                  <w:rPr>
                    <w:sz w:val="16"/>
                  </w:rPr>
                  <w:t>2020</w:t>
                </w:r>
                <w:r>
                  <w:rPr>
                    <w:spacing w:val="-2"/>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 to IQVIA Holdings Inc. and its subsidiaries. Unauthorized use, disclosure or reproduction is strictly prohibited.</w:t>
                </w:r>
              </w:p>
              <w:p>
                <w:pPr>
                  <w:spacing w:before="105"/>
                  <w:ind w:left="8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PI_OP_PK0206</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6</w:t>
                </w:r>
                <w:r>
                  <w:rPr>
                    <w:rFonts w:ascii="Trebuchet MS"/>
                    <w:color w:val="191919"/>
                    <w:spacing w:val="-18"/>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01-Nov-2020</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023040" id="docshape4" filled="true" fillcolor="#000000" stroked="false">
          <v:fill type="solid"/>
          <w10:wrap type="none"/>
        </v:rect>
      </w:pict>
    </w:r>
    <w:r>
      <w:rPr/>
      <w:pict>
        <v:shape style="position:absolute;margin-left:66.440002pt;margin-top:734.870239pt;width:451.05pt;height:49.15pt;mso-position-horizontal-relative:page;mso-position-vertical-relative:page;z-index:-16022528" type="#_x0000_t202" id="docshape5" filled="false" stroked="false">
          <v:textbox inset="0,0,0,0">
            <w:txbxContent>
              <w:p>
                <w:pPr>
                  <w:spacing w:line="183" w:lineRule="exact" w:before="13"/>
                  <w:ind w:left="4335"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2</w:t>
                </w:r>
                <w:r>
                  <w:rPr>
                    <w:sz w:val="16"/>
                  </w:rPr>
                  <w:fldChar w:fldCharType="end"/>
                </w:r>
                <w:r>
                  <w:rPr>
                    <w:spacing w:val="-4"/>
                    <w:sz w:val="16"/>
                  </w:rPr>
                  <w:t> </w:t>
                </w:r>
                <w:r>
                  <w:rPr>
                    <w:sz w:val="16"/>
                  </w:rPr>
                  <w:t>of</w:t>
                </w:r>
                <w:r>
                  <w:rPr>
                    <w:spacing w:val="-3"/>
                    <w:sz w:val="16"/>
                  </w:rPr>
                  <w:t> </w:t>
                </w:r>
                <w:r>
                  <w:rPr>
                    <w:spacing w:val="-10"/>
                    <w:sz w:val="16"/>
                  </w:rPr>
                  <w:t>5</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2010,</w:t>
                </w:r>
                <w:r>
                  <w:rPr>
                    <w:spacing w:val="-2"/>
                    <w:sz w:val="16"/>
                  </w:rPr>
                  <w:t> </w:t>
                </w:r>
                <w:r>
                  <w:rPr>
                    <w:sz w:val="16"/>
                  </w:rPr>
                  <w:t>2013,</w:t>
                </w:r>
                <w:r>
                  <w:rPr>
                    <w:spacing w:val="-2"/>
                    <w:sz w:val="16"/>
                  </w:rPr>
                  <w:t> </w:t>
                </w:r>
                <w:r>
                  <w:rPr>
                    <w:sz w:val="16"/>
                  </w:rPr>
                  <w:t>2014,</w:t>
                </w:r>
                <w:r>
                  <w:rPr>
                    <w:spacing w:val="-2"/>
                    <w:sz w:val="16"/>
                  </w:rPr>
                  <w:t> </w:t>
                </w:r>
                <w:r>
                  <w:rPr>
                    <w:sz w:val="16"/>
                  </w:rPr>
                  <w:t>2016,</w:t>
                </w:r>
                <w:r>
                  <w:rPr>
                    <w:spacing w:val="-2"/>
                    <w:sz w:val="16"/>
                  </w:rPr>
                  <w:t> </w:t>
                </w:r>
                <w:r>
                  <w:rPr>
                    <w:sz w:val="16"/>
                  </w:rPr>
                  <w:t>2018,</w:t>
                </w:r>
                <w:r>
                  <w:rPr>
                    <w:spacing w:val="-3"/>
                    <w:sz w:val="16"/>
                  </w:rPr>
                  <w:t> </w:t>
                </w:r>
                <w:r>
                  <w:rPr>
                    <w:sz w:val="16"/>
                  </w:rPr>
                  <w:t>2020</w:t>
                </w:r>
                <w:r>
                  <w:rPr>
                    <w:spacing w:val="-2"/>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 to IQVIA Holdings Inc. and its subsidiaries. Unauthorized use, disclosure or reproduction is strictly prohibited.</w:t>
                </w:r>
              </w:p>
              <w:p>
                <w:pPr>
                  <w:spacing w:before="105"/>
                  <w:ind w:left="911"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PI_OP_PK0206</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6</w:t>
                </w:r>
                <w:r>
                  <w:rPr>
                    <w:rFonts w:ascii="Trebuchet MS"/>
                    <w:color w:val="191919"/>
                    <w:spacing w:val="-18"/>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01-Nov-2020</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1.019989pt;margin-top:767.575989pt;width:390pt;height:16.45pt;mso-position-horizontal-relative:page;mso-position-vertical-relative:page;z-index:-16021504"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PI_OP_PK0206</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6</w:t>
                </w:r>
                <w:r>
                  <w:rPr>
                    <w:rFonts w:ascii="Trebuchet MS"/>
                    <w:color w:val="191919"/>
                    <w:spacing w:val="-18"/>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01-Nov-2020</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1.019989pt;margin-top:767.575989pt;width:390pt;height:16.45pt;mso-position-horizontal-relative:page;mso-position-vertical-relative:page;z-index:-16020992" type="#_x0000_t202" id="docshape9"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PI_OP_PK0206</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6</w:t>
                </w:r>
                <w:r>
                  <w:rPr>
                    <w:rFonts w:ascii="Trebuchet MS"/>
                    <w:color w:val="191919"/>
                    <w:spacing w:val="-18"/>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01-Nov-2020</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pt;margin-top:36pt;width:475.2pt;height:90.45pt;mso-position-horizontal-relative:page;mso-position-vertical-relative:page;z-index:15728640"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5117"/>
                </w:tblGrid>
                <w:tr>
                  <w:trPr>
                    <w:trHeight w:val="892" w:hRule="atLeast"/>
                  </w:trPr>
                  <w:tc>
                    <w:tcPr>
                      <w:tcW w:w="4258" w:type="dxa"/>
                      <w:vMerge w:val="restart"/>
                      <w:tcBorders>
                        <w:right w:val="single" w:sz="8" w:space="0" w:color="000000"/>
                      </w:tcBorders>
                    </w:tcPr>
                    <w:p>
                      <w:pPr>
                        <w:pStyle w:val="TableParagraph"/>
                        <w:spacing w:before="0"/>
                        <w:ind w:left="0"/>
                        <w:rPr>
                          <w:rFonts w:ascii="Times New Roman"/>
                          <w:sz w:val="20"/>
                        </w:rPr>
                      </w:pPr>
                    </w:p>
                  </w:tc>
                  <w:tc>
                    <w:tcPr>
                      <w:tcW w:w="5117" w:type="dxa"/>
                      <w:tcBorders>
                        <w:left w:val="single" w:sz="8" w:space="0" w:color="000000"/>
                        <w:bottom w:val="single" w:sz="8" w:space="0" w:color="000000"/>
                      </w:tcBorders>
                    </w:tcPr>
                    <w:p>
                      <w:pPr>
                        <w:pStyle w:val="TableParagraph"/>
                        <w:spacing w:before="8"/>
                        <w:ind w:left="0"/>
                        <w:rPr>
                          <w:sz w:val="18"/>
                        </w:rPr>
                      </w:pPr>
                    </w:p>
                    <w:p>
                      <w:pPr>
                        <w:pStyle w:val="TableParagraph"/>
                        <w:spacing w:before="0"/>
                        <w:rPr>
                          <w:b/>
                          <w:sz w:val="20"/>
                        </w:rPr>
                      </w:pPr>
                      <w:r>
                        <w:rPr>
                          <w:b/>
                          <w:sz w:val="20"/>
                        </w:rPr>
                        <w:t>Document</w:t>
                      </w:r>
                      <w:r>
                        <w:rPr>
                          <w:b/>
                          <w:spacing w:val="-8"/>
                          <w:sz w:val="20"/>
                        </w:rPr>
                        <w:t> </w:t>
                      </w:r>
                      <w:r>
                        <w:rPr>
                          <w:b/>
                          <w:spacing w:val="-2"/>
                          <w:sz w:val="20"/>
                        </w:rPr>
                        <w:t>Title:</w:t>
                      </w:r>
                    </w:p>
                    <w:p>
                      <w:pPr>
                        <w:pStyle w:val="TableParagraph"/>
                        <w:spacing w:before="68"/>
                        <w:rPr>
                          <w:sz w:val="20"/>
                        </w:rPr>
                      </w:pPr>
                      <w:r>
                        <w:rPr>
                          <w:spacing w:val="-2"/>
                          <w:sz w:val="20"/>
                        </w:rPr>
                        <w:t>Pharmacokinetic/Pharmacodynamic</w:t>
                      </w:r>
                      <w:r>
                        <w:rPr>
                          <w:spacing w:val="29"/>
                          <w:sz w:val="20"/>
                        </w:rPr>
                        <w:t> </w:t>
                      </w:r>
                      <w:r>
                        <w:rPr>
                          <w:spacing w:val="-2"/>
                          <w:sz w:val="20"/>
                        </w:rPr>
                        <w:t>Analysis</w:t>
                      </w:r>
                    </w:p>
                  </w:tc>
                </w:tr>
                <w:tr>
                  <w:trPr>
                    <w:trHeight w:val="877" w:hRule="atLeast"/>
                  </w:trPr>
                  <w:tc>
                    <w:tcPr>
                      <w:tcW w:w="4258" w:type="dxa"/>
                      <w:vMerge/>
                      <w:tcBorders>
                        <w:top w:val="nil"/>
                        <w:right w:val="single" w:sz="8" w:space="0" w:color="000000"/>
                      </w:tcBorders>
                    </w:tcPr>
                    <w:p>
                      <w:pPr>
                        <w:rPr>
                          <w:sz w:val="2"/>
                          <w:szCs w:val="2"/>
                        </w:rPr>
                      </w:pPr>
                    </w:p>
                  </w:tc>
                  <w:tc>
                    <w:tcPr>
                      <w:tcW w:w="5117" w:type="dxa"/>
                      <w:tcBorders>
                        <w:top w:val="single" w:sz="8" w:space="0" w:color="000000"/>
                        <w:left w:val="single" w:sz="8" w:space="0" w:color="000000"/>
                      </w:tcBorders>
                    </w:tcPr>
                    <w:p>
                      <w:pPr>
                        <w:pStyle w:val="TableParagraph"/>
                        <w:spacing w:before="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rPr>
                          <w:sz w:val="20"/>
                        </w:rPr>
                      </w:pPr>
                      <w:r>
                        <w:rPr>
                          <w:sz w:val="20"/>
                        </w:rPr>
                        <w:t>PI_OP_PK0206</w:t>
                      </w:r>
                      <w:r>
                        <w:rPr>
                          <w:spacing w:val="-9"/>
                          <w:sz w:val="20"/>
                        </w:rPr>
                        <w:t> </w:t>
                      </w:r>
                      <w:r>
                        <w:rPr>
                          <w:sz w:val="20"/>
                        </w:rPr>
                        <w:t>Revision</w:t>
                      </w:r>
                      <w:r>
                        <w:rPr>
                          <w:spacing w:val="-8"/>
                          <w:sz w:val="20"/>
                        </w:rPr>
                        <w:t> </w:t>
                      </w:r>
                      <w:r>
                        <w:rPr>
                          <w:spacing w:val="-10"/>
                          <w:sz w:val="20"/>
                        </w:rPr>
                        <w:t>6</w:t>
                      </w:r>
                    </w:p>
                  </w:tc>
                </w:tr>
              </w:tbl>
              <w:p>
                <w:pPr>
                  <w:pStyle w:val="BodyText"/>
                </w:pPr>
              </w:p>
            </w:txbxContent>
          </v:textbox>
          <w10:wrap type="none"/>
        </v:shape>
      </w:pict>
    </w:r>
    <w:r>
      <w:rPr/>
      <w:drawing>
        <wp:anchor distT="0" distB="0" distL="0" distR="0" allowOverlap="1" layoutInCell="1" locked="0" behindDoc="1" simplePos="0" relativeHeight="487292928">
          <wp:simplePos x="0" y="0"/>
          <wp:positionH relativeFrom="page">
            <wp:posOffset>1271016</wp:posOffset>
          </wp:positionH>
          <wp:positionV relativeFrom="page">
            <wp:posOffset>871727</wp:posOffset>
          </wp:positionV>
          <wp:extent cx="1978152" cy="347472"/>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pt;margin-top:36pt;width:475.2pt;height:90.45pt;mso-position-horizontal-relative:page;mso-position-vertical-relative:page;z-index:15729152"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5117"/>
                </w:tblGrid>
                <w:tr>
                  <w:trPr>
                    <w:trHeight w:val="892" w:hRule="atLeast"/>
                  </w:trPr>
                  <w:tc>
                    <w:tcPr>
                      <w:tcW w:w="4258" w:type="dxa"/>
                      <w:vMerge w:val="restart"/>
                      <w:tcBorders>
                        <w:right w:val="single" w:sz="8" w:space="0" w:color="000000"/>
                      </w:tcBorders>
                    </w:tcPr>
                    <w:p>
                      <w:pPr>
                        <w:pStyle w:val="TableParagraph"/>
                        <w:spacing w:before="0"/>
                        <w:ind w:left="0"/>
                        <w:rPr>
                          <w:rFonts w:ascii="Times New Roman"/>
                          <w:sz w:val="20"/>
                        </w:rPr>
                      </w:pPr>
                    </w:p>
                  </w:tc>
                  <w:tc>
                    <w:tcPr>
                      <w:tcW w:w="5117" w:type="dxa"/>
                      <w:tcBorders>
                        <w:left w:val="single" w:sz="8" w:space="0" w:color="000000"/>
                        <w:bottom w:val="single" w:sz="8" w:space="0" w:color="000000"/>
                      </w:tcBorders>
                    </w:tcPr>
                    <w:p>
                      <w:pPr>
                        <w:pStyle w:val="TableParagraph"/>
                        <w:spacing w:before="8"/>
                        <w:ind w:left="0"/>
                        <w:rPr>
                          <w:sz w:val="18"/>
                        </w:rPr>
                      </w:pPr>
                    </w:p>
                    <w:p>
                      <w:pPr>
                        <w:pStyle w:val="TableParagraph"/>
                        <w:spacing w:before="0"/>
                        <w:rPr>
                          <w:b/>
                          <w:sz w:val="20"/>
                        </w:rPr>
                      </w:pPr>
                      <w:r>
                        <w:rPr>
                          <w:b/>
                          <w:sz w:val="20"/>
                        </w:rPr>
                        <w:t>Document</w:t>
                      </w:r>
                      <w:r>
                        <w:rPr>
                          <w:b/>
                          <w:spacing w:val="-8"/>
                          <w:sz w:val="20"/>
                        </w:rPr>
                        <w:t> </w:t>
                      </w:r>
                      <w:r>
                        <w:rPr>
                          <w:b/>
                          <w:spacing w:val="-2"/>
                          <w:sz w:val="20"/>
                        </w:rPr>
                        <w:t>Title:</w:t>
                      </w:r>
                    </w:p>
                    <w:p>
                      <w:pPr>
                        <w:pStyle w:val="TableParagraph"/>
                        <w:spacing w:before="68"/>
                        <w:rPr>
                          <w:sz w:val="20"/>
                        </w:rPr>
                      </w:pPr>
                      <w:r>
                        <w:rPr>
                          <w:spacing w:val="-2"/>
                          <w:sz w:val="20"/>
                        </w:rPr>
                        <w:t>Pharmacokinetic/Pharmacodynamic</w:t>
                      </w:r>
                      <w:r>
                        <w:rPr>
                          <w:spacing w:val="29"/>
                          <w:sz w:val="20"/>
                        </w:rPr>
                        <w:t> </w:t>
                      </w:r>
                      <w:r>
                        <w:rPr>
                          <w:spacing w:val="-2"/>
                          <w:sz w:val="20"/>
                        </w:rPr>
                        <w:t>Analysis</w:t>
                      </w:r>
                    </w:p>
                  </w:tc>
                </w:tr>
                <w:tr>
                  <w:trPr>
                    <w:trHeight w:val="877" w:hRule="atLeast"/>
                  </w:trPr>
                  <w:tc>
                    <w:tcPr>
                      <w:tcW w:w="4258" w:type="dxa"/>
                      <w:vMerge/>
                      <w:tcBorders>
                        <w:top w:val="nil"/>
                        <w:right w:val="single" w:sz="8" w:space="0" w:color="000000"/>
                      </w:tcBorders>
                    </w:tcPr>
                    <w:p>
                      <w:pPr>
                        <w:rPr>
                          <w:sz w:val="2"/>
                          <w:szCs w:val="2"/>
                        </w:rPr>
                      </w:pPr>
                    </w:p>
                  </w:tc>
                  <w:tc>
                    <w:tcPr>
                      <w:tcW w:w="5117" w:type="dxa"/>
                      <w:tcBorders>
                        <w:top w:val="single" w:sz="8" w:space="0" w:color="000000"/>
                        <w:left w:val="single" w:sz="8" w:space="0" w:color="000000"/>
                      </w:tcBorders>
                    </w:tcPr>
                    <w:p>
                      <w:pPr>
                        <w:pStyle w:val="TableParagraph"/>
                        <w:spacing w:before="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rPr>
                          <w:sz w:val="20"/>
                        </w:rPr>
                      </w:pPr>
                      <w:r>
                        <w:rPr>
                          <w:sz w:val="20"/>
                        </w:rPr>
                        <w:t>PI_OP_PK0206</w:t>
                      </w:r>
                      <w:r>
                        <w:rPr>
                          <w:spacing w:val="-9"/>
                          <w:sz w:val="20"/>
                        </w:rPr>
                        <w:t> </w:t>
                      </w:r>
                      <w:r>
                        <w:rPr>
                          <w:sz w:val="20"/>
                        </w:rPr>
                        <w:t>Revision</w:t>
                      </w:r>
                      <w:r>
                        <w:rPr>
                          <w:spacing w:val="-8"/>
                          <w:sz w:val="20"/>
                        </w:rPr>
                        <w:t> </w:t>
                      </w:r>
                      <w:r>
                        <w:rPr>
                          <w:spacing w:val="-10"/>
                          <w:sz w:val="20"/>
                        </w:rPr>
                        <w:t>6</w:t>
                      </w:r>
                    </w:p>
                  </w:tc>
                </w:tr>
              </w:tbl>
              <w:p>
                <w:pPr>
                  <w:pStyle w:val="BodyText"/>
                </w:pPr>
              </w:p>
            </w:txbxContent>
          </v:textbox>
          <w10:wrap type="none"/>
        </v:shape>
      </w:pict>
    </w:r>
    <w:r>
      <w:rPr/>
      <w:drawing>
        <wp:anchor distT="0" distB="0" distL="0" distR="0" allowOverlap="1" layoutInCell="1" locked="0" behindDoc="1" simplePos="0" relativeHeight="487294464">
          <wp:simplePos x="0" y="0"/>
          <wp:positionH relativeFrom="page">
            <wp:posOffset>1271016</wp:posOffset>
          </wp:positionH>
          <wp:positionV relativeFrom="page">
            <wp:posOffset>871727</wp:posOffset>
          </wp:positionV>
          <wp:extent cx="1978152" cy="347472"/>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ind w:left="1980" w:hanging="72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spacing w:before="38"/>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yperlink" Target="https://elvis.quintiles.com/livelink/llisapi.dll/open/PI_WI_PK0202" TargetMode="External"/><Relationship Id="rId12" Type="http://schemas.openxmlformats.org/officeDocument/2006/relationships/hyperlink" Target="https://elvis.quintiles.com/livelink/llisapi.dll/open/PI_WI_PK0205" TargetMode="External"/><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image" Target="media/image2.png"/><Relationship Id="rId1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244056692_2_0_sgMainFile.pdf</dc:title>
  <dcterms:created xsi:type="dcterms:W3CDTF">2023-04-11T16:56:47Z</dcterms:created>
  <dcterms:modified xsi:type="dcterms:W3CDTF">2023-04-11T16:56:47Z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2020-09-30T00:00:00Z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