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5" w:lineRule="auto" w:before="0"/>
              <w:ind w:left="1705" w:right="418" w:hanging="672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1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Operating</w:t>
            </w:r>
            <w:r>
              <w:rPr>
                <w:b/>
                <w:spacing w:val="-15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Procedure Study Close Out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CRO_OP_CTS0004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80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64"/>
              <w:rPr>
                <w:sz w:val="20"/>
              </w:rPr>
            </w:pPr>
            <w:r>
              <w:rPr>
                <w:sz w:val="20"/>
              </w:rPr>
              <w:t>Lewis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Prior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39"/>
              <w:ind w:left="121"/>
              <w:rPr>
                <w:sz w:val="20"/>
              </w:rPr>
            </w:pPr>
            <w:r>
              <w:rPr>
                <w:sz w:val="20"/>
              </w:rPr>
              <w:t>Stacy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Lamb,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Kerry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Tingley,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Karolina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Zabawa,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Ulrika </w:t>
            </w:r>
            <w:r>
              <w:rPr>
                <w:spacing w:val="-2"/>
                <w:sz w:val="20"/>
              </w:rPr>
              <w:t>Böiers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PURPOSE</w:t>
      </w:r>
    </w:p>
    <w:p>
      <w:pPr>
        <w:pStyle w:val="BodyText"/>
        <w:spacing w:before="122"/>
        <w:ind w:left="1260" w:right="519"/>
      </w:pP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instruction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returns,</w:t>
      </w:r>
      <w:r>
        <w:rPr>
          <w:spacing w:val="-3"/>
        </w:rPr>
        <w:t> </w:t>
      </w:r>
      <w:r>
        <w:rPr/>
        <w:t>destructions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core study close out related activities that need to be executed by the Clinical Trial Supplies (CTS) Team.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260" w:right="519"/>
      </w:pPr>
      <w:r>
        <w:rPr/>
        <w:t>This</w:t>
      </w:r>
      <w:r>
        <w:rPr>
          <w:spacing w:val="-1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(OP)</w:t>
      </w:r>
      <w:r>
        <w:rPr>
          <w:spacing w:val="-7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CTS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contracted to provide Clinical Supply Chain Management Services.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260" w:right="519"/>
      </w:pPr>
      <w:r>
        <w:rPr/>
        <w:t>It</w:t>
      </w:r>
      <w:r>
        <w:rPr>
          <w:spacing w:val="-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Trial</w:t>
      </w:r>
      <w:r>
        <w:rPr>
          <w:spacing w:val="-3"/>
        </w:rPr>
        <w:t> </w:t>
      </w:r>
      <w:r>
        <w:rPr/>
        <w:t>materials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IQVIA</w:t>
      </w:r>
      <w:r>
        <w:rPr>
          <w:spacing w:val="-2"/>
        </w:rPr>
        <w:t> </w:t>
      </w:r>
      <w:r>
        <w:rPr/>
        <w:t>CTS</w:t>
      </w:r>
      <w:r>
        <w:rPr>
          <w:spacing w:val="-3"/>
        </w:rPr>
        <w:t> </w:t>
      </w:r>
      <w:r>
        <w:rPr/>
        <w:t>team</w:t>
      </w:r>
      <w:r>
        <w:rPr>
          <w:spacing w:val="-8"/>
        </w:rPr>
        <w:t> </w:t>
      </w:r>
      <w:r>
        <w:rPr/>
        <w:t>and located at the vendor depots and/or at clinical sites.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before="1"/>
        <w:ind w:left="1260" w:right="519"/>
      </w:pPr>
      <w:r>
        <w:rPr/>
        <w:t>All</w:t>
      </w:r>
      <w:r>
        <w:rPr>
          <w:spacing w:val="-3"/>
        </w:rPr>
        <w:t> </w:t>
      </w:r>
      <w:r>
        <w:rPr/>
        <w:t>documentation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Supplies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managed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IQVIA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team are also in scope.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6"/>
        <w:ind w:left="1259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5"/>
        </w:rPr>
        <w:t>OP: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90" w:hRule="atLeast"/>
        </w:trPr>
        <w:tc>
          <w:tcPr>
            <w:tcW w:w="5213" w:type="dxa"/>
          </w:tcPr>
          <w:p>
            <w:pPr>
              <w:pStyle w:val="TableParagraph"/>
              <w:spacing w:line="244" w:lineRule="auto" w:before="38"/>
              <w:ind w:left="105" w:right="127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Personnel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(see Section 4.0)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DEFINITIONS</w:t>
      </w:r>
    </w:p>
    <w:p>
      <w:pPr>
        <w:pStyle w:val="BodyText"/>
        <w:spacing w:line="244" w:lineRule="auto" w:before="121"/>
        <w:ind w:left="1260" w:right="519"/>
      </w:pPr>
      <w:r>
        <w:rPr>
          <w:b/>
        </w:rPr>
        <w:t>Ancillaries: </w:t>
      </w:r>
      <w:r>
        <w:rPr/>
        <w:t>Other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trial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aid in IP/Comparator administration or vital in the preparation of the IP/comparator to be used throughout the study.</w:t>
      </w:r>
    </w:p>
    <w:p>
      <w:pPr>
        <w:pStyle w:val="BodyText"/>
        <w:spacing w:line="244" w:lineRule="auto" w:before="104"/>
        <w:ind w:left="1260" w:right="519"/>
      </w:pPr>
      <w:r>
        <w:rPr>
          <w:b/>
        </w:rPr>
        <w:t>CoD: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Destruction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Trial Material has been disposed of safely.</w:t>
      </w:r>
    </w:p>
    <w:p>
      <w:pPr>
        <w:pStyle w:val="BodyText"/>
        <w:spacing w:before="113"/>
        <w:ind w:left="1259" w:right="519"/>
      </w:pPr>
      <w:r>
        <w:rPr>
          <w:b/>
        </w:rPr>
        <w:t>Clinical Trial Supplies: </w:t>
      </w:r>
      <w:r>
        <w:rPr/>
        <w:t>Any IP, NIMP, placebo product, marketed drug product (i.e. comparator)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ancillary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drug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(i.e.</w:t>
      </w:r>
      <w:r>
        <w:rPr>
          <w:spacing w:val="-4"/>
        </w:rPr>
        <w:t> </w:t>
      </w:r>
      <w:r>
        <w:rPr/>
        <w:t>intravenous</w:t>
      </w:r>
      <w:r>
        <w:rPr>
          <w:spacing w:val="-4"/>
        </w:rPr>
        <w:t> </w:t>
      </w:r>
      <w:r>
        <w:rPr/>
        <w:t>(IV) saline bag, syringe) used by investigator sites in the conduct of a clinical trial.</w:t>
      </w:r>
    </w:p>
    <w:p>
      <w:pPr>
        <w:pStyle w:val="BodyText"/>
        <w:spacing w:before="119"/>
        <w:ind w:left="1260" w:right="519"/>
      </w:pPr>
      <w:r>
        <w:rPr>
          <w:b/>
        </w:rPr>
        <w:t>CTS</w:t>
      </w:r>
      <w:r>
        <w:rPr>
          <w:b/>
          <w:spacing w:val="-3"/>
        </w:rPr>
        <w:t> </w:t>
      </w:r>
      <w:r>
        <w:rPr>
          <w:b/>
        </w:rPr>
        <w:t>Team: </w:t>
      </w:r>
      <w:r>
        <w:rPr/>
        <w:t>Clinical</w:t>
      </w:r>
      <w:r>
        <w:rPr>
          <w:spacing w:val="-4"/>
        </w:rPr>
        <w:t> </w:t>
      </w:r>
      <w:r>
        <w:rPr/>
        <w:t>Trial</w:t>
      </w:r>
      <w:r>
        <w:rPr>
          <w:spacing w:val="-4"/>
        </w:rPr>
        <w:t> </w:t>
      </w:r>
      <w:r>
        <w:rPr/>
        <w:t>Supplies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(This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Coordinator, Associate Clinical Supply Chain Manager, Clinical Supply Chain Manager, Senior Clinical Supply Chain Manager, Associate Director, Director or Senior Director)</w:t>
      </w:r>
    </w:p>
    <w:p>
      <w:pPr>
        <w:pStyle w:val="BodyText"/>
        <w:spacing w:line="244" w:lineRule="auto" w:before="120"/>
        <w:ind w:left="1260" w:right="519"/>
      </w:pPr>
      <w:r>
        <w:rPr>
          <w:b/>
        </w:rPr>
        <w:t>Comparator:</w:t>
      </w:r>
      <w:r>
        <w:rPr>
          <w:b/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Investigational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marketed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 </w:t>
      </w:r>
      <w:r>
        <w:rPr>
          <w:spacing w:val="-2"/>
        </w:rPr>
        <w:t>trial.</w:t>
      </w:r>
    </w:p>
    <w:p>
      <w:pPr>
        <w:spacing w:after="0" w:line="244" w:lineRule="auto"/>
        <w:sectPr>
          <w:footerReference w:type="default" r:id="rId5"/>
          <w:type w:val="continuous"/>
          <w:pgSz w:w="12240" w:h="15840"/>
          <w:pgMar w:footer="957" w:header="0" w:top="960" w:bottom="1140" w:left="90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244" w:lineRule="auto" w:before="94"/>
        <w:ind w:left="1259" w:right="519"/>
      </w:pPr>
      <w:r>
        <w:rPr>
          <w:b/>
        </w:rPr>
        <w:t>IRT:</w:t>
      </w:r>
      <w:r>
        <w:rPr>
          <w:b/>
          <w:spacing w:val="40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Response</w:t>
      </w:r>
      <w:r>
        <w:rPr>
          <w:spacing w:val="-1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IVRS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IWRS</w:t>
      </w:r>
      <w:r>
        <w:rPr>
          <w:spacing w:val="-7"/>
        </w:rPr>
        <w:t> </w:t>
      </w:r>
      <w:r>
        <w:rPr/>
        <w:t>– A</w:t>
      </w:r>
      <w:r>
        <w:rPr>
          <w:spacing w:val="-9"/>
        </w:rPr>
        <w:t> </w:t>
      </w:r>
      <w:r>
        <w:rPr/>
        <w:t>Web</w:t>
      </w:r>
      <w:r>
        <w:rPr>
          <w:spacing w:val="-3"/>
        </w:rPr>
        <w:t> </w:t>
      </w:r>
      <w:r>
        <w:rPr/>
        <w:t>based platform that provides complex subject/activity management functionality and robust management of drug supply and shipping throughout the trial.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line="244" w:lineRule="auto" w:before="1"/>
        <w:ind w:left="1259" w:right="594"/>
      </w:pPr>
      <w:r>
        <w:rPr>
          <w:b/>
        </w:rPr>
        <w:t>IPs:</w:t>
      </w:r>
      <w:r>
        <w:rPr>
          <w:b/>
          <w:spacing w:val="-2"/>
        </w:rPr>
        <w:t> </w:t>
      </w:r>
      <w:r>
        <w:rPr/>
        <w:t>Investigational</w:t>
      </w:r>
      <w:r>
        <w:rPr>
          <w:spacing w:val="-3"/>
        </w:rPr>
        <w:t> </w:t>
      </w:r>
      <w:r>
        <w:rPr/>
        <w:t>Products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 being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 clinical trial.</w:t>
      </w:r>
    </w:p>
    <w:p>
      <w:pPr>
        <w:pStyle w:val="BodyText"/>
        <w:spacing w:before="112"/>
        <w:ind w:left="1259" w:right="519"/>
      </w:pPr>
      <w:r>
        <w:rPr>
          <w:b/>
        </w:rPr>
        <w:t>SmPC: </w:t>
      </w:r>
      <w:r>
        <w:rPr/>
        <w:t>Summary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approved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marketing authorization of each medicine; it is the basis of information for healthcare professional on how to use the medicine, which information is updated throughout the lifecycle of the product as new data emerge.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  <w:rPr>
          <w:b/>
          <w:sz w:val="22"/>
        </w:rPr>
      </w:pPr>
      <w:r>
        <w:rPr>
          <w:b/>
          <w:sz w:val="22"/>
        </w:rPr>
        <w:t>MATERIAL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EQUIPMENT</w:t>
      </w:r>
    </w:p>
    <w:p>
      <w:pPr>
        <w:pStyle w:val="BodyText"/>
        <w:spacing w:before="127"/>
        <w:ind w:left="1259"/>
      </w:pPr>
      <w:r>
        <w:rPr/>
        <w:t>Trial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(TMF)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1979" w:right="519"/>
      </w:pPr>
      <w:r>
        <w:rPr/>
        <w:t>Timelines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guideline</w:t>
      </w:r>
      <w:r>
        <w:rPr>
          <w:spacing w:val="-4"/>
        </w:rPr>
        <w:t> </w:t>
      </w:r>
      <w:r>
        <w:rPr/>
        <w:t>purposes</w:t>
      </w:r>
      <w:r>
        <w:rPr>
          <w:spacing w:val="-4"/>
        </w:rPr>
        <w:t> </w:t>
      </w:r>
      <w:r>
        <w:rPr/>
        <w:t>only.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bespoke requirements of individual studies may impact the timelines.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1"/>
        <w:jc w:val="left"/>
        <w:rPr>
          <w:b/>
          <w:sz w:val="22"/>
        </w:rPr>
      </w:pPr>
      <w:r>
        <w:rPr>
          <w:b/>
          <w:sz w:val="22"/>
        </w:rPr>
        <w:t>Oversight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Returned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Reconciliation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Process</w:t>
      </w:r>
    </w:p>
    <w:p>
      <w:pPr>
        <w:pStyle w:val="BodyText"/>
        <w:spacing w:before="122"/>
        <w:ind w:left="1979" w:right="594"/>
      </w:pPr>
      <w:r>
        <w:rPr/>
        <w:t>Strategy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destruction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damaged,</w:t>
      </w:r>
      <w:r>
        <w:rPr>
          <w:spacing w:val="-4"/>
        </w:rPr>
        <w:t> </w:t>
      </w:r>
      <w:r>
        <w:rPr/>
        <w:t>unused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expired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supplies is devised and agreed upon at the start of all studies.</w:t>
      </w:r>
    </w:p>
    <w:p>
      <w:pPr>
        <w:pStyle w:val="BodyText"/>
        <w:spacing w:before="7" w:after="1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39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492"/>
              <w:jc w:val="both"/>
              <w:rPr>
                <w:sz w:val="20"/>
              </w:rPr>
            </w:pPr>
            <w:r>
              <w:rPr>
                <w:sz w:val="20"/>
              </w:rPr>
              <w:t>Liaise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accountability and reconcilation (i.e. tablet/capsule/vial level, kit level etc) to be performed.</w:t>
            </w:r>
          </w:p>
          <w:p>
            <w:pPr>
              <w:pStyle w:val="TableParagraph"/>
              <w:spacing w:before="9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right="18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accountability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see CS_WI_SM0010 Investigational Product (IP) Handling and </w:t>
            </w:r>
            <w:r>
              <w:rPr>
                <w:spacing w:val="-2"/>
                <w:sz w:val="20"/>
              </w:rPr>
              <w:t>Monitoring.</w:t>
            </w:r>
          </w:p>
        </w:tc>
        <w:tc>
          <w:tcPr>
            <w:tcW w:w="1843" w:type="dxa"/>
          </w:tcPr>
          <w:p>
            <w:pPr>
              <w:pStyle w:val="TableParagraph"/>
              <w:ind w:left="167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Start</w:t>
            </w:r>
          </w:p>
        </w:tc>
      </w:tr>
      <w:tr>
        <w:trPr>
          <w:trHeight w:val="2039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Liaise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 destruction can be performed at site or if material needs to be returned to local depots for destruction.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line="237" w:lineRule="auto" w:before="0"/>
              <w:ind w:right="18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destruction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performed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see CS_WI_SM0010 Investigational Product (IP) Handling and </w:t>
            </w: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Start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14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57"/>
              <w:ind w:right="18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quotes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the execution of the agreed upon reconciliation and destruction strategy (where applicable).</w:t>
            </w:r>
          </w:p>
          <w:p>
            <w:pPr>
              <w:pStyle w:val="TableParagraph"/>
              <w:spacing w:before="1"/>
              <w:ind w:left="0"/>
              <w:rPr>
                <w:sz w:val="30"/>
              </w:rPr>
            </w:pP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Orders,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 outstanding invoices have been received from all vendors and processed accordingly.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Following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steps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6.1.1 and 6.1.2 if local depot is </w:t>
            </w:r>
            <w:r>
              <w:rPr>
                <w:spacing w:val="-2"/>
                <w:sz w:val="20"/>
              </w:rPr>
              <w:t>performing </w:t>
            </w:r>
            <w:r>
              <w:rPr>
                <w:sz w:val="20"/>
              </w:rPr>
              <w:t>reconciliation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destruction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83"/>
              <w:rPr>
                <w:sz w:val="20"/>
              </w:rPr>
            </w:pPr>
            <w:r>
              <w:rPr>
                <w:sz w:val="20"/>
              </w:rPr>
              <w:t>Liaise with the clinical team, distribution vendor, IRT vendors and any other vendors required to ensure the return and destructions 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smoothly.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 met, and any discrepancies are investigated by the team and recorded appropriately.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217"/>
              <w:rPr>
                <w:sz w:val="20"/>
              </w:rPr>
            </w:pPr>
            <w:r>
              <w:rPr>
                <w:sz w:val="20"/>
              </w:rPr>
              <w:t>During Study Close Out or 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</w:tc>
      </w:tr>
      <w:tr>
        <w:trPr>
          <w:trHeight w:val="2769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right="183"/>
              <w:rPr>
                <w:sz w:val="20"/>
              </w:rPr>
            </w:pPr>
            <w:r>
              <w:rPr>
                <w:sz w:val="20"/>
              </w:rPr>
              <w:t>Where applicable, the CTS personnel track stock returns from initiation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completion.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responsibility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CTS to ensure that the returns and destruction process is </w:t>
            </w:r>
            <w:r>
              <w:rPr>
                <w:spacing w:val="-2"/>
                <w:sz w:val="20"/>
              </w:rPr>
              <w:t>completed.</w:t>
            </w:r>
          </w:p>
          <w:p>
            <w:pPr>
              <w:pStyle w:val="TableParagraph"/>
              <w:spacing w:before="35"/>
              <w:ind w:right="183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CRO_TP_CTS0011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Destruction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tracker </w:t>
            </w:r>
            <w:r>
              <w:rPr>
                <w:spacing w:val="-2"/>
                <w:sz w:val="20"/>
              </w:rPr>
              <w:t>template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0"/>
              <w:ind w:right="18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Liaising closely with CRAs/Clinical Study teams and IRT vendors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destruction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fully executed and as planned.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52"/>
              <w:rPr>
                <w:sz w:val="20"/>
              </w:rPr>
            </w:pPr>
            <w:r>
              <w:rPr>
                <w:sz w:val="20"/>
              </w:rPr>
              <w:t>During Study Close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Study Close Out or When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Required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Where sites are destroying material locally ensure you receive confirmation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destruction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completed fully and to ensure that IRT is updated accordingly.</w:t>
            </w:r>
          </w:p>
        </w:tc>
        <w:tc>
          <w:tcPr>
            <w:tcW w:w="1843" w:type="dxa"/>
          </w:tcPr>
          <w:p>
            <w:pPr>
              <w:pStyle w:val="TableParagraph"/>
              <w:ind w:right="217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Destruction</w:t>
            </w:r>
          </w:p>
        </w:tc>
      </w:tr>
    </w:tbl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z w:val="22"/>
        </w:rPr>
        <w:t>Inventory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Destruction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Vendor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Depots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6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Liaise with the distribution vendor in order to facilitate the destruction process and to provide support with any IRT related 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(see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 Vendor Facility CRO_OP_CTS0003 for approval of product disposition process steps)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04" w:right="97"/>
              <w:rPr>
                <w:sz w:val="20"/>
              </w:rPr>
            </w:pPr>
            <w:r>
              <w:rPr>
                <w:sz w:val="20"/>
              </w:rPr>
              <w:t>During Study Close Out/ End of Study Close Out 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</w:tc>
      </w:tr>
      <w:tr>
        <w:trPr>
          <w:trHeight w:val="103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Resolve any discrepancies with returned stock and documentation 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team,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distribution vendor and IRT vendor.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97"/>
              <w:rPr>
                <w:sz w:val="20"/>
              </w:rPr>
            </w:pPr>
            <w:r>
              <w:rPr>
                <w:sz w:val="20"/>
              </w:rPr>
              <w:t>During Study Close Out/ End of Study Close Out 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confirms returns in the IRT system.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222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Destruction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Once destruction has been carried out, obtain a Certificate of Destruction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(CoD)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into </w:t>
            </w:r>
            <w:r>
              <w:rPr>
                <w:spacing w:val="-2"/>
                <w:sz w:val="20"/>
              </w:rPr>
              <w:t>eTMF.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22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Destruction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confirms stock destruction in the IRT system.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22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Destruction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Archiving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0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55"/>
              <w:rPr>
                <w:sz w:val="20"/>
              </w:rPr>
            </w:pPr>
            <w:r>
              <w:rPr>
                <w:sz w:val="20"/>
              </w:rPr>
              <w:t>Ensures all documentation collected through the lifecycle of any given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uploaded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e-TMF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they become available.</w:t>
            </w:r>
          </w:p>
          <w:p>
            <w:pPr>
              <w:pStyle w:val="TableParagraph"/>
              <w:spacing w:before="44"/>
              <w:ind w:left="104"/>
              <w:rPr>
                <w:sz w:val="20"/>
              </w:rPr>
            </w:pP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> to:</w:t>
            </w:r>
          </w:p>
          <w:p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z w:val="20"/>
              </w:rPr>
              <w:t>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excursion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Berlinger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361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lifecycle of the </w:t>
            </w:r>
            <w:r>
              <w:rPr>
                <w:spacing w:val="-2"/>
                <w:sz w:val="20"/>
              </w:rPr>
              <w:t>study</w:t>
            </w:r>
          </w:p>
          <w:p>
            <w:pPr>
              <w:pStyle w:val="TableParagraph"/>
              <w:spacing w:line="237" w:lineRule="auto" w:before="46"/>
              <w:ind w:right="97"/>
              <w:rPr>
                <w:sz w:val="20"/>
              </w:rPr>
            </w:pPr>
            <w:r>
              <w:rPr>
                <w:sz w:val="20"/>
              </w:rPr>
              <w:t>During Study Close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Study Close Out</w:t>
            </w:r>
          </w:p>
        </w:tc>
      </w:tr>
      <w:tr>
        <w:trPr>
          <w:trHeight w:val="1540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Reference Distribution Setup &amp; Product Disposition SOP CRO_OP_CTS0003 for information on requesting disposition 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review and process for destruction.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e-</w:t>
            </w:r>
            <w:r>
              <w:rPr>
                <w:spacing w:val="-5"/>
                <w:sz w:val="20"/>
              </w:rPr>
              <w:t>TMF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97"/>
              <w:rPr>
                <w:sz w:val="20"/>
              </w:rPr>
            </w:pPr>
            <w:r>
              <w:rPr>
                <w:sz w:val="20"/>
              </w:rPr>
              <w:t>During Study Close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Out/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Study Close Out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CTS</w:t>
            </w: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3"/>
              <w:rPr>
                <w:sz w:val="20"/>
              </w:rPr>
            </w:pPr>
            <w:r>
              <w:rPr>
                <w:sz w:val="20"/>
              </w:rPr>
              <w:t>Prior to IRT Close Out, liaises with the clinical lead on closing out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system.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closure, 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download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patient report (showing specific material administered to specific patients) and any other relevant reports from the IRT system and upload to the e-TMF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Close </w:t>
            </w:r>
            <w:r>
              <w:rPr>
                <w:spacing w:val="-4"/>
                <w:sz w:val="20"/>
              </w:rPr>
              <w:t>Out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3"/>
              <w:ind w:left="0" w:right="226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b/>
                <w:color w:val="0000FF"/>
                <w:spacing w:val="-2"/>
                <w:sz w:val="22"/>
                <w:u w:val="single" w:color="0000FF"/>
              </w:rPr>
              <w:t>CRO_OP_CTS0003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Distribution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Setup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Disposition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Vendor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Facility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before="33"/>
              <w:ind w:left="83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b/>
                <w:color w:val="0000FF"/>
                <w:spacing w:val="-2"/>
                <w:sz w:val="22"/>
                <w:u w:val="single" w:color="0000FF"/>
              </w:rPr>
              <w:t>CS_WI_SM0010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Investigational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(IP)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Monitoring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3"/>
              <w:ind w:left="0" w:right="264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b/>
                <w:color w:val="0000FF"/>
                <w:spacing w:val="-2"/>
                <w:sz w:val="22"/>
                <w:u w:val="single" w:color="0000FF"/>
              </w:rPr>
              <w:t>CRO_TP_CTS0011</w:t>
            </w:r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Returns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Destruction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Tracker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Template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45" w:val="left" w:leader="none"/>
              </w:tabs>
              <w:spacing w:before="38"/>
              <w:ind w:left="825"/>
              <w:rPr>
                <w:b/>
                <w:sz w:val="20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CRO</w:t>
            </w:r>
            <w:r>
              <w:rPr>
                <w:b/>
                <w:spacing w:val="-2"/>
                <w:sz w:val="20"/>
              </w:rPr>
              <w:t>_OP_CTS0004</w:t>
            </w:r>
          </w:p>
        </w:tc>
        <w:tc>
          <w:tcPr>
            <w:tcW w:w="380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Study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Out</w:t>
            </w:r>
          </w:p>
        </w:tc>
        <w:tc>
          <w:tcPr>
            <w:tcW w:w="2338" w:type="dxa"/>
          </w:tcPr>
          <w:p>
            <w:pPr>
              <w:pStyle w:val="TableParagraph"/>
              <w:spacing w:before="38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979" w:footer="952" w:top="2760" w:bottom="1140" w:left="900" w:right="9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2007"/>
        <w:gridCol w:w="4594"/>
      </w:tblGrid>
      <w:tr>
        <w:trPr>
          <w:trHeight w:val="556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007" w:type="dxa"/>
            <w:shd w:val="clear" w:color="auto" w:fill="BFBFBF"/>
          </w:tcPr>
          <w:p>
            <w:pPr>
              <w:pStyle w:val="TableParagraph"/>
              <w:spacing w:line="228" w:lineRule="auto" w:before="3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 REFERENCE</w:t>
            </w:r>
          </w:p>
        </w:tc>
        <w:tc>
          <w:tcPr>
            <w:tcW w:w="4594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Definitions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Clinical Trial Supplies listed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4594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Clinical Trial Supplies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49" w:lineRule="auto" w:before="24"/>
              <w:ind w:left="110" w:right="79"/>
              <w:rPr>
                <w:sz w:val="20"/>
              </w:rPr>
            </w:pPr>
            <w:r>
              <w:rPr>
                <w:sz w:val="22"/>
              </w:rPr>
              <w:t>References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0"/>
              </w:rPr>
              <w:t>CS_WI_SM0010 Investigational Product (IP) Handling and Monitoring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4594" w:type="dxa"/>
          </w:tcPr>
          <w:p>
            <w:pPr>
              <w:pStyle w:val="TableParagraph"/>
              <w:spacing w:line="230" w:lineRule="auto" w:before="32"/>
              <w:rPr>
                <w:sz w:val="22"/>
              </w:rPr>
            </w:pPr>
            <w:r>
              <w:rPr>
                <w:sz w:val="22"/>
              </w:rPr>
              <w:t>To cross reference the handling and monitoring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procedures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Investigational Product (IP) at clinical sites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47"/>
              <w:rPr>
                <w:sz w:val="22"/>
              </w:rPr>
            </w:pPr>
            <w:r>
              <w:rPr>
                <w:sz w:val="22"/>
              </w:rPr>
              <w:t>Reference to </w:t>
            </w:r>
            <w:r>
              <w:rPr>
                <w:sz w:val="20"/>
              </w:rPr>
              <w:t>CRO_TP_CTS0011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Destruction Tracker Template added and appendix 10.1 (a sample tracker) removed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4594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Destruction Tracker Template</w:t>
            </w:r>
          </w:p>
        </w:tc>
      </w:tr>
      <w:tr>
        <w:trPr>
          <w:trHeight w:val="1597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79"/>
              <w:rPr>
                <w:sz w:val="22"/>
              </w:rPr>
            </w:pPr>
            <w:r>
              <w:rPr>
                <w:sz w:val="22"/>
              </w:rPr>
              <w:t>Removed section related to CTS providing Clinical and CRAs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before="11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6.1.4</w:t>
            </w:r>
          </w:p>
        </w:tc>
        <w:tc>
          <w:tcPr>
            <w:tcW w:w="4594" w:type="dxa"/>
          </w:tcPr>
          <w:p>
            <w:pPr>
              <w:pStyle w:val="TableParagraph"/>
              <w:spacing w:line="228" w:lineRule="auto" w:before="34"/>
              <w:ind w:right="105"/>
              <w:rPr>
                <w:sz w:val="22"/>
              </w:rPr>
            </w:pPr>
            <w:r>
              <w:rPr>
                <w:sz w:val="22"/>
              </w:rPr>
              <w:t>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responsible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Clinical and CRA during the study we will work closely with all groups to ensure that activities are understood and carried out as </w:t>
            </w:r>
            <w:r>
              <w:rPr>
                <w:spacing w:val="-2"/>
                <w:sz w:val="22"/>
              </w:rPr>
              <w:t>required.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Wording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made throughout for clarity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4594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Ensure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04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7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reworded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role CTS play when sites destroy material locally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6.1.7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6.1.6</w:t>
            </w:r>
          </w:p>
        </w:tc>
        <w:tc>
          <w:tcPr>
            <w:tcW w:w="4594" w:type="dxa"/>
          </w:tcPr>
          <w:p>
            <w:pPr>
              <w:pStyle w:val="TableParagraph"/>
              <w:spacing w:line="228" w:lineRule="auto" w:before="34"/>
              <w:ind w:right="105"/>
              <w:rPr>
                <w:sz w:val="22"/>
              </w:rPr>
            </w:pPr>
            <w:r>
              <w:rPr>
                <w:sz w:val="22"/>
              </w:rPr>
              <w:t>CTS do not need to track destruction of material when this is performed locally by sites.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Oversight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performed by Clinical.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129"/>
              <w:rPr>
                <w:sz w:val="22"/>
              </w:rPr>
            </w:pPr>
            <w:r>
              <w:rPr>
                <w:sz w:val="22"/>
              </w:rPr>
              <w:t>Documentation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examples </w:t>
            </w:r>
            <w:r>
              <w:rPr>
                <w:spacing w:val="-2"/>
                <w:sz w:val="22"/>
              </w:rPr>
              <w:t>added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4594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Additional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079" w:hRule="atLeast"/>
        </w:trPr>
        <w:tc>
          <w:tcPr>
            <w:tcW w:w="3298" w:type="dxa"/>
          </w:tcPr>
          <w:p>
            <w:pPr>
              <w:pStyle w:val="TableParagraph"/>
              <w:spacing w:line="242" w:lineRule="auto" w:before="24"/>
              <w:ind w:left="110"/>
              <w:rPr>
                <w:sz w:val="22"/>
              </w:rPr>
            </w:pPr>
            <w:r>
              <w:rPr>
                <w:sz w:val="22"/>
              </w:rPr>
              <w:t>Removed section as eTMF upload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6.3.1 Section numbers updated </w:t>
            </w:r>
            <w:r>
              <w:rPr>
                <w:spacing w:val="-2"/>
                <w:sz w:val="22"/>
              </w:rPr>
              <w:t>accordingly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6.3.2</w:t>
            </w:r>
          </w:p>
        </w:tc>
        <w:tc>
          <w:tcPr>
            <w:tcW w:w="4594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6.3.1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covers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upload documents into eTMF</w:t>
            </w:r>
          </w:p>
        </w:tc>
      </w:tr>
      <w:tr>
        <w:trPr>
          <w:trHeight w:val="32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IP</w:t>
            </w:r>
          </w:p>
        </w:tc>
        <w:tc>
          <w:tcPr>
            <w:tcW w:w="2007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4594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260"/>
      </w:pP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pict>
          <v:rect style="position:absolute;margin-left:66pt;margin-top:7.843027pt;width:475.44pt;height:.24pt;mso-position-horizontal-relative:page;mso-position-vertical-relative:paragraph;z-index:-15727616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5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5</w:t>
      </w:r>
    </w:p>
    <w:p>
      <w:pPr>
        <w:spacing w:line="244" w:lineRule="auto" w:before="0"/>
        <w:ind w:left="448" w:right="51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 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IQVIA</w:t>
      </w:r>
      <w:r>
        <w:rPr>
          <w:spacing w:val="-3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979" w:footer="268" w:top="2760" w:bottom="46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596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Lamb,</w:t>
      </w:r>
      <w:r>
        <w:rPr>
          <w:spacing w:val="-11"/>
          <w:sz w:val="20"/>
        </w:rPr>
        <w:t> </w:t>
      </w:r>
      <w:r>
        <w:rPr>
          <w:sz w:val="20"/>
        </w:rPr>
        <w:t>Stacy</w:t>
      </w:r>
      <w:r>
        <w:rPr>
          <w:spacing w:val="36"/>
          <w:sz w:val="20"/>
        </w:rPr>
        <w:t> </w:t>
      </w:r>
      <w:r>
        <w:rPr>
          <w:sz w:val="20"/>
        </w:rPr>
        <w:t>(u1082363)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5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14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03:13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47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Prior,</w:t>
      </w:r>
      <w:r>
        <w:rPr>
          <w:spacing w:val="-10"/>
          <w:sz w:val="20"/>
        </w:rPr>
        <w:t> </w:t>
      </w:r>
      <w:r>
        <w:rPr>
          <w:sz w:val="20"/>
        </w:rPr>
        <w:t>Lewis</w:t>
      </w:r>
      <w:r>
        <w:rPr>
          <w:spacing w:val="36"/>
          <w:sz w:val="20"/>
        </w:rPr>
        <w:t> </w:t>
      </w:r>
      <w:r>
        <w:rPr>
          <w:sz w:val="20"/>
        </w:rPr>
        <w:t>(lprior)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58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07:32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1"/>
      <w:footerReference w:type="default" r:id="rId12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34.159973pt;width:470.88pt;height:.48pt;mso-position-horizontal-relative:page;mso-position-vertical-relative:page;z-index:-16060416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6.440002pt;margin-top:734.870239pt;width:468.35pt;height:49.15pt;mso-position-horizontal-relative:page;mso-position-vertical-relative:page;z-index:-16059904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383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5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Holdings Inc. and its subsidiaries. Unauthorized use, disclosure or reproduction is strictly prohibited.</w:t>
                </w:r>
              </w:p>
              <w:p>
                <w:pPr>
                  <w:spacing w:before="105"/>
                  <w:ind w:left="73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058880" id="docshape4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68.3pt;height:49.15pt;mso-position-horizontal-relative:page;mso-position-vertical-relative:page;z-index:-16058368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335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5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 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IQVIA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Holdings Inc. and its subsidiaries. Unauthorized use, disclosure or reproduction is strictly prohibited.</w:t>
                </w:r>
              </w:p>
              <w:p>
                <w:pPr>
                  <w:spacing w:before="105"/>
                  <w:ind w:left="73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278pt;margin-top:767.575989pt;width:407.45pt;height:16.45pt;mso-position-horizontal-relative:page;mso-position-vertical-relative:page;z-index:-16057344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278pt;margin-top:767.575989pt;width:407.45pt;height:16.45pt;mso-position-horizontal-relative:page;mso-position-vertical-relative:page;z-index:-16056832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7"/>
                        <w:ind w:left="0"/>
                        <w:rPr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line="235" w:lineRule="auto" w:before="0"/>
                        <w:ind w:left="105" w:right="279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 Title: Study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Close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Out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CRO_OP_CTS0004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257088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7"/>
                        <w:ind w:left="0"/>
                        <w:rPr>
                          <w:b/>
                          <w:sz w:val="23"/>
                        </w:rPr>
                      </w:pPr>
                    </w:p>
                    <w:p>
                      <w:pPr>
                        <w:pStyle w:val="TableParagraph"/>
                        <w:spacing w:line="235" w:lineRule="auto" w:before="0"/>
                        <w:ind w:left="105" w:right="279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 Title: Study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Close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Out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CRO_OP_CTS0004</w:t>
                      </w:r>
                      <w:r>
                        <w:rPr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3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258624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2023-04-11T14:49:33Z</dcterms:created>
  <dcterms:modified xsi:type="dcterms:W3CDTF">2023-04-11T14:49:33Z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2023-02-13T00:00:00Z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(6.5.1.103725) OS (Windows 2012,2,0,64)</vt:lpwstr>
  </property>
</Properties>
</file>