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0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  <w:p>
            <w:pPr>
              <w:pStyle w:val="TableParagraph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rPr>
                <w:rFonts w:ascii="Times New Roman"/>
                <w:sz w:val="12"/>
              </w:rPr>
            </w:pPr>
          </w:p>
          <w:p>
            <w:pPr>
              <w:pStyle w:val="TableParagraph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8"/>
              <w:rPr>
                <w:rFonts w:ascii="Times New Roman"/>
                <w:sz w:val="28"/>
              </w:rPr>
            </w:pPr>
          </w:p>
          <w:p>
            <w:pPr>
              <w:pStyle w:val="TableParagraph"/>
              <w:spacing w:line="300" w:lineRule="auto"/>
              <w:ind w:left="1398" w:right="132" w:hanging="140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1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Work</w:t>
            </w:r>
            <w:r>
              <w:rPr>
                <w:b/>
                <w:spacing w:val="-15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Instruction Accidental Unblinding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CRO_WI_CTS0013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10"/>
                <w:sz w:val="20"/>
              </w:rPr>
              <w:t>2</w:t>
            </w:r>
          </w:p>
        </w:tc>
      </w:tr>
      <w:tr>
        <w:trPr>
          <w:trHeight w:val="809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44"/>
              <w:ind w:left="107"/>
              <w:rPr>
                <w:sz w:val="20"/>
              </w:rPr>
            </w:pPr>
            <w:r>
              <w:rPr>
                <w:sz w:val="20"/>
              </w:rPr>
              <w:t>Lewis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Prior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44"/>
              <w:ind w:left="121" w:right="132"/>
              <w:rPr>
                <w:sz w:val="20"/>
              </w:rPr>
            </w:pPr>
            <w:r>
              <w:rPr>
                <w:sz w:val="20"/>
              </w:rPr>
              <w:t>Stacy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Lamb,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Kerry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Tingley,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Karolina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Zabawa,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Ulrika </w:t>
            </w:r>
            <w:r>
              <w:rPr>
                <w:spacing w:val="-2"/>
                <w:sz w:val="20"/>
              </w:rPr>
              <w:t>Boiers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2"/>
        <w:rPr>
          <w:rFonts w:ascii="Times New Roman"/>
          <w:sz w:val="16"/>
        </w:rPr>
      </w:pPr>
    </w:p>
    <w:p>
      <w:pPr>
        <w:pStyle w:val="Heading1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93" w:after="0"/>
        <w:ind w:left="1180" w:right="0" w:hanging="720"/>
        <w:jc w:val="left"/>
      </w:pPr>
      <w:r>
        <w:rPr>
          <w:spacing w:val="-2"/>
        </w:rPr>
        <w:t>PURPOSE</w:t>
      </w:r>
    </w:p>
    <w:p>
      <w:pPr>
        <w:pStyle w:val="BodyText"/>
        <w:spacing w:before="7"/>
        <w:rPr>
          <w:b/>
          <w:sz w:val="21"/>
        </w:rPr>
      </w:pPr>
    </w:p>
    <w:p>
      <w:pPr>
        <w:pStyle w:val="BodyText"/>
        <w:spacing w:line="237" w:lineRule="auto"/>
        <w:ind w:left="1180"/>
      </w:pPr>
      <w:r>
        <w:rPr/>
        <w:t>To</w:t>
      </w:r>
      <w:r>
        <w:rPr>
          <w:spacing w:val="-4"/>
        </w:rPr>
        <w:t> </w:t>
      </w:r>
      <w:r>
        <w:rPr/>
        <w:t>describe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processes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managing</w:t>
      </w:r>
      <w:r>
        <w:rPr>
          <w:spacing w:val="-4"/>
        </w:rPr>
        <w:t> </w:t>
      </w:r>
      <w:r>
        <w:rPr/>
        <w:t>unblinded</w:t>
      </w:r>
      <w:r>
        <w:rPr>
          <w:spacing w:val="-4"/>
        </w:rPr>
        <w:t> </w:t>
      </w:r>
      <w:r>
        <w:rPr/>
        <w:t>information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accidental</w:t>
      </w:r>
      <w:r>
        <w:rPr>
          <w:spacing w:val="-4"/>
        </w:rPr>
        <w:t> </w:t>
      </w:r>
      <w:r>
        <w:rPr/>
        <w:t>unblinding related to clinical supplies.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</w:pPr>
      <w:r>
        <w:rPr>
          <w:spacing w:val="-2"/>
        </w:rPr>
        <w:t>SCOPE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0" w:after="0"/>
        <w:ind w:left="1900" w:right="1168" w:hanging="720"/>
        <w:jc w:val="left"/>
        <w:rPr>
          <w:sz w:val="22"/>
        </w:rPr>
      </w:pPr>
      <w:r>
        <w:rPr>
          <w:sz w:val="22"/>
        </w:rPr>
        <w:t>This</w:t>
      </w:r>
      <w:r>
        <w:rPr>
          <w:spacing w:val="-1"/>
          <w:sz w:val="22"/>
        </w:rPr>
        <w:t> </w:t>
      </w:r>
      <w:r>
        <w:rPr>
          <w:sz w:val="22"/>
        </w:rPr>
        <w:t>work</w:t>
      </w:r>
      <w:r>
        <w:rPr>
          <w:spacing w:val="-4"/>
          <w:sz w:val="22"/>
        </w:rPr>
        <w:t> </w:t>
      </w:r>
      <w:r>
        <w:rPr>
          <w:sz w:val="22"/>
        </w:rPr>
        <w:t>instruction</w:t>
      </w:r>
      <w:r>
        <w:rPr>
          <w:spacing w:val="-4"/>
          <w:sz w:val="22"/>
        </w:rPr>
        <w:t> </w:t>
      </w:r>
      <w:r>
        <w:rPr>
          <w:sz w:val="22"/>
        </w:rPr>
        <w:t>(WI)</w:t>
      </w:r>
      <w:r>
        <w:rPr>
          <w:spacing w:val="-8"/>
          <w:sz w:val="22"/>
        </w:rPr>
        <w:t> </w:t>
      </w:r>
      <w:r>
        <w:rPr>
          <w:sz w:val="22"/>
        </w:rPr>
        <w:t>applies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all</w:t>
      </w:r>
      <w:r>
        <w:rPr>
          <w:spacing w:val="-3"/>
          <w:sz w:val="22"/>
        </w:rPr>
        <w:t> </w:t>
      </w:r>
      <w:r>
        <w:rPr>
          <w:sz w:val="22"/>
        </w:rPr>
        <w:t>IQVIA</w:t>
      </w:r>
      <w:r>
        <w:rPr>
          <w:spacing w:val="-3"/>
          <w:sz w:val="22"/>
        </w:rPr>
        <w:t> </w:t>
      </w:r>
      <w:r>
        <w:rPr>
          <w:sz w:val="22"/>
        </w:rPr>
        <w:t>Clinical</w:t>
      </w:r>
      <w:r>
        <w:rPr>
          <w:spacing w:val="-3"/>
          <w:sz w:val="22"/>
        </w:rPr>
        <w:t> </w:t>
      </w:r>
      <w:r>
        <w:rPr>
          <w:sz w:val="22"/>
        </w:rPr>
        <w:t>Trial</w:t>
      </w:r>
      <w:r>
        <w:rPr>
          <w:spacing w:val="-3"/>
          <w:sz w:val="22"/>
        </w:rPr>
        <w:t> </w:t>
      </w:r>
      <w:r>
        <w:rPr>
          <w:sz w:val="22"/>
        </w:rPr>
        <w:t>Supplies</w:t>
      </w:r>
      <w:r>
        <w:rPr>
          <w:spacing w:val="-3"/>
          <w:sz w:val="22"/>
        </w:rPr>
        <w:t> </w:t>
      </w:r>
      <w:r>
        <w:rPr>
          <w:sz w:val="22"/>
        </w:rPr>
        <w:t>(CTS) personnel, including contract and temporary staff.</w:t>
      </w:r>
    </w:p>
    <w:p>
      <w:pPr>
        <w:pStyle w:val="BodyText"/>
        <w:spacing w:before="3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</w:pPr>
      <w:r>
        <w:rPr/>
        <w:t>ROLES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7"/>
        <w:ind w:left="1180"/>
      </w:pPr>
      <w:r>
        <w:rPr/>
        <w:t>The</w:t>
      </w:r>
      <w:r>
        <w:rPr>
          <w:spacing w:val="-8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5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5"/>
        </w:rPr>
        <w:t> </w:t>
      </w:r>
      <w:r>
        <w:rPr/>
        <w:t>this</w:t>
      </w:r>
      <w:r>
        <w:rPr>
          <w:spacing w:val="-13"/>
        </w:rPr>
        <w:t> </w:t>
      </w:r>
      <w:r>
        <w:rPr>
          <w:spacing w:val="-5"/>
        </w:rPr>
        <w:t>WI: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10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0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585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 w:right="164"/>
              <w:rPr>
                <w:sz w:val="22"/>
              </w:rPr>
            </w:pPr>
            <w:r>
              <w:rPr>
                <w:sz w:val="22"/>
              </w:rPr>
              <w:t>Clinical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Supplies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(CTS)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Personnel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(see section 4.0)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6.1, </w:t>
            </w:r>
            <w:r>
              <w:rPr>
                <w:spacing w:val="-5"/>
                <w:sz w:val="22"/>
              </w:rPr>
              <w:t>6.2</w:t>
            </w:r>
          </w:p>
        </w:tc>
      </w:tr>
    </w:tbl>
    <w:p>
      <w:pPr>
        <w:pStyle w:val="BodyText"/>
        <w:spacing w:before="5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1" w:after="0"/>
        <w:ind w:left="1180" w:right="0" w:hanging="720"/>
        <w:jc w:val="left"/>
      </w:pPr>
      <w:r>
        <w:rPr>
          <w:spacing w:val="-2"/>
        </w:rPr>
        <w:t>DEFINITIONS</w:t>
      </w:r>
    </w:p>
    <w:p>
      <w:pPr>
        <w:pStyle w:val="BodyText"/>
        <w:spacing w:line="242" w:lineRule="auto" w:before="59"/>
        <w:ind w:left="1539" w:right="566" w:hanging="360"/>
      </w:pPr>
      <w:r>
        <w:rPr>
          <w:b/>
        </w:rPr>
        <w:t>CTS Team:</w:t>
      </w:r>
      <w:r>
        <w:rPr>
          <w:b/>
          <w:spacing w:val="40"/>
        </w:rPr>
        <w:t> </w:t>
      </w:r>
      <w:r>
        <w:rPr/>
        <w:t>Clinical Trial Supplies (This could be a Supply Chain Coordinator, Associate</w:t>
      </w:r>
      <w:r>
        <w:rPr>
          <w:spacing w:val="-5"/>
        </w:rPr>
        <w:t> </w:t>
      </w:r>
      <w:r>
        <w:rPr/>
        <w:t>Clinical</w:t>
      </w:r>
      <w:r>
        <w:rPr>
          <w:spacing w:val="-5"/>
        </w:rPr>
        <w:t> </w:t>
      </w:r>
      <w:r>
        <w:rPr/>
        <w:t>Supply</w:t>
      </w:r>
      <w:r>
        <w:rPr>
          <w:spacing w:val="-5"/>
        </w:rPr>
        <w:t> </w:t>
      </w:r>
      <w:r>
        <w:rPr/>
        <w:t>Chain</w:t>
      </w:r>
      <w:r>
        <w:rPr>
          <w:spacing w:val="-1"/>
        </w:rPr>
        <w:t> </w:t>
      </w:r>
      <w:r>
        <w:rPr/>
        <w:t>Manager,</w:t>
      </w:r>
      <w:r>
        <w:rPr>
          <w:spacing w:val="-4"/>
        </w:rPr>
        <w:t> </w:t>
      </w:r>
      <w:r>
        <w:rPr/>
        <w:t>Clinical</w:t>
      </w:r>
      <w:r>
        <w:rPr>
          <w:spacing w:val="-5"/>
        </w:rPr>
        <w:t> </w:t>
      </w:r>
      <w:r>
        <w:rPr/>
        <w:t>Supply</w:t>
      </w:r>
      <w:r>
        <w:rPr>
          <w:spacing w:val="-5"/>
        </w:rPr>
        <w:t> </w:t>
      </w:r>
      <w:r>
        <w:rPr/>
        <w:t>Chain</w:t>
      </w:r>
      <w:r>
        <w:rPr>
          <w:spacing w:val="-5"/>
        </w:rPr>
        <w:t> </w:t>
      </w:r>
      <w:r>
        <w:rPr/>
        <w:t>Manger,</w:t>
      </w:r>
      <w:r>
        <w:rPr>
          <w:spacing w:val="-5"/>
        </w:rPr>
        <w:t> </w:t>
      </w:r>
      <w:r>
        <w:rPr/>
        <w:t>Senior Clinical Supply Chain Manager, Associate Director, Director or Senior Director)</w:t>
      </w:r>
    </w:p>
    <w:p>
      <w:pPr>
        <w:pStyle w:val="BodyText"/>
        <w:spacing w:before="9"/>
        <w:rPr>
          <w:sz w:val="31"/>
        </w:rPr>
      </w:pPr>
    </w:p>
    <w:p>
      <w:pPr>
        <w:pStyle w:val="BodyText"/>
        <w:spacing w:line="242" w:lineRule="auto"/>
        <w:ind w:left="1179" w:right="423"/>
      </w:pPr>
      <w:r>
        <w:rPr>
          <w:b/>
        </w:rPr>
        <w:t>Unblinding information: </w:t>
      </w:r>
      <w:r>
        <w:rPr/>
        <w:t>information that would allow identification of the treatment group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subject/patient</w:t>
      </w:r>
      <w:r>
        <w:rPr>
          <w:spacing w:val="-3"/>
        </w:rPr>
        <w:t> </w:t>
      </w:r>
      <w:r>
        <w:rPr/>
        <w:t>where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treatment</w:t>
      </w:r>
      <w:r>
        <w:rPr>
          <w:spacing w:val="-3"/>
        </w:rPr>
        <w:t> </w:t>
      </w:r>
      <w:r>
        <w:rPr/>
        <w:t>assignment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unknown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subject</w:t>
      </w:r>
      <w:r>
        <w:rPr>
          <w:spacing w:val="-3"/>
        </w:rPr>
        <w:t> </w:t>
      </w:r>
      <w:r>
        <w:rPr/>
        <w:t>and other blinded personnel involved in the conduct of a clinical trial i.e. Investigator, blinded Clinical</w:t>
      </w:r>
      <w:r>
        <w:rPr>
          <w:spacing w:val="-5"/>
        </w:rPr>
        <w:t> </w:t>
      </w:r>
      <w:r>
        <w:rPr/>
        <w:t>Lead.</w:t>
      </w:r>
      <w:r>
        <w:rPr>
          <w:spacing w:val="-5"/>
        </w:rPr>
        <w:t> </w:t>
      </w:r>
      <w:r>
        <w:rPr/>
        <w:t>Examples</w:t>
      </w:r>
      <w:r>
        <w:rPr>
          <w:spacing w:val="-5"/>
        </w:rPr>
        <w:t> </w:t>
      </w:r>
      <w:r>
        <w:rPr/>
        <w:t>of</w:t>
      </w:r>
      <w:r>
        <w:rPr>
          <w:spacing w:val="-5"/>
        </w:rPr>
        <w:t> </w:t>
      </w:r>
      <w:r>
        <w:rPr/>
        <w:t>unblinding</w:t>
      </w:r>
      <w:r>
        <w:rPr>
          <w:spacing w:val="-5"/>
        </w:rPr>
        <w:t> </w:t>
      </w:r>
      <w:r>
        <w:rPr/>
        <w:t>information</w:t>
      </w:r>
      <w:r>
        <w:rPr>
          <w:spacing w:val="-5"/>
        </w:rPr>
        <w:t> </w:t>
      </w:r>
      <w:r>
        <w:rPr/>
        <w:t>include</w:t>
      </w:r>
      <w:r>
        <w:rPr>
          <w:spacing w:val="-1"/>
        </w:rPr>
        <w:t> </w:t>
      </w:r>
      <w:r>
        <w:rPr/>
        <w:t>randomisation</w:t>
      </w:r>
      <w:r>
        <w:rPr>
          <w:spacing w:val="-5"/>
        </w:rPr>
        <w:t> </w:t>
      </w:r>
      <w:r>
        <w:rPr/>
        <w:t>lists,</w:t>
      </w:r>
      <w:r>
        <w:rPr>
          <w:spacing w:val="-5"/>
        </w:rPr>
        <w:t> </w:t>
      </w:r>
      <w:r>
        <w:rPr/>
        <w:t>medication number lists, unblinded reports and packaging and labelling documentation.</w:t>
      </w:r>
    </w:p>
    <w:p>
      <w:pPr>
        <w:pStyle w:val="BodyText"/>
        <w:spacing w:before="9"/>
        <w:rPr>
          <w:sz w:val="20"/>
        </w:rPr>
      </w:pPr>
    </w:p>
    <w:p>
      <w:pPr>
        <w:spacing w:line="244" w:lineRule="auto" w:before="1"/>
        <w:ind w:left="1180" w:right="511" w:firstLine="0"/>
        <w:jc w:val="both"/>
        <w:rPr>
          <w:sz w:val="22"/>
        </w:rPr>
      </w:pPr>
      <w:r>
        <w:rPr>
          <w:b/>
          <w:sz w:val="22"/>
        </w:rPr>
        <w:t>Accidental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unblinding</w:t>
      </w:r>
      <w:r>
        <w:rPr>
          <w:sz w:val="22"/>
        </w:rPr>
        <w:t>:</w:t>
      </w:r>
      <w:r>
        <w:rPr>
          <w:spacing w:val="-2"/>
          <w:sz w:val="22"/>
        </w:rPr>
        <w:t> </w:t>
      </w:r>
      <w:r>
        <w:rPr>
          <w:sz w:val="22"/>
        </w:rPr>
        <w:t>s</w:t>
      </w:r>
      <w:r>
        <w:rPr>
          <w:sz w:val="21"/>
        </w:rPr>
        <w:t>haring</w:t>
      </w:r>
      <w:r>
        <w:rPr>
          <w:spacing w:val="-5"/>
          <w:sz w:val="21"/>
        </w:rPr>
        <w:t> </w:t>
      </w:r>
      <w:r>
        <w:rPr>
          <w:sz w:val="21"/>
        </w:rPr>
        <w:t>of</w:t>
      </w:r>
      <w:r>
        <w:rPr>
          <w:spacing w:val="-5"/>
          <w:sz w:val="21"/>
        </w:rPr>
        <w:t> </w:t>
      </w:r>
      <w:r>
        <w:rPr>
          <w:sz w:val="21"/>
        </w:rPr>
        <w:t>patient</w:t>
      </w:r>
      <w:r>
        <w:rPr>
          <w:spacing w:val="-5"/>
          <w:sz w:val="21"/>
        </w:rPr>
        <w:t> </w:t>
      </w:r>
      <w:r>
        <w:rPr>
          <w:sz w:val="21"/>
        </w:rPr>
        <w:t>treatment</w:t>
      </w:r>
      <w:r>
        <w:rPr>
          <w:spacing w:val="-5"/>
          <w:sz w:val="21"/>
        </w:rPr>
        <w:t> </w:t>
      </w:r>
      <w:r>
        <w:rPr>
          <w:sz w:val="21"/>
        </w:rPr>
        <w:t>group</w:t>
      </w:r>
      <w:r>
        <w:rPr>
          <w:spacing w:val="-5"/>
          <w:sz w:val="21"/>
        </w:rPr>
        <w:t> </w:t>
      </w:r>
      <w:r>
        <w:rPr>
          <w:sz w:val="21"/>
        </w:rPr>
        <w:t>details</w:t>
      </w:r>
      <w:r>
        <w:rPr>
          <w:spacing w:val="-5"/>
          <w:sz w:val="21"/>
        </w:rPr>
        <w:t> </w:t>
      </w:r>
      <w:r>
        <w:rPr>
          <w:sz w:val="21"/>
        </w:rPr>
        <w:t>to</w:t>
      </w:r>
      <w:r>
        <w:rPr>
          <w:spacing w:val="-5"/>
          <w:sz w:val="21"/>
        </w:rPr>
        <w:t> </w:t>
      </w:r>
      <w:r>
        <w:rPr>
          <w:sz w:val="21"/>
        </w:rPr>
        <w:t>blinded</w:t>
      </w:r>
      <w:r>
        <w:rPr>
          <w:spacing w:val="-5"/>
          <w:sz w:val="21"/>
        </w:rPr>
        <w:t> </w:t>
      </w:r>
      <w:r>
        <w:rPr>
          <w:sz w:val="21"/>
        </w:rPr>
        <w:t>study</w:t>
      </w:r>
      <w:r>
        <w:rPr>
          <w:spacing w:val="-5"/>
          <w:sz w:val="21"/>
        </w:rPr>
        <w:t> </w:t>
      </w:r>
      <w:r>
        <w:rPr>
          <w:sz w:val="21"/>
        </w:rPr>
        <w:t>contacts by </w:t>
      </w:r>
      <w:r>
        <w:rPr>
          <w:sz w:val="22"/>
        </w:rPr>
        <w:t>inadvertent viewing of misfiled documents, verbally acquired information or mixing up email communication channels</w:t>
      </w:r>
    </w:p>
    <w:p>
      <w:pPr>
        <w:pStyle w:val="BodyText"/>
        <w:spacing w:before="5"/>
        <w:rPr>
          <w:sz w:val="19"/>
        </w:rPr>
      </w:pPr>
    </w:p>
    <w:p>
      <w:pPr>
        <w:pStyle w:val="Heading1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0"/>
        <w:ind w:left="1180" w:right="0" w:hanging="720"/>
        <w:jc w:val="left"/>
      </w:pPr>
      <w:r>
        <w:rPr/>
        <w:t>MATERIAL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64"/>
        <w:ind w:left="1180"/>
        <w:jc w:val="both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spacing w:after="0"/>
        <w:jc w:val="both"/>
        <w:sectPr>
          <w:footerReference w:type="default" r:id="rId5"/>
          <w:type w:val="continuous"/>
          <w:pgSz w:w="12240" w:h="15840"/>
          <w:pgMar w:footer="957" w:header="0" w:top="700" w:bottom="1140" w:left="980" w:right="960"/>
          <w:pgNumType w:start="1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Heading1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94" w:after="0"/>
        <w:ind w:left="1180" w:right="0" w:hanging="720"/>
        <w:jc w:val="left"/>
      </w:pPr>
      <w:r>
        <w:rPr>
          <w:spacing w:val="-2"/>
        </w:rPr>
        <w:t>PROCEDURE</w:t>
      </w:r>
    </w:p>
    <w:p>
      <w:pPr>
        <w:pStyle w:val="BodyText"/>
        <w:rPr>
          <w:b/>
          <w:sz w:val="21"/>
        </w:rPr>
      </w:pPr>
    </w:p>
    <w:p>
      <w:pPr>
        <w:pStyle w:val="Heading2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0" w:after="0"/>
        <w:ind w:left="1900" w:right="0" w:hanging="720"/>
        <w:jc w:val="left"/>
      </w:pPr>
      <w:r>
        <w:rPr/>
        <w:t>Management</w:t>
      </w:r>
      <w:r>
        <w:rPr>
          <w:spacing w:val="-8"/>
        </w:rPr>
        <w:t> </w:t>
      </w:r>
      <w:r>
        <w:rPr/>
        <w:t>of</w:t>
      </w:r>
      <w:r>
        <w:rPr>
          <w:spacing w:val="-7"/>
        </w:rPr>
        <w:t> </w:t>
      </w:r>
      <w:r>
        <w:rPr/>
        <w:t>Unblinding</w:t>
      </w:r>
      <w:r>
        <w:rPr>
          <w:spacing w:val="-7"/>
        </w:rPr>
        <w:t> </w:t>
      </w:r>
      <w:r>
        <w:rPr>
          <w:spacing w:val="-2"/>
        </w:rPr>
        <w:t>Information</w:t>
      </w:r>
    </w:p>
    <w:p>
      <w:pPr>
        <w:pStyle w:val="BodyText"/>
        <w:spacing w:before="126"/>
        <w:ind w:left="1900"/>
      </w:pPr>
      <w:r>
        <w:rPr/>
        <w:t>Applicable</w:t>
      </w:r>
      <w:r>
        <w:rPr>
          <w:spacing w:val="-5"/>
        </w:rPr>
        <w:t> </w:t>
      </w:r>
      <w:r>
        <w:rPr/>
        <w:t>to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communication</w:t>
      </w:r>
      <w:r>
        <w:rPr>
          <w:spacing w:val="-5"/>
        </w:rPr>
        <w:t> </w:t>
      </w:r>
      <w:r>
        <w:rPr/>
        <w:t>channels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documentation</w:t>
      </w:r>
      <w:r>
        <w:rPr>
          <w:spacing w:val="-5"/>
        </w:rPr>
        <w:t> </w:t>
      </w:r>
      <w:r>
        <w:rPr/>
        <w:t>accessible</w:t>
      </w:r>
      <w:r>
        <w:rPr>
          <w:spacing w:val="-5"/>
        </w:rPr>
        <w:t> </w:t>
      </w:r>
      <w:r>
        <w:rPr/>
        <w:t>to investigator sites, IQVIA project personnel and sponsor contacts.</w:t>
      </w:r>
    </w:p>
    <w:p>
      <w:pPr>
        <w:pStyle w:val="BodyText"/>
        <w:rPr>
          <w:sz w:val="20"/>
        </w:rPr>
      </w:pPr>
    </w:p>
    <w:p>
      <w:pPr>
        <w:pStyle w:val="BodyText"/>
        <w:spacing w:before="9"/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74"/>
        <w:gridCol w:w="1420"/>
        <w:gridCol w:w="6388"/>
        <w:gridCol w:w="1281"/>
      </w:tblGrid>
      <w:tr>
        <w:trPr>
          <w:trHeight w:val="311" w:hRule="atLeast"/>
        </w:trPr>
        <w:tc>
          <w:tcPr>
            <w:tcW w:w="974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420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388" w:type="dxa"/>
            <w:shd w:val="clear" w:color="auto" w:fill="D9D9D9"/>
          </w:tcPr>
          <w:p>
            <w:pPr>
              <w:pStyle w:val="TableParagraph"/>
              <w:spacing w:before="38"/>
              <w:ind w:left="1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281" w:type="dxa"/>
            <w:shd w:val="clear" w:color="auto" w:fill="D9D9D9"/>
          </w:tcPr>
          <w:p>
            <w:pPr>
              <w:pStyle w:val="TableParagraph"/>
              <w:spacing w:before="38"/>
              <w:ind w:left="117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When</w:t>
            </w:r>
          </w:p>
        </w:tc>
      </w:tr>
      <w:tr>
        <w:trPr>
          <w:trHeight w:val="1048" w:hRule="atLeast"/>
        </w:trPr>
        <w:tc>
          <w:tcPr>
            <w:tcW w:w="974" w:type="dxa"/>
            <w:tcBorders>
              <w:bottom w:val="nil"/>
            </w:tcBorders>
          </w:tcPr>
          <w:p>
            <w:pPr>
              <w:pStyle w:val="TableParagraph"/>
              <w:spacing w:before="38"/>
              <w:ind w:right="250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420" w:type="dxa"/>
            <w:tcBorders>
              <w:bottom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388" w:type="dxa"/>
            <w:tcBorders>
              <w:bottom w:val="nil"/>
            </w:tcBorders>
          </w:tcPr>
          <w:p>
            <w:pPr>
              <w:pStyle w:val="TableParagraph"/>
              <w:ind w:left="111" w:right="199"/>
              <w:rPr>
                <w:sz w:val="20"/>
              </w:rPr>
            </w:pPr>
            <w:r>
              <w:rPr>
                <w:sz w:val="20"/>
              </w:rPr>
              <w:t>Reference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Communication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(available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 the sponsor and study specific eTraining Reading List) for a list of blinded and unblinded study contacts. This plan is to be used to ensure unblinded information is not received by blinded contacts.</w:t>
            </w:r>
          </w:p>
        </w:tc>
        <w:tc>
          <w:tcPr>
            <w:tcW w:w="1281" w:type="dxa"/>
            <w:tcBorders>
              <w:bottom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1161" w:hRule="atLeast"/>
        </w:trPr>
        <w:tc>
          <w:tcPr>
            <w:tcW w:w="974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20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388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122"/>
              <w:ind w:left="111" w:right="199"/>
              <w:rPr>
                <w:sz w:val="20"/>
              </w:rPr>
            </w:pPr>
            <w:r>
              <w:rPr>
                <w:sz w:val="20"/>
              </w:rPr>
              <w:t>If a name is absent in the communication plan and the contact requests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unblinded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information,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separate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email first to obtain confirmation that the contact is authorised to receive unblinded information</w:t>
            </w:r>
          </w:p>
        </w:tc>
        <w:tc>
          <w:tcPr>
            <w:tcW w:w="1281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880" w:hRule="atLeast"/>
        </w:trPr>
        <w:tc>
          <w:tcPr>
            <w:tcW w:w="974" w:type="dxa"/>
            <w:tcBorders>
              <w:top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20" w:type="dxa"/>
            <w:vMerge w:val="restart"/>
            <w:tcBorders>
              <w:top w:val="nil"/>
              <w:bottom w:val="nil"/>
            </w:tcBorders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"/>
              <w:rPr>
                <w:sz w:val="29"/>
              </w:rPr>
            </w:pPr>
          </w:p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CTS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388" w:type="dxa"/>
            <w:tcBorders>
              <w:top w:val="nil"/>
            </w:tcBorders>
          </w:tcPr>
          <w:p>
            <w:pPr>
              <w:pStyle w:val="TableParagraph"/>
              <w:spacing w:before="112"/>
              <w:ind w:left="111" w:right="199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doubt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contact’s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blinding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status,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assume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they are blinded until this can be confirmed.</w:t>
            </w:r>
          </w:p>
        </w:tc>
        <w:tc>
          <w:tcPr>
            <w:tcW w:w="1281" w:type="dxa"/>
            <w:vMerge w:val="restart"/>
            <w:tcBorders>
              <w:top w:val="nil"/>
              <w:bottom w:val="nil"/>
            </w:tcBorders>
          </w:tcPr>
          <w:p>
            <w:pPr>
              <w:pStyle w:val="TableParagraph"/>
              <w:spacing w:before="8"/>
              <w:rPr>
                <w:sz w:val="27"/>
              </w:rPr>
            </w:pPr>
          </w:p>
          <w:p>
            <w:pPr>
              <w:pStyle w:val="TableParagraph"/>
              <w:ind w:left="145" w:right="127" w:hanging="2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When </w:t>
            </w:r>
            <w:r>
              <w:rPr>
                <w:spacing w:val="-2"/>
                <w:sz w:val="20"/>
              </w:rPr>
              <w:t>sharing unblinded information</w:t>
            </w:r>
          </w:p>
        </w:tc>
      </w:tr>
      <w:tr>
        <w:trPr>
          <w:trHeight w:val="921" w:hRule="atLeast"/>
        </w:trPr>
        <w:tc>
          <w:tcPr>
            <w:tcW w:w="974" w:type="dxa"/>
          </w:tcPr>
          <w:p>
            <w:pPr>
              <w:pStyle w:val="TableParagraph"/>
              <w:spacing w:before="42"/>
              <w:ind w:right="250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420" w:type="dxa"/>
            <w:vMerge/>
            <w:tcBorders>
              <w:top w:val="nil"/>
              <w:bottom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388" w:type="dxa"/>
          </w:tcPr>
          <w:p>
            <w:pPr>
              <w:pStyle w:val="TableParagraph"/>
              <w:ind w:left="111" w:right="72"/>
              <w:rPr>
                <w:sz w:val="20"/>
              </w:rPr>
            </w:pPr>
            <w:r>
              <w:rPr>
                <w:sz w:val="20"/>
              </w:rPr>
              <w:t>All emails containing unblinded information should contain a warning 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subject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line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top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text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such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as:</w:t>
            </w:r>
          </w:p>
          <w:p>
            <w:pPr>
              <w:pStyle w:val="TableParagraph"/>
              <w:spacing w:line="230" w:lineRule="atLeast"/>
              <w:ind w:left="111" w:right="199"/>
              <w:rPr>
                <w:sz w:val="20"/>
              </w:rPr>
            </w:pPr>
            <w:r>
              <w:rPr>
                <w:sz w:val="20"/>
              </w:rPr>
              <w:t>**WARNING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UNBLINDED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CONTAINED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 THIS EMAIL**</w:t>
            </w:r>
          </w:p>
        </w:tc>
        <w:tc>
          <w:tcPr>
            <w:tcW w:w="1281" w:type="dxa"/>
            <w:vMerge/>
            <w:tcBorders>
              <w:top w:val="nil"/>
              <w:bottom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14" w:hRule="atLeast"/>
        </w:trPr>
        <w:tc>
          <w:tcPr>
            <w:tcW w:w="974" w:type="dxa"/>
          </w:tcPr>
          <w:p>
            <w:pPr>
              <w:pStyle w:val="TableParagraph"/>
              <w:spacing w:before="42"/>
              <w:ind w:right="250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420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388" w:type="dxa"/>
          </w:tcPr>
          <w:p>
            <w:pPr>
              <w:pStyle w:val="TableParagraph"/>
              <w:ind w:left="111"/>
              <w:rPr>
                <w:sz w:val="20"/>
              </w:rPr>
            </w:pPr>
            <w:r>
              <w:rPr>
                <w:sz w:val="20"/>
              </w:rPr>
              <w:t>Where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possible,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unblinded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 password protected. Passwords should be sent in separate emails</w:t>
            </w:r>
          </w:p>
        </w:tc>
        <w:tc>
          <w:tcPr>
            <w:tcW w:w="1281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805" w:hRule="atLeast"/>
        </w:trPr>
        <w:tc>
          <w:tcPr>
            <w:tcW w:w="974" w:type="dxa"/>
            <w:tcBorders>
              <w:bottom w:val="nil"/>
            </w:tcBorders>
          </w:tcPr>
          <w:p>
            <w:pPr>
              <w:pStyle w:val="TableParagraph"/>
              <w:spacing w:before="42"/>
              <w:ind w:right="250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420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388" w:type="dxa"/>
            <w:tcBorders>
              <w:bottom w:val="nil"/>
            </w:tcBorders>
          </w:tcPr>
          <w:p>
            <w:pPr>
              <w:pStyle w:val="TableParagraph"/>
              <w:ind w:left="111" w:right="336"/>
              <w:jc w:val="both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distributing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blind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sensitive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blinded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audience, apply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redaction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remove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obscure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unblinding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elements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from the document(s) or message</w:t>
            </w:r>
          </w:p>
        </w:tc>
        <w:tc>
          <w:tcPr>
            <w:tcW w:w="1281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688" w:hRule="atLeast"/>
        </w:trPr>
        <w:tc>
          <w:tcPr>
            <w:tcW w:w="974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20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388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110"/>
              <w:ind w:left="111"/>
              <w:rPr>
                <w:sz w:val="20"/>
              </w:rPr>
            </w:pPr>
            <w:r>
              <w:rPr>
                <w:sz w:val="20"/>
              </w:rPr>
              <w:t>Executed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Batch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Records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(EBRs)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blinded/redacted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packaging vendor, not by IQVIA.</w:t>
            </w:r>
          </w:p>
        </w:tc>
        <w:tc>
          <w:tcPr>
            <w:tcW w:w="1281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691" w:hRule="atLeast"/>
        </w:trPr>
        <w:tc>
          <w:tcPr>
            <w:tcW w:w="974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20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388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112"/>
              <w:ind w:left="111" w:right="199"/>
              <w:rPr>
                <w:sz w:val="20"/>
              </w:rPr>
            </w:pPr>
            <w:r>
              <w:rPr>
                <w:sz w:val="20"/>
              </w:rPr>
              <w:t>IRT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reports: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possible,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provide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blinded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directly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 the IRT</w:t>
            </w:r>
          </w:p>
        </w:tc>
        <w:tc>
          <w:tcPr>
            <w:tcW w:w="1281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573" w:hRule="atLeast"/>
        </w:trPr>
        <w:tc>
          <w:tcPr>
            <w:tcW w:w="974" w:type="dxa"/>
            <w:tcBorders>
              <w:top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20" w:type="dxa"/>
            <w:tcBorders>
              <w:top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388" w:type="dxa"/>
            <w:tcBorders>
              <w:top w:val="nil"/>
            </w:tcBorders>
          </w:tcPr>
          <w:p>
            <w:pPr>
              <w:pStyle w:val="TableParagraph"/>
              <w:spacing w:before="112"/>
              <w:ind w:left="111"/>
              <w:rPr>
                <w:sz w:val="20"/>
              </w:rPr>
            </w:pPr>
            <w:r>
              <w:rPr>
                <w:sz w:val="20"/>
              </w:rPr>
              <w:t>CoA: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both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(active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placebo)</w:t>
            </w:r>
          </w:p>
        </w:tc>
        <w:tc>
          <w:tcPr>
            <w:tcW w:w="1281" w:type="dxa"/>
            <w:tcBorders>
              <w:top w:val="nil"/>
            </w:tcBorders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9"/>
        <w:rPr>
          <w:sz w:val="12"/>
        </w:rPr>
      </w:pPr>
    </w:p>
    <w:p>
      <w:pPr>
        <w:pStyle w:val="Heading2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94" w:after="0"/>
        <w:ind w:left="1900" w:right="0" w:hanging="720"/>
        <w:jc w:val="left"/>
      </w:pPr>
      <w:r>
        <w:rPr/>
        <w:t>Accidental</w:t>
      </w:r>
      <w:r>
        <w:rPr>
          <w:spacing w:val="-10"/>
        </w:rPr>
        <w:t> </w:t>
      </w:r>
      <w:r>
        <w:rPr>
          <w:spacing w:val="-2"/>
        </w:rPr>
        <w:t>Unblinding</w:t>
      </w:r>
    </w:p>
    <w:p>
      <w:pPr>
        <w:pStyle w:val="BodyText"/>
        <w:spacing w:before="121"/>
        <w:ind w:left="1900" w:right="566"/>
      </w:pPr>
      <w:r>
        <w:rPr/>
        <w:t>Applicable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case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accidental</w:t>
      </w:r>
      <w:r>
        <w:rPr>
          <w:spacing w:val="-3"/>
        </w:rPr>
        <w:t> </w:t>
      </w:r>
      <w:r>
        <w:rPr/>
        <w:t>unblinding</w:t>
      </w:r>
      <w:r>
        <w:rPr>
          <w:spacing w:val="-3"/>
        </w:rPr>
        <w:t> </w:t>
      </w:r>
      <w:r>
        <w:rPr/>
        <w:t>related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CTS</w:t>
      </w:r>
      <w:r>
        <w:rPr>
          <w:spacing w:val="-3"/>
        </w:rPr>
        <w:t> </w:t>
      </w:r>
      <w:r>
        <w:rPr/>
        <w:t>team.</w:t>
      </w:r>
      <w:r>
        <w:rPr>
          <w:spacing w:val="40"/>
        </w:rPr>
        <w:t> </w:t>
      </w:r>
      <w:r>
        <w:rPr/>
        <w:t>A</w:t>
      </w:r>
      <w:r>
        <w:rPr>
          <w:spacing w:val="-3"/>
        </w:rPr>
        <w:t> </w:t>
      </w:r>
      <w:r>
        <w:rPr/>
        <w:t>breach</w:t>
      </w:r>
      <w:r>
        <w:rPr>
          <w:spacing w:val="-3"/>
        </w:rPr>
        <w:t> </w:t>
      </w:r>
      <w:r>
        <w:rPr/>
        <w:t>in the study blind is considered a critical issue, that can endanger the study data </w:t>
      </w:r>
      <w:r>
        <w:rPr>
          <w:spacing w:val="-2"/>
        </w:rPr>
        <w:t>integrity.</w:t>
      </w:r>
    </w:p>
    <w:p>
      <w:pPr>
        <w:spacing w:after="0"/>
        <w:sectPr>
          <w:headerReference w:type="default" r:id="rId7"/>
          <w:footerReference w:type="default" r:id="rId8"/>
          <w:pgSz w:w="12240" w:h="15840"/>
          <w:pgMar w:header="725" w:footer="952" w:top="2520" w:bottom="1140" w:left="980" w:right="96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61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  <w:vMerge w:val="restart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48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ind w:left="109"/>
              <w:rPr>
                <w:sz w:val="20"/>
              </w:rPr>
            </w:pPr>
            <w:r>
              <w:rPr>
                <w:sz w:val="20"/>
              </w:rPr>
              <w:t>Take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immediate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halt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spread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unblinding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information.</w:t>
            </w:r>
          </w:p>
          <w:p>
            <w:pPr>
              <w:pStyle w:val="TableParagraph"/>
              <w:spacing w:line="230" w:lineRule="atLeast"/>
              <w:ind w:left="109" w:right="127"/>
              <w:rPr>
                <w:sz w:val="20"/>
              </w:rPr>
            </w:pPr>
            <w:r>
              <w:rPr>
                <w:sz w:val="20"/>
              </w:rPr>
              <w:t>E.g. if unblinding information is in an email then request all recipients of the email to not open it and to delete it, or if it is a file containing the information and it is stored in a shared study folder, then it should be moved and/or deleted as appropriate.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As an additional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measure,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utilize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function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outlook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attempt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 prevent opening of unblinding messages.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42"/>
              <w:ind w:left="210" w:right="207" w:hanging="2"/>
              <w:jc w:val="center"/>
              <w:rPr>
                <w:sz w:val="20"/>
              </w:rPr>
            </w:pPr>
            <w:r>
              <w:rPr>
                <w:sz w:val="20"/>
              </w:rPr>
              <w:t>Within 1 day of detecting an unblinded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event</w:t>
            </w:r>
          </w:p>
        </w:tc>
      </w:tr>
      <w:tr>
        <w:trPr>
          <w:trHeight w:val="1151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30" w:lineRule="exact"/>
              <w:ind w:left="109" w:right="183"/>
              <w:rPr>
                <w:sz w:val="20"/>
              </w:rPr>
            </w:pPr>
            <w:r>
              <w:rPr>
                <w:sz w:val="20"/>
              </w:rPr>
              <w:t>Notify the Clinical Lead (preferably an Unblinded Clinical Lead if one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assigned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study)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unblinding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incident,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 be in the best position to advise how to contain the unblinding, investigate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bring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others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loop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‘need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know’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basis as to the scope of the unblinding.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86" w:hRule="atLeast"/>
        </w:trPr>
        <w:tc>
          <w:tcPr>
            <w:tcW w:w="797" w:type="dxa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27" w:lineRule="exact"/>
              <w:ind w:left="109"/>
              <w:rPr>
                <w:sz w:val="20"/>
              </w:rPr>
            </w:pPr>
            <w:r>
              <w:rPr>
                <w:sz w:val="20"/>
              </w:rPr>
              <w:t>Formally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issue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accessing</w:t>
            </w:r>
            <w:r>
              <w:rPr>
                <w:spacing w:val="-5"/>
                <w:sz w:val="20"/>
              </w:rPr>
              <w:t> the</w:t>
            </w:r>
          </w:p>
          <w:p>
            <w:pPr>
              <w:pStyle w:val="TableParagraph"/>
              <w:spacing w:line="230" w:lineRule="exact"/>
              <w:ind w:left="109"/>
              <w:rPr>
                <w:sz w:val="20"/>
              </w:rPr>
            </w:pPr>
            <w:r>
              <w:rPr>
                <w:sz w:val="20"/>
              </w:rPr>
              <w:t>IQVIA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intranet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submitting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ticket,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 CS_OP_QA002 Quality Issue Management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001" w:hRule="atLeast"/>
        </w:trPr>
        <w:tc>
          <w:tcPr>
            <w:tcW w:w="797" w:type="dxa"/>
          </w:tcPr>
          <w:p>
            <w:pPr>
              <w:pStyle w:val="TableParagraph"/>
              <w:spacing w:before="36"/>
              <w:ind w:left="11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61" w:lineRule="auto"/>
              <w:ind w:left="109"/>
              <w:rPr>
                <w:sz w:val="20"/>
              </w:rPr>
            </w:pPr>
            <w:r>
              <w:rPr>
                <w:sz w:val="20"/>
              </w:rPr>
              <w:t>Document the identification, assessment, communication and notification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stakeholders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CS_TP_PL0031,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Potential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Actual Unblinding Report in accordance with CS_WI_PL0029, Project</w:t>
            </w:r>
          </w:p>
          <w:p>
            <w:pPr>
              <w:pStyle w:val="TableParagraph"/>
              <w:spacing w:line="212" w:lineRule="exact"/>
              <w:ind w:left="109"/>
              <w:rPr>
                <w:sz w:val="20"/>
              </w:rPr>
            </w:pPr>
            <w:r>
              <w:rPr>
                <w:sz w:val="20"/>
              </w:rPr>
              <w:t>Management,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Communications,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Reporting.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5"/>
        <w:rPr>
          <w:sz w:val="12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94" w:after="7"/>
        <w:ind w:left="1180" w:right="0" w:hanging="720"/>
        <w:jc w:val="left"/>
        <w:rPr>
          <w:b/>
          <w:sz w:val="22"/>
        </w:rPr>
      </w:pPr>
      <w:r>
        <w:rPr>
          <w:b/>
          <w:sz w:val="22"/>
        </w:rPr>
        <w:t>SUPPORTING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1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26"/>
        <w:gridCol w:w="6576"/>
      </w:tblGrid>
      <w:tr>
        <w:trPr>
          <w:trHeight w:val="316" w:hRule="atLeast"/>
        </w:trPr>
        <w:tc>
          <w:tcPr>
            <w:tcW w:w="3326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576" w:type="dxa"/>
            <w:shd w:val="clear" w:color="auto" w:fill="D9D9D9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326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1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576" w:type="dxa"/>
            <w:shd w:val="clear" w:color="auto" w:fill="D9D9D9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35" w:hRule="atLeast"/>
        </w:trPr>
        <w:tc>
          <w:tcPr>
            <w:tcW w:w="3326" w:type="dxa"/>
          </w:tcPr>
          <w:p>
            <w:pPr>
              <w:pStyle w:val="TableParagraph"/>
              <w:tabs>
                <w:tab w:pos="719" w:val="left" w:leader="none"/>
              </w:tabs>
              <w:spacing w:before="38"/>
              <w:ind w:right="168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CS_TP_PL0031</w:t>
            </w:r>
          </w:p>
        </w:tc>
        <w:tc>
          <w:tcPr>
            <w:tcW w:w="6576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Potential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Actual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Unblinding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Report</w:t>
            </w:r>
          </w:p>
        </w:tc>
      </w:tr>
      <w:tr>
        <w:trPr>
          <w:trHeight w:val="330" w:hRule="atLeast"/>
        </w:trPr>
        <w:tc>
          <w:tcPr>
            <w:tcW w:w="3326" w:type="dxa"/>
          </w:tcPr>
          <w:p>
            <w:pPr>
              <w:pStyle w:val="TableParagraph"/>
              <w:tabs>
                <w:tab w:pos="719" w:val="left" w:leader="none"/>
              </w:tabs>
              <w:spacing w:before="38"/>
              <w:ind w:right="177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CS_WI_PL0029</w:t>
            </w:r>
          </w:p>
        </w:tc>
        <w:tc>
          <w:tcPr>
            <w:tcW w:w="6576" w:type="dxa"/>
          </w:tcPr>
          <w:p>
            <w:pPr>
              <w:pStyle w:val="TableParagraph"/>
              <w:spacing w:line="248" w:lineRule="exact"/>
              <w:ind w:left="110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Management,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Communications,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Reporting</w:t>
            </w:r>
          </w:p>
        </w:tc>
      </w:tr>
      <w:tr>
        <w:trPr>
          <w:trHeight w:val="335" w:hRule="atLeast"/>
        </w:trPr>
        <w:tc>
          <w:tcPr>
            <w:tcW w:w="3326" w:type="dxa"/>
          </w:tcPr>
          <w:p>
            <w:pPr>
              <w:pStyle w:val="TableParagraph"/>
              <w:tabs>
                <w:tab w:pos="710" w:val="left" w:leader="none"/>
              </w:tabs>
              <w:spacing w:before="38"/>
              <w:ind w:right="201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CS_OP_QA002</w:t>
            </w:r>
          </w:p>
        </w:tc>
        <w:tc>
          <w:tcPr>
            <w:tcW w:w="6576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Quality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Issue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Management</w:t>
            </w:r>
          </w:p>
        </w:tc>
      </w:tr>
    </w:tbl>
    <w:p>
      <w:pPr>
        <w:pStyle w:val="BodyText"/>
        <w:spacing w:before="2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7"/>
        <w:ind w:left="118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SUPERSEDES</w:t>
      </w:r>
    </w:p>
    <w:tbl>
      <w:tblPr>
        <w:tblW w:w="0" w:type="auto"/>
        <w:jc w:val="left"/>
        <w:tblInd w:w="18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26"/>
        <w:gridCol w:w="3331"/>
        <w:gridCol w:w="3259"/>
      </w:tblGrid>
      <w:tr>
        <w:trPr>
          <w:trHeight w:val="287" w:hRule="atLeast"/>
        </w:trPr>
        <w:tc>
          <w:tcPr>
            <w:tcW w:w="3326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331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3259" w:type="dxa"/>
            <w:shd w:val="clear" w:color="auto" w:fill="BFBFBF"/>
          </w:tcPr>
          <w:p>
            <w:pPr>
              <w:pStyle w:val="TableParagraph"/>
              <w:spacing w:line="248" w:lineRule="exact"/>
              <w:ind w:left="106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335" w:hRule="atLeast"/>
        </w:trPr>
        <w:tc>
          <w:tcPr>
            <w:tcW w:w="3326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z w:val="20"/>
              </w:rPr>
              <w:t>CRO_WI_CTS0013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3331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Accidental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Unblinding</w:t>
            </w:r>
          </w:p>
        </w:tc>
        <w:tc>
          <w:tcPr>
            <w:tcW w:w="3259" w:type="dxa"/>
          </w:tcPr>
          <w:p>
            <w:pPr>
              <w:pStyle w:val="TableParagraph"/>
              <w:spacing w:before="38"/>
              <w:ind w:left="106"/>
              <w:rPr>
                <w:sz w:val="22"/>
              </w:rPr>
            </w:pPr>
            <w:r>
              <w:rPr>
                <w:w w:val="100"/>
                <w:sz w:val="22"/>
              </w:rPr>
              <w:t>1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0" w:after="6"/>
        <w:ind w:left="1180" w:right="0" w:hanging="720"/>
        <w:jc w:val="left"/>
        <w:rPr>
          <w:b/>
          <w:sz w:val="22"/>
        </w:rPr>
      </w:pPr>
      <w:r>
        <w:rPr>
          <w:b/>
          <w:sz w:val="22"/>
        </w:rPr>
        <w:t>MODIFICATION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2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69"/>
        <w:gridCol w:w="3269"/>
        <w:gridCol w:w="3269"/>
      </w:tblGrid>
      <w:tr>
        <w:trPr>
          <w:trHeight w:val="316" w:hRule="atLeast"/>
        </w:trPr>
        <w:tc>
          <w:tcPr>
            <w:tcW w:w="3269" w:type="dxa"/>
            <w:shd w:val="clear" w:color="auto" w:fill="BFBFBF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69" w:type="dxa"/>
            <w:shd w:val="clear" w:color="auto" w:fill="BFBFBF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269" w:type="dxa"/>
            <w:shd w:val="clear" w:color="auto" w:fill="BFBFBF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1089" w:hRule="atLeast"/>
        </w:trPr>
        <w:tc>
          <w:tcPr>
            <w:tcW w:w="3269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definition</w:t>
            </w:r>
          </w:p>
        </w:tc>
        <w:tc>
          <w:tcPr>
            <w:tcW w:w="3269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4.0</w:t>
            </w:r>
          </w:p>
        </w:tc>
        <w:tc>
          <w:tcPr>
            <w:tcW w:w="3269" w:type="dxa"/>
          </w:tcPr>
          <w:p>
            <w:pPr>
              <w:pStyle w:val="TableParagraph"/>
              <w:spacing w:before="9"/>
              <w:rPr>
                <w:b/>
                <w:sz w:val="20"/>
              </w:rPr>
            </w:pP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z w:val="22"/>
              </w:rPr>
              <w:t>CTS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Team: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addition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Supply Chain Coordinator</w:t>
            </w:r>
          </w:p>
        </w:tc>
      </w:tr>
      <w:tr>
        <w:trPr>
          <w:trHeight w:val="1089" w:hRule="atLeast"/>
        </w:trPr>
        <w:tc>
          <w:tcPr>
            <w:tcW w:w="3269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Rewording</w:t>
            </w:r>
          </w:p>
        </w:tc>
        <w:tc>
          <w:tcPr>
            <w:tcW w:w="3269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6.1.1</w:t>
            </w:r>
          </w:p>
        </w:tc>
        <w:tc>
          <w:tcPr>
            <w:tcW w:w="3269" w:type="dxa"/>
          </w:tcPr>
          <w:p>
            <w:pPr>
              <w:pStyle w:val="TableParagraph"/>
              <w:spacing w:before="9"/>
              <w:rPr>
                <w:b/>
                <w:sz w:val="20"/>
              </w:rPr>
            </w:pP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z w:val="22"/>
              </w:rPr>
              <w:t>Rewording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better </w:t>
            </w:r>
            <w:r>
              <w:rPr>
                <w:spacing w:val="-2"/>
                <w:sz w:val="22"/>
              </w:rPr>
              <w:t>understanding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725" w:footer="952" w:top="2520" w:bottom="1140" w:left="980" w:right="96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2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69"/>
        <w:gridCol w:w="3269"/>
        <w:gridCol w:w="3269"/>
      </w:tblGrid>
      <w:tr>
        <w:trPr>
          <w:trHeight w:val="1252" w:hRule="atLeast"/>
        </w:trPr>
        <w:tc>
          <w:tcPr>
            <w:tcW w:w="3269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examples</w:t>
            </w:r>
          </w:p>
        </w:tc>
        <w:tc>
          <w:tcPr>
            <w:tcW w:w="3269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6.1.4</w:t>
            </w:r>
          </w:p>
        </w:tc>
        <w:tc>
          <w:tcPr>
            <w:tcW w:w="3269" w:type="dxa"/>
          </w:tcPr>
          <w:p>
            <w:pPr>
              <w:pStyle w:val="TableParagraph"/>
              <w:spacing w:before="9"/>
              <w:rPr>
                <w:b/>
                <w:sz w:val="20"/>
              </w:rPr>
            </w:pP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z w:val="22"/>
              </w:rPr>
              <w:t>Addition of examples of documents and tips for maintaining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blinding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said</w:t>
            </w:r>
          </w:p>
          <w:p>
            <w:pPr>
              <w:pStyle w:val="TableParagraph"/>
              <w:spacing w:line="234" w:lineRule="exact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documents</w:t>
            </w:r>
          </w:p>
        </w:tc>
      </w:tr>
      <w:tr>
        <w:trPr>
          <w:trHeight w:val="1089" w:hRule="atLeast"/>
        </w:trPr>
        <w:tc>
          <w:tcPr>
            <w:tcW w:w="3269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z w:val="22"/>
              </w:rPr>
              <w:t>Addition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Appendix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10"/>
                <w:sz w:val="22"/>
              </w:rPr>
              <w:t>A</w:t>
            </w:r>
          </w:p>
        </w:tc>
        <w:tc>
          <w:tcPr>
            <w:tcW w:w="3269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10.1</w:t>
            </w:r>
          </w:p>
        </w:tc>
        <w:tc>
          <w:tcPr>
            <w:tcW w:w="3269" w:type="dxa"/>
          </w:tcPr>
          <w:p>
            <w:pPr>
              <w:pStyle w:val="TableParagraph"/>
              <w:spacing w:before="5"/>
              <w:rPr>
                <w:b/>
                <w:sz w:val="20"/>
              </w:rPr>
            </w:pPr>
          </w:p>
          <w:p>
            <w:pPr>
              <w:pStyle w:val="TableParagraph"/>
              <w:ind w:left="105" w:right="92"/>
              <w:rPr>
                <w:sz w:val="22"/>
              </w:rPr>
            </w:pPr>
            <w:r>
              <w:rPr>
                <w:sz w:val="22"/>
              </w:rPr>
              <w:t>Instructions on how to password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protect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documents were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not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previously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included</w:t>
            </w:r>
          </w:p>
        </w:tc>
      </w:tr>
    </w:tbl>
    <w:p>
      <w:pPr>
        <w:pStyle w:val="BodyText"/>
        <w:spacing w:before="10"/>
        <w:rPr>
          <w:b/>
          <w:sz w:val="11"/>
        </w:rPr>
      </w:pPr>
    </w:p>
    <w:p>
      <w:pPr>
        <w:pStyle w:val="ListParagraph"/>
        <w:numPr>
          <w:ilvl w:val="0"/>
          <w:numId w:val="1"/>
        </w:numPr>
        <w:tabs>
          <w:tab w:pos="1179" w:val="left" w:leader="none"/>
          <w:tab w:pos="1180" w:val="left" w:leader="none"/>
        </w:tabs>
        <w:spacing w:line="240" w:lineRule="auto" w:before="94" w:after="0"/>
        <w:ind w:left="118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APPENDICES</w:t>
      </w:r>
    </w:p>
    <w:p>
      <w:pPr>
        <w:pStyle w:val="BodyText"/>
        <w:rPr>
          <w:b/>
          <w:sz w:val="24"/>
        </w:rPr>
      </w:pPr>
    </w:p>
    <w:p>
      <w:pPr>
        <w:pStyle w:val="BodyText"/>
        <w:spacing w:before="1"/>
        <w:rPr>
          <w:b/>
          <w:sz w:val="19"/>
        </w:rPr>
      </w:pPr>
    </w:p>
    <w:p>
      <w:pPr>
        <w:pStyle w:val="Heading2"/>
        <w:numPr>
          <w:ilvl w:val="1"/>
          <w:numId w:val="1"/>
        </w:numPr>
        <w:tabs>
          <w:tab w:pos="1899" w:val="left" w:leader="none"/>
          <w:tab w:pos="1900" w:val="left" w:leader="none"/>
        </w:tabs>
        <w:spacing w:line="240" w:lineRule="auto" w:before="0" w:after="0"/>
        <w:ind w:left="1900" w:right="0" w:hanging="720"/>
        <w:jc w:val="left"/>
      </w:pPr>
      <w:r>
        <w:rPr/>
        <w:t>Appendix</w:t>
      </w:r>
      <w:r>
        <w:rPr>
          <w:spacing w:val="-8"/>
        </w:rPr>
        <w:t> </w:t>
      </w:r>
      <w:r>
        <w:rPr/>
        <w:t>A:</w:t>
      </w:r>
      <w:r>
        <w:rPr>
          <w:spacing w:val="-8"/>
        </w:rPr>
        <w:t> </w:t>
      </w:r>
      <w:r>
        <w:rPr/>
        <w:t>Password</w:t>
      </w:r>
      <w:r>
        <w:rPr>
          <w:spacing w:val="-8"/>
        </w:rPr>
        <w:t> </w:t>
      </w:r>
      <w:r>
        <w:rPr/>
        <w:t>protection</w:t>
      </w:r>
      <w:r>
        <w:rPr>
          <w:spacing w:val="-8"/>
        </w:rPr>
        <w:t> </w:t>
      </w:r>
      <w:r>
        <w:rPr/>
        <w:t>of</w:t>
      </w:r>
      <w:r>
        <w:rPr>
          <w:spacing w:val="-8"/>
        </w:rPr>
        <w:t> </w:t>
      </w:r>
      <w:r>
        <w:rPr>
          <w:spacing w:val="-2"/>
        </w:rPr>
        <w:t>files</w:t>
      </w:r>
    </w:p>
    <w:p>
      <w:pPr>
        <w:spacing w:after="0" w:line="240" w:lineRule="auto"/>
        <w:jc w:val="left"/>
        <w:sectPr>
          <w:pgSz w:w="12240" w:h="15840"/>
          <w:pgMar w:header="725" w:footer="952" w:top="2520" w:bottom="1140" w:left="980" w:right="96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spacing w:before="94"/>
        <w:ind w:left="528" w:right="276" w:firstLine="0"/>
        <w:jc w:val="center"/>
        <w:rPr>
          <w:b/>
          <w:sz w:val="22"/>
        </w:rPr>
      </w:pPr>
      <w:r>
        <w:rPr>
          <w:b/>
          <w:sz w:val="22"/>
        </w:rPr>
        <w:t>Appendix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Password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protection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files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9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11"/>
        <w:gridCol w:w="4099"/>
      </w:tblGrid>
      <w:tr>
        <w:trPr>
          <w:trHeight w:val="614" w:hRule="atLeast"/>
        </w:trPr>
        <w:tc>
          <w:tcPr>
            <w:tcW w:w="3811" w:type="dxa"/>
          </w:tcPr>
          <w:p>
            <w:pPr>
              <w:pStyle w:val="TableParagraph"/>
              <w:spacing w:before="3"/>
              <w:rPr>
                <w:b/>
                <w:sz w:val="21"/>
              </w:rPr>
            </w:pPr>
          </w:p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Type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4"/>
                <w:sz w:val="22"/>
              </w:rPr>
              <w:t>file</w:t>
            </w:r>
          </w:p>
        </w:tc>
        <w:tc>
          <w:tcPr>
            <w:tcW w:w="4099" w:type="dxa"/>
          </w:tcPr>
          <w:p>
            <w:pPr>
              <w:pStyle w:val="TableParagraph"/>
              <w:spacing w:before="3"/>
              <w:rPr>
                <w:b/>
                <w:sz w:val="21"/>
              </w:rPr>
            </w:pPr>
          </w:p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How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password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protect</w:t>
            </w:r>
          </w:p>
        </w:tc>
      </w:tr>
      <w:tr>
        <w:trPr>
          <w:trHeight w:val="1578" w:hRule="atLeast"/>
        </w:trPr>
        <w:tc>
          <w:tcPr>
            <w:tcW w:w="3811" w:type="dxa"/>
          </w:tcPr>
          <w:p>
            <w:pPr>
              <w:pStyle w:val="TableParagraph"/>
              <w:spacing w:before="9"/>
              <w:rPr>
                <w:b/>
                <w:sz w:val="20"/>
              </w:rPr>
            </w:pP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Word</w:t>
            </w:r>
          </w:p>
        </w:tc>
        <w:tc>
          <w:tcPr>
            <w:tcW w:w="4099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Export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word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PDF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format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5" w:val="left" w:leader="none"/>
                <w:tab w:pos="826" w:val="left" w:leader="none"/>
              </w:tabs>
              <w:spacing w:line="269" w:lineRule="exact" w:before="1" w:after="0"/>
              <w:ind w:left="825" w:right="0" w:hanging="361"/>
              <w:jc w:val="left"/>
              <w:rPr>
                <w:sz w:val="22"/>
              </w:rPr>
            </w:pPr>
            <w:r>
              <w:rPr>
                <w:sz w:val="22"/>
              </w:rPr>
              <w:t>In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“file”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menu,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choose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“export”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5" w:val="left" w:leader="none"/>
                <w:tab w:pos="826" w:val="left" w:leader="none"/>
              </w:tabs>
              <w:spacing w:line="266" w:lineRule="exact" w:before="0" w:after="0"/>
              <w:ind w:left="825" w:right="0" w:hanging="361"/>
              <w:jc w:val="left"/>
              <w:rPr>
                <w:sz w:val="22"/>
              </w:rPr>
            </w:pPr>
            <w:r>
              <w:rPr>
                <w:sz w:val="22"/>
              </w:rPr>
              <w:t>Choose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“create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PDF/XPS”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5" w:val="left" w:leader="none"/>
                <w:tab w:pos="826" w:val="left" w:leader="none"/>
              </w:tabs>
              <w:spacing w:line="266" w:lineRule="exact" w:before="0" w:after="0"/>
              <w:ind w:left="825" w:right="0" w:hanging="361"/>
              <w:jc w:val="left"/>
              <w:rPr>
                <w:sz w:val="22"/>
              </w:rPr>
            </w:pPr>
            <w:r>
              <w:rPr>
                <w:sz w:val="22"/>
              </w:rPr>
              <w:t>A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PDF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will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2"/>
                <w:sz w:val="22"/>
              </w:rPr>
              <w:t> generated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5" w:val="left" w:leader="none"/>
                <w:tab w:pos="826" w:val="left" w:leader="none"/>
              </w:tabs>
              <w:spacing w:line="254" w:lineRule="exact" w:before="0" w:after="0"/>
              <w:ind w:left="825" w:right="557" w:hanging="360"/>
              <w:jc w:val="left"/>
              <w:rPr>
                <w:sz w:val="22"/>
              </w:rPr>
            </w:pPr>
            <w:r>
              <w:rPr>
                <w:sz w:val="22"/>
              </w:rPr>
              <w:t>Follow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instructions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below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 password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protect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PDF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file</w:t>
            </w:r>
          </w:p>
        </w:tc>
      </w:tr>
      <w:tr>
        <w:trPr>
          <w:trHeight w:val="2111" w:hRule="atLeast"/>
        </w:trPr>
        <w:tc>
          <w:tcPr>
            <w:tcW w:w="3811" w:type="dxa"/>
          </w:tcPr>
          <w:p>
            <w:pPr>
              <w:pStyle w:val="TableParagraph"/>
              <w:spacing w:before="9"/>
              <w:rPr>
                <w:b/>
                <w:sz w:val="20"/>
              </w:rPr>
            </w:pP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PDF</w:t>
            </w:r>
          </w:p>
        </w:tc>
        <w:tc>
          <w:tcPr>
            <w:tcW w:w="4099" w:type="dxa"/>
          </w:tcPr>
          <w:p>
            <w:pPr>
              <w:pStyle w:val="TableParagraph"/>
              <w:numPr>
                <w:ilvl w:val="0"/>
                <w:numId w:val="3"/>
              </w:numPr>
              <w:tabs>
                <w:tab w:pos="825" w:val="left" w:leader="none"/>
                <w:tab w:pos="826" w:val="left" w:leader="none"/>
              </w:tabs>
              <w:spacing w:line="269" w:lineRule="exact" w:before="0" w:after="0"/>
              <w:ind w:left="825" w:right="0" w:hanging="361"/>
              <w:jc w:val="left"/>
              <w:rPr>
                <w:sz w:val="22"/>
              </w:rPr>
            </w:pPr>
            <w:r>
              <w:rPr>
                <w:sz w:val="22"/>
              </w:rPr>
              <w:t>Open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PDF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PDF24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5" w:val="left" w:leader="none"/>
                <w:tab w:pos="826" w:val="left" w:leader="none"/>
              </w:tabs>
              <w:spacing w:line="235" w:lineRule="auto" w:before="4" w:after="0"/>
              <w:ind w:left="825" w:right="813" w:hanging="360"/>
              <w:jc w:val="left"/>
              <w:rPr>
                <w:sz w:val="22"/>
              </w:rPr>
            </w:pPr>
            <w:r>
              <w:rPr>
                <w:sz w:val="22"/>
              </w:rPr>
              <w:t>Right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click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 choose “PDF24”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5" w:val="left" w:leader="none"/>
                <w:tab w:pos="826" w:val="left" w:leader="none"/>
              </w:tabs>
              <w:spacing w:line="269" w:lineRule="exact" w:before="2" w:after="0"/>
              <w:ind w:left="825" w:right="0" w:hanging="361"/>
              <w:jc w:val="left"/>
              <w:rPr>
                <w:sz w:val="22"/>
              </w:rPr>
            </w:pPr>
            <w:r>
              <w:rPr>
                <w:sz w:val="22"/>
              </w:rPr>
              <w:t>Choose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“Lock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PDF”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5" w:val="left" w:leader="none"/>
                <w:tab w:pos="826" w:val="left" w:leader="none"/>
              </w:tabs>
              <w:spacing w:line="269" w:lineRule="exact" w:before="0" w:after="0"/>
              <w:ind w:left="825" w:right="0" w:hanging="361"/>
              <w:jc w:val="left"/>
              <w:rPr>
                <w:sz w:val="22"/>
              </w:rPr>
            </w:pPr>
            <w:r>
              <w:rPr>
                <w:sz w:val="22"/>
              </w:rPr>
              <w:t>Enter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“password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open</w:t>
            </w:r>
            <w:r>
              <w:rPr>
                <w:spacing w:val="-4"/>
                <w:sz w:val="22"/>
              </w:rPr>
              <w:t> PDF”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5" w:val="left" w:leader="none"/>
                <w:tab w:pos="826" w:val="left" w:leader="none"/>
              </w:tabs>
              <w:spacing w:line="266" w:lineRule="exact" w:before="0" w:after="0"/>
              <w:ind w:left="825" w:right="0" w:hanging="361"/>
              <w:jc w:val="left"/>
              <w:rPr>
                <w:sz w:val="22"/>
              </w:rPr>
            </w:pPr>
            <w:r>
              <w:rPr>
                <w:sz w:val="22"/>
              </w:rPr>
              <w:t>Click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ok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5" w:val="left" w:leader="none"/>
                <w:tab w:pos="826" w:val="left" w:leader="none"/>
              </w:tabs>
              <w:spacing w:line="254" w:lineRule="exact" w:before="0" w:after="0"/>
              <w:ind w:left="825" w:right="189" w:hanging="360"/>
              <w:jc w:val="left"/>
              <w:rPr>
                <w:sz w:val="22"/>
              </w:rPr>
            </w:pPr>
            <w:r>
              <w:rPr>
                <w:sz w:val="22"/>
              </w:rPr>
              <w:t>The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password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protected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file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will save as a new version</w:t>
            </w:r>
          </w:p>
        </w:tc>
      </w:tr>
      <w:tr>
        <w:trPr>
          <w:trHeight w:val="2620" w:hRule="atLeast"/>
        </w:trPr>
        <w:tc>
          <w:tcPr>
            <w:tcW w:w="3811" w:type="dxa"/>
          </w:tcPr>
          <w:p>
            <w:pPr>
              <w:pStyle w:val="TableParagraph"/>
              <w:spacing w:before="9"/>
              <w:rPr>
                <w:b/>
                <w:sz w:val="20"/>
              </w:rPr>
            </w:pP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Excel</w:t>
            </w:r>
          </w:p>
        </w:tc>
        <w:tc>
          <w:tcPr>
            <w:tcW w:w="4099" w:type="dxa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825" w:val="left" w:leader="none"/>
                <w:tab w:pos="826" w:val="left" w:leader="none"/>
              </w:tabs>
              <w:spacing w:line="269" w:lineRule="exact" w:before="0" w:after="0"/>
              <w:ind w:left="825" w:right="0" w:hanging="361"/>
              <w:jc w:val="left"/>
              <w:rPr>
                <w:sz w:val="22"/>
              </w:rPr>
            </w:pPr>
            <w:r>
              <w:rPr>
                <w:sz w:val="22"/>
              </w:rPr>
              <w:t>In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“File”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menu,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choose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“Info”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5" w:val="left" w:leader="none"/>
                <w:tab w:pos="826" w:val="left" w:leader="none"/>
              </w:tabs>
              <w:spacing w:line="240" w:lineRule="auto" w:before="0" w:after="0"/>
              <w:ind w:left="825" w:right="235" w:hanging="360"/>
              <w:jc w:val="left"/>
              <w:rPr>
                <w:sz w:val="22"/>
              </w:rPr>
            </w:pPr>
            <w:r>
              <w:rPr>
                <w:sz w:val="22"/>
              </w:rPr>
              <w:t>Choose “Protect Workbook,” then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“Encrypt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password”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5" w:val="left" w:leader="none"/>
                <w:tab w:pos="826" w:val="left" w:leader="none"/>
              </w:tabs>
              <w:spacing w:line="240" w:lineRule="auto" w:before="0" w:after="0"/>
              <w:ind w:left="825" w:right="348" w:hanging="360"/>
              <w:jc w:val="left"/>
              <w:rPr>
                <w:sz w:val="22"/>
              </w:rPr>
            </w:pPr>
            <w:r>
              <w:rPr>
                <w:sz w:val="22"/>
              </w:rPr>
              <w:t>Enter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password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choose </w:t>
            </w:r>
            <w:r>
              <w:rPr>
                <w:spacing w:val="-4"/>
                <w:sz w:val="22"/>
              </w:rPr>
              <w:t>“ok”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5" w:val="left" w:leader="none"/>
                <w:tab w:pos="826" w:val="left" w:leader="none"/>
              </w:tabs>
              <w:spacing w:line="269" w:lineRule="exact" w:before="0" w:after="0"/>
              <w:ind w:left="825" w:right="0" w:hanging="361"/>
              <w:jc w:val="left"/>
              <w:rPr>
                <w:sz w:val="22"/>
              </w:rPr>
            </w:pPr>
            <w:r>
              <w:rPr>
                <w:sz w:val="22"/>
              </w:rPr>
              <w:t>Enter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same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password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5" w:val="left" w:leader="none"/>
                <w:tab w:pos="826" w:val="left" w:leader="none"/>
              </w:tabs>
              <w:spacing w:line="237" w:lineRule="auto" w:before="0" w:after="0"/>
              <w:ind w:left="825" w:right="309" w:hanging="360"/>
              <w:jc w:val="left"/>
              <w:rPr>
                <w:sz w:val="22"/>
              </w:rPr>
            </w:pPr>
            <w:r>
              <w:rPr>
                <w:sz w:val="22"/>
              </w:rPr>
              <w:t>Do not lose the password – there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no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way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retrieve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or open the file without it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5" w:val="left" w:leader="none"/>
                <w:tab w:pos="826" w:val="left" w:leader="none"/>
              </w:tabs>
              <w:spacing w:line="249" w:lineRule="exact" w:before="1" w:after="0"/>
              <w:ind w:left="825" w:right="0" w:hanging="361"/>
              <w:jc w:val="left"/>
              <w:rPr>
                <w:sz w:val="22"/>
              </w:rPr>
            </w:pPr>
            <w:r>
              <w:rPr>
                <w:sz w:val="22"/>
              </w:rPr>
              <w:t>Save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file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6"/>
        <w:rPr>
          <w:b/>
          <w:sz w:val="14"/>
        </w:rPr>
      </w:pPr>
      <w:r>
        <w:rPr/>
        <w:pict>
          <v:rect style="position:absolute;margin-left:66pt;margin-top:9.588565pt;width:475.44pt;height:.24pt;mso-position-horizontal-relative:page;mso-position-vertical-relative:paragraph;z-index:-15727616;mso-wrap-distance-left:0;mso-wrap-distance-right:0" id="docshape8" filled="true" fillcolor="#000000" stroked="false">
            <v:fill type="solid"/>
            <w10:wrap type="topAndBottom"/>
          </v:rect>
        </w:pict>
      </w:r>
    </w:p>
    <w:p>
      <w:pPr>
        <w:spacing w:line="183" w:lineRule="exact" w:before="18"/>
        <w:ind w:left="468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5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5</w:t>
      </w:r>
    </w:p>
    <w:p>
      <w:pPr>
        <w:spacing w:line="244" w:lineRule="auto" w:before="0"/>
        <w:ind w:left="368" w:right="566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2020,</w:t>
      </w:r>
      <w:r>
        <w:rPr>
          <w:spacing w:val="-2"/>
          <w:sz w:val="16"/>
        </w:rPr>
        <w:t> </w:t>
      </w:r>
      <w:r>
        <w:rPr>
          <w:sz w:val="16"/>
        </w:rPr>
        <w:t>2023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</w:t>
      </w:r>
      <w:r>
        <w:rPr>
          <w:spacing w:val="-2"/>
          <w:sz w:val="16"/>
        </w:rPr>
        <w:t> </w:t>
      </w:r>
      <w:r>
        <w:rPr>
          <w:sz w:val="16"/>
        </w:rPr>
        <w:t>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9"/>
          <w:footerReference w:type="default" r:id="rId10"/>
          <w:pgSz w:w="12240" w:h="15840"/>
          <w:pgMar w:header="725" w:footer="268" w:top="2520" w:bottom="460" w:left="980" w:right="960"/>
        </w:sectPr>
      </w:pPr>
    </w:p>
    <w:p>
      <w:pPr>
        <w:spacing w:line="321" w:lineRule="exact" w:before="79"/>
        <w:ind w:left="528" w:right="518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7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528" w:right="54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528" w:right="54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10" w:right="54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660" w:right="647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Prior,</w:t>
      </w:r>
      <w:r>
        <w:rPr>
          <w:spacing w:val="-10"/>
          <w:sz w:val="20"/>
        </w:rPr>
        <w:t> </w:t>
      </w:r>
      <w:r>
        <w:rPr>
          <w:sz w:val="20"/>
        </w:rPr>
        <w:t>Lewis</w:t>
      </w:r>
      <w:r>
        <w:rPr>
          <w:spacing w:val="36"/>
          <w:sz w:val="20"/>
        </w:rPr>
        <w:t> </w:t>
      </w:r>
      <w:r>
        <w:rPr>
          <w:sz w:val="20"/>
        </w:rPr>
        <w:t>(lprior)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660" w:right="35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01</w:t>
      </w:r>
      <w:r>
        <w:rPr>
          <w:spacing w:val="-5"/>
          <w:sz w:val="20"/>
        </w:rPr>
        <w:t> </w:t>
      </w:r>
      <w:r>
        <w:rPr>
          <w:sz w:val="20"/>
        </w:rPr>
        <w:t>February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06:03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660" w:right="5843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Tingley,</w:t>
      </w:r>
      <w:r>
        <w:rPr>
          <w:spacing w:val="-10"/>
          <w:sz w:val="20"/>
        </w:rPr>
        <w:t> </w:t>
      </w:r>
      <w:r>
        <w:rPr>
          <w:sz w:val="20"/>
        </w:rPr>
        <w:t>Kerry</w:t>
      </w:r>
      <w:r>
        <w:rPr>
          <w:spacing w:val="37"/>
          <w:sz w:val="20"/>
        </w:rPr>
        <w:t> </w:t>
      </w:r>
      <w:r>
        <w:rPr>
          <w:sz w:val="20"/>
        </w:rPr>
        <w:t>(u1126849)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660" w:right="35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02</w:t>
      </w:r>
      <w:r>
        <w:rPr>
          <w:spacing w:val="-5"/>
          <w:sz w:val="20"/>
        </w:rPr>
        <w:t> </w:t>
      </w:r>
      <w:r>
        <w:rPr>
          <w:sz w:val="20"/>
        </w:rPr>
        <w:t>February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07:50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1"/>
      <w:footerReference w:type="default" r:id="rId12"/>
      <w:pgSz w:w="12240" w:h="15840"/>
      <w:pgMar w:header="0" w:footer="268" w:top="1360" w:bottom="460" w:left="980" w:right="9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34.159973pt;width:470.88pt;height:.48pt;mso-position-horizontal-relative:page;mso-position-vertical-relative:page;z-index:-16025088" id="docshape1" filled="true" fillcolor="#000000" stroked="false">
          <v:fill type="solid"/>
          <w10:wrap type="none"/>
        </v:rect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71pt;margin-top:734.870239pt;width:468.25pt;height:49.15pt;mso-position-horizontal-relative:page;mso-position-vertical-relative:page;z-index:-16024576" type="#_x0000_t202" id="docshape2" filled="false" stroked="false">
          <v:textbox inset="0,0,0,0">
            <w:txbxContent>
              <w:p>
                <w:pPr>
                  <w:spacing w:line="183" w:lineRule="exact" w:before="13"/>
                  <w:ind w:left="4292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5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2020,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2023</w:t>
                </w:r>
                <w:r>
                  <w:rPr>
                    <w:spacing w:val="-6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Holdings Inc. and its subsidiaries. Unauthorized use, disclosure or reproduction is strictly prohibited.</w:t>
                </w:r>
              </w:p>
              <w:p>
                <w:pPr>
                  <w:spacing w:before="105"/>
                  <w:ind w:left="661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CRO_WI_CTS0013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01-Mar-2023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66pt;margin-top:734.400024pt;width:475.44pt;height:.24pt;mso-position-horizontal-relative:page;mso-position-vertical-relative:page;z-index:-16023552" id="docshape4" filled="true" fillcolor="#000000" stroked="false">
          <v:fill type="solid"/>
          <w10:wrap type="none"/>
        </v:rect>
      </w:pict>
    </w:r>
    <w:r>
      <w:rPr/>
      <w:pict>
        <v:shape style="position:absolute;margin-left:66.440002pt;margin-top:734.870239pt;width:468.25pt;height:49.15pt;mso-position-horizontal-relative:page;mso-position-vertical-relative:page;z-index:-16023040" type="#_x0000_t202" id="docshape5" filled="false" stroked="false">
          <v:textbox inset="0,0,0,0">
            <w:txbxContent>
              <w:p>
                <w:pPr>
                  <w:spacing w:line="183" w:lineRule="exact" w:before="13"/>
                  <w:ind w:left="4335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2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5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2020,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2023</w:t>
                </w:r>
                <w:r>
                  <w:rPr>
                    <w:spacing w:val="-6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Holdings Inc. and its subsidiaries. Unauthorized use, disclosure or reproduction is strictly prohibited.</w:t>
                </w:r>
              </w:p>
              <w:p>
                <w:pPr>
                  <w:spacing w:before="105"/>
                  <w:ind w:left="753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CRO_WI_CTS0013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01-Mar-2023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03.093987pt;margin-top:767.575989pt;width:405.85pt;height:16.45pt;mso-position-horizontal-relative:page;mso-position-vertical-relative:page;z-index:-16022016" type="#_x0000_t202" id="docshape7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CRO_WI_CTS0013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01-Mar-2023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03.093987pt;margin-top:767.575989pt;width:405.85pt;height:16.45pt;mso-position-horizontal-relative:page;mso-position-vertical-relative:page;z-index:-16021504" type="#_x0000_t202" id="docshape9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CRO_WI_CTS0013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2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01-Mar-2023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6.360001pt;margin-top:36pt;width:479.3pt;height:90.45pt;mso-position-horizontal-relative:page;mso-position-vertical-relative:page;z-index:15728640" type="#_x0000_t202" id="docshape3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4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8"/>
                        <w:rPr>
                          <w:sz w:val="23"/>
                        </w:rPr>
                      </w:pPr>
                    </w:p>
                    <w:p>
                      <w:pPr>
                        <w:pStyle w:val="TableParagraph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1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Accidental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Unblinding</w:t>
                      </w:r>
                    </w:p>
                  </w:tc>
                </w:tr>
                <w:tr>
                  <w:trPr>
                    <w:trHeight w:val="825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2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7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CRO_WI_CTS0013</w:t>
                      </w:r>
                      <w:r>
                        <w:rPr>
                          <w:spacing w:val="-12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2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292416">
          <wp:simplePos x="0" y="0"/>
          <wp:positionH relativeFrom="page">
            <wp:posOffset>1262491</wp:posOffset>
          </wp:positionH>
          <wp:positionV relativeFrom="page">
            <wp:posOffset>909163</wp:posOffset>
          </wp:positionV>
          <wp:extent cx="2001261" cy="365291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6.360001pt;margin-top:36pt;width:479.3pt;height:90.45pt;mso-position-horizontal-relative:page;mso-position-vertical-relative:page;z-index:15729152" type="#_x0000_t202" id="docshape6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4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8"/>
                        <w:rPr>
                          <w:b/>
                          <w:sz w:val="23"/>
                        </w:rPr>
                      </w:pPr>
                    </w:p>
                    <w:p>
                      <w:pPr>
                        <w:pStyle w:val="TableParagraph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1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Accidental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Unblinding</w:t>
                      </w:r>
                    </w:p>
                  </w:tc>
                </w:tr>
                <w:tr>
                  <w:trPr>
                    <w:trHeight w:val="825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2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7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CRO_WI_CTS0013</w:t>
                      </w:r>
                      <w:r>
                        <w:rPr>
                          <w:spacing w:val="-12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2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293952">
          <wp:simplePos x="0" y="0"/>
          <wp:positionH relativeFrom="page">
            <wp:posOffset>1262491</wp:posOffset>
          </wp:positionH>
          <wp:positionV relativeFrom="page">
            <wp:posOffset>909163</wp:posOffset>
          </wp:positionV>
          <wp:extent cx="2001261" cy="365291"/>
          <wp:effectExtent l="0" t="0" r="0" b="0"/>
          <wp:wrapNone/>
          <wp:docPr id="5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0"/>
      <w:numFmt w:val="bullet"/>
      <w:lvlText w:val=""/>
      <w:lvlJc w:val="left"/>
      <w:pPr>
        <w:ind w:left="82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4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7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12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5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78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0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435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82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4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7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12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5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78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0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435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82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4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7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12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5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78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0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435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1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0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33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66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00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33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66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00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33" w:hanging="720"/>
      </w:pPr>
      <w:rPr>
        <w:rFonts w:hint="default"/>
        <w:lang w:val="en-US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18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900" w:hanging="720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18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eader" Target="header2.xml"/><Relationship Id="rId10" Type="http://schemas.openxmlformats.org/officeDocument/2006/relationships/footer" Target="footer3.xml"/><Relationship Id="rId11" Type="http://schemas.openxmlformats.org/officeDocument/2006/relationships/header" Target="header3.xml"/><Relationship Id="rId12" Type="http://schemas.openxmlformats.org/officeDocument/2006/relationships/footer" Target="footer4.xml"/><Relationship Id="rId13" Type="http://schemas.openxmlformats.org/officeDocument/2006/relationships/image" Target="media/image2.png"/><Relationship Id="rId14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2023-04-11T14:51:12Z</dcterms:created>
  <dcterms:modified xsi:type="dcterms:W3CDTF">2023-04-11T14:51:12Z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2023-01-30T00:00:00Z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(6.5.1.103725) OS (Windows 2012,2,0,64)</vt:lpwstr>
  </property>
</Properties>
</file>