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4"/>
              <w:ind w:left="0"/>
              <w:rPr>
                <w:rFonts w:ascii="Times New Roman"/>
                <w:sz w:val="25"/>
              </w:rPr>
            </w:pPr>
          </w:p>
          <w:p>
            <w:pPr>
              <w:pStyle w:val="TableParagraph"/>
              <w:spacing w:line="319" w:lineRule="auto" w:before="0"/>
              <w:ind w:left="995" w:right="455" w:firstLine="264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Work Instruction Review</w:t>
            </w:r>
            <w:r>
              <w:rPr>
                <w:b/>
                <w:spacing w:val="-1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of</w:t>
            </w:r>
            <w:r>
              <w:rPr>
                <w:b/>
                <w:spacing w:val="-1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Laboratory</w:t>
            </w:r>
            <w:r>
              <w:rPr>
                <w:b/>
                <w:spacing w:val="-1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Reports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CS_WI_MS001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12</w:t>
            </w:r>
          </w:p>
        </w:tc>
      </w:tr>
      <w:tr>
        <w:trPr>
          <w:trHeight w:val="541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line="210" w:lineRule="exact" w:before="44"/>
              <w:ind w:left="107"/>
              <w:rPr>
                <w:sz w:val="20"/>
              </w:rPr>
            </w:pPr>
            <w:r>
              <w:rPr>
                <w:sz w:val="20"/>
              </w:rPr>
              <w:t>Antonio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Ferrari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10" w:lineRule="exact" w:before="44"/>
              <w:ind w:left="121"/>
              <w:rPr>
                <w:sz w:val="20"/>
              </w:rPr>
            </w:pPr>
            <w:r>
              <w:rPr>
                <w:sz w:val="20"/>
              </w:rPr>
              <w:t>Emiliano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Calatayud,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Savitha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Rodrigues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spacing w:before="121"/>
        <w:ind w:left="1260" w:right="437" w:firstLine="0"/>
        <w:jc w:val="left"/>
        <w:rPr>
          <w:sz w:val="22"/>
        </w:rPr>
      </w:pP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purpose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this</w:t>
      </w:r>
      <w:r>
        <w:rPr>
          <w:spacing w:val="-3"/>
          <w:sz w:val="22"/>
        </w:rPr>
        <w:t> </w:t>
      </w:r>
      <w:r>
        <w:rPr>
          <w:sz w:val="22"/>
        </w:rPr>
        <w:t>SOP</w:t>
      </w:r>
      <w:r>
        <w:rPr>
          <w:spacing w:val="-3"/>
          <w:sz w:val="22"/>
        </w:rPr>
        <w:t> </w:t>
      </w:r>
      <w:r>
        <w:rPr>
          <w:sz w:val="22"/>
        </w:rPr>
        <w:t>is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describe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procedures</w:t>
      </w:r>
      <w:r>
        <w:rPr>
          <w:spacing w:val="-3"/>
          <w:sz w:val="22"/>
        </w:rPr>
        <w:t> </w:t>
      </w:r>
      <w:r>
        <w:rPr>
          <w:sz w:val="22"/>
        </w:rPr>
        <w:t>that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IQVIA</w:t>
      </w:r>
      <w:r>
        <w:rPr>
          <w:spacing w:val="-3"/>
          <w:sz w:val="22"/>
        </w:rPr>
        <w:t> </w:t>
      </w:r>
      <w:r>
        <w:rPr>
          <w:sz w:val="22"/>
        </w:rPr>
        <w:t>Medical </w:t>
      </w:r>
      <w:bookmarkStart w:name="SCOPE" w:id="2"/>
      <w:bookmarkEnd w:id="2"/>
      <w:r>
        <w:rPr>
          <w:sz w:val="22"/>
        </w:rPr>
        <w:t>Surveillanc</w:t>
      </w:r>
      <w:r>
        <w:rPr>
          <w:sz w:val="22"/>
        </w:rPr>
        <w:t>e Specialist (MSS) must use when reviewing laboratory reports.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r>
        <w:rPr>
          <w:spacing w:val="-2"/>
        </w:rPr>
        <w:t>SCOPE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995" w:hanging="720"/>
        <w:jc w:val="left"/>
        <w:rPr>
          <w:sz w:val="22"/>
        </w:rPr>
      </w:pPr>
      <w:r>
        <w:rPr>
          <w:sz w:val="22"/>
        </w:rPr>
        <w:t>This work instruction (WI) applies globally to IQVIA Clinical Research Organization MSS staff if the medical review of laboratory reports has been contracted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IQVIA</w:t>
      </w:r>
      <w:r>
        <w:rPr>
          <w:spacing w:val="-3"/>
          <w:sz w:val="22"/>
        </w:rPr>
        <w:t> </w:t>
      </w:r>
      <w:r>
        <w:rPr>
          <w:sz w:val="22"/>
        </w:rPr>
        <w:t>medical</w:t>
      </w:r>
      <w:r>
        <w:rPr>
          <w:spacing w:val="-5"/>
          <w:sz w:val="22"/>
        </w:rPr>
        <w:t> </w:t>
      </w:r>
      <w:r>
        <w:rPr>
          <w:sz w:val="22"/>
        </w:rPr>
        <w:t>monitoring</w:t>
      </w:r>
      <w:r>
        <w:rPr>
          <w:spacing w:val="-5"/>
          <w:sz w:val="22"/>
        </w:rPr>
        <w:t> </w:t>
      </w:r>
      <w:r>
        <w:rPr>
          <w:sz w:val="22"/>
        </w:rPr>
        <w:t>during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course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clinical</w:t>
      </w:r>
      <w:r>
        <w:rPr>
          <w:spacing w:val="-4"/>
          <w:sz w:val="22"/>
        </w:rPr>
        <w:t> </w:t>
      </w:r>
      <w:r>
        <w:rPr>
          <w:sz w:val="22"/>
        </w:rPr>
        <w:t>trial. Refer also to CS_WI_MS0220 Performing Medical Data Reviews.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spacing w:before="126"/>
        <w:ind w:left="1260" w:right="0" w:firstLine="0"/>
        <w:jc w:val="left"/>
        <w:rPr>
          <w:sz w:val="22"/>
        </w:rPr>
      </w:pPr>
      <w:r>
        <w:rPr>
          <w:sz w:val="22"/>
        </w:rPr>
        <w:t>The</w:t>
      </w:r>
      <w:r>
        <w:rPr>
          <w:spacing w:val="-7"/>
          <w:sz w:val="22"/>
        </w:rPr>
        <w:t> </w:t>
      </w:r>
      <w:r>
        <w:rPr>
          <w:sz w:val="22"/>
        </w:rPr>
        <w:t>following</w:t>
      </w:r>
      <w:r>
        <w:rPr>
          <w:spacing w:val="-6"/>
          <w:sz w:val="22"/>
        </w:rPr>
        <w:t> </w:t>
      </w:r>
      <w:r>
        <w:rPr>
          <w:sz w:val="22"/>
        </w:rPr>
        <w:t>roles</w:t>
      </w:r>
      <w:r>
        <w:rPr>
          <w:spacing w:val="-6"/>
          <w:sz w:val="22"/>
        </w:rPr>
        <w:t> </w:t>
      </w:r>
      <w:r>
        <w:rPr>
          <w:sz w:val="22"/>
        </w:rPr>
        <w:t>perform</w:t>
      </w:r>
      <w:r>
        <w:rPr>
          <w:spacing w:val="-6"/>
          <w:sz w:val="22"/>
        </w:rPr>
        <w:t> </w:t>
      </w:r>
      <w:r>
        <w:rPr>
          <w:sz w:val="22"/>
        </w:rPr>
        <w:t>tasks</w:t>
      </w:r>
      <w:r>
        <w:rPr>
          <w:spacing w:val="-6"/>
          <w:sz w:val="22"/>
        </w:rPr>
        <w:t> </w:t>
      </w:r>
      <w:r>
        <w:rPr>
          <w:sz w:val="22"/>
        </w:rPr>
        <w:t>described</w:t>
      </w:r>
      <w:r>
        <w:rPr>
          <w:spacing w:val="-6"/>
          <w:sz w:val="22"/>
        </w:rPr>
        <w:t> </w:t>
      </w:r>
      <w:r>
        <w:rPr>
          <w:sz w:val="22"/>
        </w:rPr>
        <w:t>within</w:t>
      </w:r>
      <w:r>
        <w:rPr>
          <w:spacing w:val="-6"/>
          <w:sz w:val="22"/>
        </w:rPr>
        <w:t> </w:t>
      </w:r>
      <w:r>
        <w:rPr>
          <w:sz w:val="22"/>
        </w:rPr>
        <w:t>this</w:t>
      </w:r>
      <w:r>
        <w:rPr>
          <w:spacing w:val="-14"/>
          <w:sz w:val="22"/>
        </w:rPr>
        <w:t> </w:t>
      </w:r>
      <w:r>
        <w:rPr>
          <w:spacing w:val="-5"/>
          <w:sz w:val="22"/>
        </w:rPr>
        <w:t>WI:</w:t>
      </w:r>
    </w:p>
    <w:p>
      <w:pPr>
        <w:pStyle w:val="BodyText"/>
        <w:spacing w:before="7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62"/>
        <w:gridCol w:w="4047"/>
      </w:tblGrid>
      <w:tr>
        <w:trPr>
          <w:trHeight w:val="330" w:hRule="atLeast"/>
        </w:trPr>
        <w:tc>
          <w:tcPr>
            <w:tcW w:w="4762" w:type="dxa"/>
            <w:shd w:val="clear" w:color="auto" w:fill="BFBFBF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4047" w:type="dxa"/>
            <w:shd w:val="clear" w:color="auto" w:fill="BFBFBF"/>
          </w:tcPr>
          <w:p>
            <w:pPr>
              <w:pStyle w:val="TableParagraph"/>
              <w:spacing w:before="33"/>
              <w:ind w:left="11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5" w:hRule="atLeast"/>
        </w:trPr>
        <w:tc>
          <w:tcPr>
            <w:tcW w:w="4762" w:type="dxa"/>
          </w:tcPr>
          <w:p>
            <w:pPr>
              <w:pStyle w:val="TableParagraph"/>
              <w:ind w:left="115"/>
              <w:rPr>
                <w:sz w:val="22"/>
              </w:rPr>
            </w:pPr>
            <w:r>
              <w:rPr>
                <w:sz w:val="22"/>
              </w:rPr>
              <w:t>Lead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Surveillance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Specialist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(LMSS)</w:t>
            </w:r>
          </w:p>
        </w:tc>
        <w:tc>
          <w:tcPr>
            <w:tcW w:w="4047" w:type="dxa"/>
          </w:tcPr>
          <w:p>
            <w:pPr>
              <w:pStyle w:val="TableParagraph"/>
              <w:ind w:left="114"/>
              <w:rPr>
                <w:sz w:val="22"/>
              </w:rPr>
            </w:pPr>
            <w:r>
              <w:rPr>
                <w:spacing w:val="-2"/>
                <w:sz w:val="22"/>
              </w:rPr>
              <w:t>6.1,6.5</w:t>
            </w:r>
          </w:p>
        </w:tc>
      </w:tr>
      <w:tr>
        <w:trPr>
          <w:trHeight w:val="330" w:hRule="atLeast"/>
        </w:trPr>
        <w:tc>
          <w:tcPr>
            <w:tcW w:w="4762" w:type="dxa"/>
          </w:tcPr>
          <w:p>
            <w:pPr>
              <w:pStyle w:val="TableParagraph"/>
              <w:ind w:left="115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Surveillance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Specialist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(MSS)</w:t>
            </w:r>
          </w:p>
        </w:tc>
        <w:tc>
          <w:tcPr>
            <w:tcW w:w="4047" w:type="dxa"/>
          </w:tcPr>
          <w:p>
            <w:pPr>
              <w:pStyle w:val="TableParagraph"/>
              <w:ind w:left="114"/>
              <w:rPr>
                <w:sz w:val="22"/>
              </w:rPr>
            </w:pP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</w:tr>
      <w:tr>
        <w:trPr>
          <w:trHeight w:val="335" w:hRule="atLeast"/>
        </w:trPr>
        <w:tc>
          <w:tcPr>
            <w:tcW w:w="4762" w:type="dxa"/>
          </w:tcPr>
          <w:p>
            <w:pPr>
              <w:pStyle w:val="TableParagraph"/>
              <w:ind w:left="115"/>
              <w:rPr>
                <w:sz w:val="22"/>
              </w:rPr>
            </w:pPr>
            <w:r>
              <w:rPr>
                <w:sz w:val="22"/>
              </w:rPr>
              <w:t>Therapeutic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Advisor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(TMA)</w:t>
            </w:r>
          </w:p>
        </w:tc>
        <w:tc>
          <w:tcPr>
            <w:tcW w:w="4047" w:type="dxa"/>
          </w:tcPr>
          <w:p>
            <w:pPr>
              <w:pStyle w:val="TableParagraph"/>
              <w:ind w:left="114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</w:tbl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spacing w:before="122"/>
        <w:ind w:left="1260" w:right="0" w:firstLine="0"/>
        <w:jc w:val="left"/>
        <w:rPr>
          <w:sz w:val="22"/>
        </w:rPr>
      </w:pPr>
      <w:bookmarkStart w:name="MATERIAL AND EQUIPMENT" w:id="5"/>
      <w:bookmarkEnd w:id="5"/>
      <w:r>
        <w:rPr/>
      </w:r>
      <w:r>
        <w:rPr>
          <w:sz w:val="22"/>
        </w:rPr>
        <w:t>Not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Applicable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r>
        <w:rPr/>
        <w:t>MATERIAL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spacing w:before="127"/>
        <w:ind w:left="1260" w:right="0" w:firstLine="0"/>
        <w:jc w:val="left"/>
        <w:rPr>
          <w:sz w:val="22"/>
        </w:rPr>
      </w:pPr>
      <w:r>
        <w:rPr>
          <w:sz w:val="22"/>
        </w:rPr>
        <w:t>Not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Applicable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PROCEDURE" w:id="6"/>
      <w:bookmarkEnd w:id="6"/>
      <w:r>
        <w:rPr>
          <w:spacing w:val="-2"/>
        </w:rPr>
        <w:t>PROCEDURE</w:t>
      </w:r>
    </w:p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Perform set-up activities for the Medica" w:id="7"/>
      <w:bookmarkEnd w:id="7"/>
      <w:r>
        <w:rPr>
          <w:b/>
          <w:sz w:val="22"/>
        </w:rPr>
        <w:t>Perfor</w:t>
      </w:r>
      <w:r>
        <w:rPr>
          <w:b/>
          <w:sz w:val="22"/>
        </w:rPr>
        <w:t>m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set-up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activities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Medical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pacing w:val="-4"/>
          <w:sz w:val="22"/>
        </w:rPr>
        <w:t>Labs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267"/>
        <w:gridCol w:w="6158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267" w:type="dxa"/>
            <w:shd w:val="clear" w:color="auto" w:fill="BFBFBF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58" w:type="dxa"/>
            <w:shd w:val="clear" w:color="auto" w:fill="BFBFBF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267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158" w:type="dxa"/>
          </w:tcPr>
          <w:p>
            <w:pPr>
              <w:pStyle w:val="TableParagraph"/>
              <w:ind w:left="115" w:right="69"/>
              <w:rPr>
                <w:sz w:val="20"/>
              </w:rPr>
            </w:pPr>
            <w:r>
              <w:rPr>
                <w:sz w:val="20"/>
              </w:rPr>
              <w:t>Communicates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timelines,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scope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work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expectations to LMSS</w:t>
            </w:r>
          </w:p>
        </w:tc>
        <w:tc>
          <w:tcPr>
            <w:tcW w:w="1843" w:type="dxa"/>
          </w:tcPr>
          <w:p>
            <w:pPr>
              <w:pStyle w:val="TableParagraph"/>
              <w:ind w:right="284"/>
              <w:rPr>
                <w:sz w:val="20"/>
              </w:rPr>
            </w:pPr>
            <w:r>
              <w:rPr>
                <w:sz w:val="20"/>
              </w:rPr>
              <w:t>During Medical Kick-off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meeting</w:t>
            </w:r>
          </w:p>
        </w:tc>
      </w:tr>
      <w:tr>
        <w:trPr>
          <w:trHeight w:val="58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267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LMSS</w:t>
            </w:r>
          </w:p>
        </w:tc>
        <w:tc>
          <w:tcPr>
            <w:tcW w:w="6158" w:type="dxa"/>
          </w:tcPr>
          <w:p>
            <w:pPr>
              <w:pStyle w:val="TableParagraph"/>
              <w:spacing w:line="244" w:lineRule="auto"/>
              <w:ind w:left="115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discusses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tools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 used for medical review of Labs.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  <w:tr>
        <w:trPr>
          <w:trHeight w:val="1233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267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LMSS</w:t>
            </w:r>
          </w:p>
        </w:tc>
        <w:tc>
          <w:tcPr>
            <w:tcW w:w="6158" w:type="dxa"/>
          </w:tcPr>
          <w:p>
            <w:pPr>
              <w:pStyle w:val="TableParagraph"/>
              <w:ind w:left="115" w:right="69"/>
              <w:rPr>
                <w:sz w:val="20"/>
              </w:rPr>
            </w:pPr>
            <w:r>
              <w:rPr>
                <w:sz w:val="20"/>
              </w:rPr>
              <w:t>Develops the Laboratory Report Review Guidelines (hereafter “guidelines document” included in the CS_TP_MS003 Medical Monitoring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guidelines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lab manuals under the supervision of IQVIA TMA and/or the Sponsor Medical Advisor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</w:tbl>
    <w:p>
      <w:pPr>
        <w:spacing w:after="0"/>
        <w:rPr>
          <w:sz w:val="20"/>
        </w:rPr>
        <w:sectPr>
          <w:footerReference w:type="default" r:id="rId5"/>
          <w:type w:val="continuous"/>
          <w:pgSz w:w="12240" w:h="15840"/>
          <w:pgMar w:footer="1067" w:header="0" w:top="700" w:bottom="1260" w:left="900" w:right="960"/>
          <w:pgNumType w:start="1"/>
        </w:sectPr>
      </w:pPr>
    </w:p>
    <w:p>
      <w:pPr>
        <w:pStyle w:val="BodyText"/>
        <w:spacing w:before="6"/>
        <w:rPr>
          <w:b/>
          <w:sz w:val="22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267"/>
        <w:gridCol w:w="6158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267" w:type="dxa"/>
            <w:shd w:val="clear" w:color="auto" w:fill="BFBFBF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58" w:type="dxa"/>
            <w:shd w:val="clear" w:color="auto" w:fill="BFBFBF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34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26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158" w:type="dxa"/>
          </w:tcPr>
          <w:p>
            <w:pPr>
              <w:pStyle w:val="TableParagraph"/>
              <w:spacing w:before="0"/>
              <w:ind w:left="115" w:right="229"/>
              <w:jc w:val="both"/>
              <w:rPr>
                <w:sz w:val="20"/>
              </w:rPr>
            </w:pPr>
            <w:r>
              <w:rPr>
                <w:sz w:val="20"/>
              </w:rPr>
              <w:t>Note: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For stand-alone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studies, the Appendix B 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CS_TP_MS003 alone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would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generate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Surveillance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Laboratory Report Guidelines.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267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(and/or Sponsor medical personnel)</w:t>
            </w:r>
          </w:p>
        </w:tc>
        <w:tc>
          <w:tcPr>
            <w:tcW w:w="6158" w:type="dxa"/>
          </w:tcPr>
          <w:p>
            <w:pPr>
              <w:pStyle w:val="TableParagraph"/>
              <w:ind w:left="115"/>
              <w:rPr>
                <w:sz w:val="20"/>
              </w:rPr>
            </w:pPr>
            <w:r>
              <w:rPr>
                <w:sz w:val="20"/>
              </w:rPr>
              <w:t>May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guidelines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reflect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closer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 and/or in the event of an approved change in the scope of work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During study execution;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and,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if </w:t>
            </w:r>
            <w:r>
              <w:rPr>
                <w:spacing w:val="-2"/>
                <w:sz w:val="20"/>
              </w:rPr>
              <w:t>necessary</w:t>
            </w:r>
          </w:p>
        </w:tc>
      </w:tr>
      <w:tr>
        <w:trPr>
          <w:trHeight w:val="172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267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LMSS</w:t>
            </w:r>
          </w:p>
        </w:tc>
        <w:tc>
          <w:tcPr>
            <w:tcW w:w="6158" w:type="dxa"/>
          </w:tcPr>
          <w:p>
            <w:pPr>
              <w:pStyle w:val="TableParagraph"/>
              <w:ind w:left="115"/>
              <w:rPr>
                <w:sz w:val="20"/>
              </w:rPr>
            </w:pPr>
            <w:r>
              <w:rPr>
                <w:sz w:val="20"/>
              </w:rPr>
              <w:t>For Central Labs, schedules meeting with the Lab vendor PM to have the alerts defined in the Guidance document programmed in 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Central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Vendor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Portal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applicable),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availability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lab alerts and lab reports for medical review of Labs.</w:t>
            </w:r>
          </w:p>
          <w:p>
            <w:pPr>
              <w:pStyle w:val="TableParagraph"/>
              <w:spacing w:before="40"/>
              <w:ind w:left="115"/>
              <w:rPr>
                <w:sz w:val="20"/>
              </w:rPr>
            </w:pPr>
            <w:r>
              <w:rPr>
                <w:sz w:val="20"/>
              </w:rPr>
              <w:t>For Local Labs, schedules meeting with DTL and Statistical programmer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discuss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Lab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listings.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Refer CS_WI_MS0220 Performing Medical Data Reviews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3" w:after="0"/>
        <w:ind w:left="1980" w:right="0" w:hanging="720"/>
        <w:jc w:val="left"/>
        <w:rPr>
          <w:b/>
          <w:sz w:val="22"/>
        </w:rPr>
      </w:pPr>
      <w:bookmarkStart w:name="Receipt of Abnormal Laboratory Reports" w:id="8"/>
      <w:bookmarkEnd w:id="8"/>
      <w:r>
        <w:rPr>
          <w:b/>
          <w:sz w:val="22"/>
        </w:rPr>
        <w:t>Receip</w:t>
      </w:r>
      <w:r>
        <w:rPr>
          <w:b/>
          <w:sz w:val="22"/>
        </w:rPr>
        <w:t>t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Abnormal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Laboratory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Reports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458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6264" w:type="dxa"/>
          </w:tcPr>
          <w:p>
            <w:pPr>
              <w:pStyle w:val="TableParagraph"/>
              <w:ind w:left="109" w:right="102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abnormal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lab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assigned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daily basis (excluding weekends and holidays)</w:t>
            </w:r>
          </w:p>
          <w:p>
            <w:pPr>
              <w:pStyle w:val="TableParagraph"/>
              <w:spacing w:before="2"/>
              <w:ind w:left="0"/>
              <w:rPr>
                <w:b/>
                <w:sz w:val="27"/>
              </w:rPr>
            </w:pPr>
          </w:p>
          <w:p>
            <w:pPr>
              <w:pStyle w:val="TableParagraph"/>
              <w:spacing w:before="0"/>
              <w:ind w:left="109" w:right="102"/>
              <w:rPr>
                <w:sz w:val="20"/>
              </w:rPr>
            </w:pPr>
            <w:r>
              <w:rPr>
                <w:sz w:val="20"/>
              </w:rPr>
              <w:t>Note: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Lab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Listings,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frequency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listings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 defined in the guidance document.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31"/>
              <w:rPr>
                <w:sz w:val="20"/>
              </w:rPr>
            </w:pPr>
            <w:r>
              <w:rPr>
                <w:sz w:val="20"/>
              </w:rPr>
              <w:t>After receiving </w:t>
            </w:r>
            <w:r>
              <w:rPr>
                <w:spacing w:val="-2"/>
                <w:sz w:val="20"/>
              </w:rPr>
              <w:t>abnormal </w:t>
            </w:r>
            <w:r>
              <w:rPr>
                <w:sz w:val="20"/>
              </w:rPr>
              <w:t>laboratory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reports from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Sponsor- </w:t>
            </w:r>
            <w:r>
              <w:rPr>
                <w:spacing w:val="-2"/>
                <w:sz w:val="20"/>
              </w:rPr>
              <w:t>designated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central laboratory</w:t>
            </w:r>
          </w:p>
        </w:tc>
      </w:tr>
      <w:tr>
        <w:trPr>
          <w:trHeight w:val="1501" w:hRule="atLeast"/>
        </w:trPr>
        <w:tc>
          <w:tcPr>
            <w:tcW w:w="797" w:type="dxa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6264" w:type="dxa"/>
          </w:tcPr>
          <w:p>
            <w:pPr>
              <w:pStyle w:val="TableParagraph"/>
              <w:ind w:left="109" w:right="102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abnormal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lab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received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email/fax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alerts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 the sponsor-designated central laboratory and/or reports directly pulled and reviewed from the central portal.</w:t>
            </w:r>
          </w:p>
          <w:p>
            <w:pPr>
              <w:pStyle w:val="TableParagraph"/>
              <w:spacing w:before="39"/>
              <w:ind w:left="109"/>
              <w:rPr>
                <w:sz w:val="20"/>
              </w:rPr>
            </w:pPr>
            <w:r>
              <w:rPr>
                <w:sz w:val="20"/>
              </w:rPr>
              <w:t>Note: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Lab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Listings,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listings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would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data management or available in central tools as defined in the guidance document.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study</w:t>
            </w:r>
          </w:p>
        </w:tc>
      </w:tr>
    </w:tbl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490" w:lineRule="atLeast" w:before="0" w:after="0"/>
        <w:ind w:left="1980" w:right="5530" w:hanging="720"/>
        <w:jc w:val="left"/>
        <w:rPr>
          <w:b/>
          <w:sz w:val="22"/>
        </w:rPr>
      </w:pPr>
      <w:bookmarkStart w:name="Laboratory Report Review" w:id="9"/>
      <w:bookmarkEnd w:id="9"/>
      <w:r>
        <w:rPr>
          <w:b/>
          <w:sz w:val="22"/>
        </w:rPr>
        <w:t>Laborator</w:t>
      </w:r>
      <w:r>
        <w:rPr>
          <w:b/>
          <w:sz w:val="22"/>
        </w:rPr>
        <w:t>y Report Review Nomenclature</w:t>
      </w:r>
      <w:r>
        <w:rPr>
          <w:b/>
          <w:spacing w:val="-1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15"/>
          <w:sz w:val="22"/>
        </w:rPr>
        <w:t> </w:t>
      </w:r>
      <w:r>
        <w:rPr>
          <w:b/>
          <w:sz w:val="22"/>
        </w:rPr>
        <w:t>Lab</w:t>
      </w:r>
      <w:r>
        <w:rPr>
          <w:b/>
          <w:spacing w:val="-15"/>
          <w:sz w:val="22"/>
        </w:rPr>
        <w:t> </w:t>
      </w:r>
      <w:r>
        <w:rPr>
          <w:b/>
          <w:sz w:val="22"/>
        </w:rPr>
        <w:t>Alerts</w:t>
      </w:r>
    </w:p>
    <w:p>
      <w:pPr>
        <w:spacing w:before="125"/>
        <w:ind w:left="1980" w:right="437" w:firstLine="0"/>
        <w:jc w:val="left"/>
        <w:rPr>
          <w:sz w:val="20"/>
        </w:rPr>
      </w:pPr>
      <w:r>
        <w:rPr>
          <w:sz w:val="20"/>
        </w:rPr>
        <w:t>Lab alerts are classified as critical and non-critical, depending on the criticality and urgency</w:t>
      </w:r>
      <w:r>
        <w:rPr>
          <w:spacing w:val="-4"/>
          <w:sz w:val="20"/>
        </w:rPr>
        <w:t> </w:t>
      </w:r>
      <w:r>
        <w:rPr>
          <w:sz w:val="20"/>
        </w:rPr>
        <w:t>with</w:t>
      </w:r>
      <w:r>
        <w:rPr>
          <w:spacing w:val="-4"/>
          <w:sz w:val="20"/>
        </w:rPr>
        <w:t> </w:t>
      </w:r>
      <w:r>
        <w:rPr>
          <w:sz w:val="20"/>
        </w:rPr>
        <w:t>which</w:t>
      </w:r>
      <w:r>
        <w:rPr>
          <w:spacing w:val="-4"/>
          <w:sz w:val="20"/>
        </w:rPr>
        <w:t> </w:t>
      </w:r>
      <w:r>
        <w:rPr>
          <w:sz w:val="20"/>
        </w:rPr>
        <w:t>they</w:t>
      </w:r>
      <w:r>
        <w:rPr>
          <w:spacing w:val="-4"/>
          <w:sz w:val="20"/>
        </w:rPr>
        <w:t> </w:t>
      </w:r>
      <w:r>
        <w:rPr>
          <w:sz w:val="20"/>
        </w:rPr>
        <w:t>require</w:t>
      </w:r>
      <w:r>
        <w:rPr>
          <w:spacing w:val="-4"/>
          <w:sz w:val="20"/>
        </w:rPr>
        <w:t> </w:t>
      </w:r>
      <w:r>
        <w:rPr>
          <w:sz w:val="20"/>
        </w:rPr>
        <w:t>follow-up</w:t>
      </w:r>
      <w:r>
        <w:rPr>
          <w:sz w:val="22"/>
        </w:rPr>
        <w:t>.</w:t>
      </w:r>
      <w:r>
        <w:rPr>
          <w:spacing w:val="-1"/>
          <w:sz w:val="22"/>
        </w:rPr>
        <w:t> </w:t>
      </w:r>
      <w:r>
        <w:rPr>
          <w:sz w:val="20"/>
        </w:rPr>
        <w:t>These</w:t>
      </w:r>
      <w:r>
        <w:rPr>
          <w:spacing w:val="-4"/>
          <w:sz w:val="20"/>
        </w:rPr>
        <w:t> </w:t>
      </w:r>
      <w:r>
        <w:rPr>
          <w:sz w:val="20"/>
        </w:rPr>
        <w:t>would</w:t>
      </w:r>
      <w:r>
        <w:rPr>
          <w:spacing w:val="-5"/>
          <w:sz w:val="20"/>
        </w:rPr>
        <w:t> </w:t>
      </w:r>
      <w:r>
        <w:rPr>
          <w:sz w:val="20"/>
        </w:rPr>
        <w:t>be</w:t>
      </w:r>
      <w:r>
        <w:rPr>
          <w:spacing w:val="-5"/>
          <w:sz w:val="20"/>
        </w:rPr>
        <w:t> </w:t>
      </w:r>
      <w:r>
        <w:rPr>
          <w:sz w:val="20"/>
        </w:rPr>
        <w:t>defined</w:t>
      </w:r>
      <w:r>
        <w:rPr>
          <w:spacing w:val="-5"/>
          <w:sz w:val="20"/>
        </w:rPr>
        <w:t> </w:t>
      </w:r>
      <w:r>
        <w:rPr>
          <w:sz w:val="20"/>
        </w:rPr>
        <w:t>in</w:t>
      </w:r>
      <w:r>
        <w:rPr>
          <w:spacing w:val="-5"/>
          <w:sz w:val="20"/>
        </w:rPr>
        <w:t> </w:t>
      </w:r>
      <w:r>
        <w:rPr>
          <w:sz w:val="20"/>
        </w:rPr>
        <w:t>the</w:t>
      </w:r>
      <w:r>
        <w:rPr>
          <w:spacing w:val="-4"/>
          <w:sz w:val="20"/>
        </w:rPr>
        <w:t> </w:t>
      </w:r>
      <w:r>
        <w:rPr>
          <w:sz w:val="20"/>
        </w:rPr>
        <w:t>guidelines document for the project.</w:t>
      </w:r>
    </w:p>
    <w:p>
      <w:pPr>
        <w:pStyle w:val="BodyText"/>
        <w:spacing w:before="8"/>
        <w:rPr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450"/>
        <w:gridCol w:w="5218"/>
        <w:gridCol w:w="2602"/>
      </w:tblGrid>
      <w:tr>
        <w:trPr>
          <w:trHeight w:val="306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450" w:type="dxa"/>
            <w:shd w:val="clear" w:color="auto" w:fill="BFBFBF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5218" w:type="dxa"/>
            <w:shd w:val="clear" w:color="auto" w:fill="BFBFBF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2602" w:type="dxa"/>
            <w:shd w:val="clear" w:color="auto" w:fill="BFBFBF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450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5218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abnormal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Lab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alerts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against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guidelines </w:t>
            </w:r>
            <w:r>
              <w:rPr>
                <w:spacing w:val="-2"/>
                <w:sz w:val="20"/>
              </w:rPr>
              <w:t>document</w:t>
            </w:r>
          </w:p>
        </w:tc>
        <w:tc>
          <w:tcPr>
            <w:tcW w:w="2602" w:type="dxa"/>
          </w:tcPr>
          <w:p>
            <w:pPr>
              <w:pStyle w:val="TableParagraph"/>
              <w:spacing w:line="242" w:lineRule="auto"/>
              <w:ind w:left="104" w:right="302" w:firstLine="57"/>
              <w:jc w:val="both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Central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Labs: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Daily, excluding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weekends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 </w:t>
            </w:r>
            <w:r>
              <w:rPr>
                <w:spacing w:val="-2"/>
                <w:sz w:val="20"/>
              </w:rPr>
              <w:t>holidays</w:t>
            </w:r>
          </w:p>
        </w:tc>
      </w:tr>
    </w:tbl>
    <w:p>
      <w:pPr>
        <w:spacing w:after="0" w:line="242" w:lineRule="auto"/>
        <w:jc w:val="both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867" w:top="2520" w:bottom="1060" w:left="900" w:right="960"/>
          <w:pgNumType w:start="2"/>
        </w:sectPr>
      </w:pPr>
    </w:p>
    <w:p>
      <w:pPr>
        <w:pStyle w:val="BodyText"/>
        <w:spacing w:before="6"/>
        <w:rPr>
          <w:sz w:val="22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450"/>
        <w:gridCol w:w="5218"/>
        <w:gridCol w:w="2602"/>
      </w:tblGrid>
      <w:tr>
        <w:trPr>
          <w:trHeight w:val="306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450" w:type="dxa"/>
            <w:shd w:val="clear" w:color="auto" w:fill="BFBFBF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5218" w:type="dxa"/>
            <w:shd w:val="clear" w:color="auto" w:fill="BFBFBF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2602" w:type="dxa"/>
            <w:shd w:val="clear" w:color="auto" w:fill="BFBFBF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34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5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218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02" w:type="dxa"/>
          </w:tcPr>
          <w:p>
            <w:pPr>
              <w:pStyle w:val="TableParagraph"/>
              <w:spacing w:before="0"/>
              <w:ind w:left="104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Labs: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agreed frequency per guidance </w:t>
            </w:r>
            <w:r>
              <w:rPr>
                <w:spacing w:val="-2"/>
                <w:sz w:val="20"/>
              </w:rPr>
              <w:t>document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450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5218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Notifies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1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business day of review, utilizing the criteria for critical alert notification defined in the Medical Monitoring Plan</w:t>
            </w:r>
          </w:p>
        </w:tc>
        <w:tc>
          <w:tcPr>
            <w:tcW w:w="2602" w:type="dxa"/>
          </w:tcPr>
          <w:p>
            <w:pPr>
              <w:pStyle w:val="TableParagraph"/>
              <w:ind w:left="104" w:right="151"/>
              <w:rPr>
                <w:sz w:val="20"/>
              </w:rPr>
            </w:pPr>
            <w:r>
              <w:rPr>
                <w:sz w:val="20"/>
              </w:rPr>
              <w:t>critical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alerts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Central </w:t>
            </w:r>
            <w:r>
              <w:rPr>
                <w:spacing w:val="-4"/>
                <w:sz w:val="20"/>
              </w:rPr>
              <w:t>Labs</w:t>
            </w:r>
          </w:p>
        </w:tc>
      </w:tr>
      <w:tr>
        <w:trPr>
          <w:trHeight w:val="580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450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5218" w:type="dxa"/>
          </w:tcPr>
          <w:p>
            <w:pPr>
              <w:pStyle w:val="TableParagraph"/>
              <w:ind w:left="104" w:right="154"/>
              <w:rPr>
                <w:sz w:val="20"/>
              </w:rPr>
            </w:pPr>
            <w:r>
              <w:rPr>
                <w:sz w:val="20"/>
              </w:rPr>
              <w:t>Notifies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maximum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3 business days</w:t>
            </w:r>
          </w:p>
        </w:tc>
        <w:tc>
          <w:tcPr>
            <w:tcW w:w="2602" w:type="dxa"/>
          </w:tcPr>
          <w:p>
            <w:pPr>
              <w:pStyle w:val="TableParagraph"/>
              <w:ind w:left="104" w:right="151"/>
              <w:rPr>
                <w:sz w:val="20"/>
              </w:rPr>
            </w:pPr>
            <w:r>
              <w:rPr>
                <w:sz w:val="20"/>
              </w:rPr>
              <w:t>Non-critical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alerts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for Central labs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450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5218" w:type="dxa"/>
          </w:tcPr>
          <w:p>
            <w:pPr>
              <w:pStyle w:val="TableParagraph"/>
              <w:ind w:left="104" w:right="154"/>
              <w:rPr>
                <w:sz w:val="20"/>
              </w:rPr>
            </w:pPr>
            <w:r>
              <w:rPr>
                <w:sz w:val="20"/>
              </w:rPr>
              <w:t>Contacts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obtain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patient's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history as well as the Investigator's assessment of clinical </w:t>
            </w:r>
            <w:r>
              <w:rPr>
                <w:spacing w:val="-2"/>
                <w:sz w:val="20"/>
              </w:rPr>
              <w:t>significance</w:t>
            </w:r>
          </w:p>
        </w:tc>
        <w:tc>
          <w:tcPr>
            <w:tcW w:w="2602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indicated,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per guidance document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7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6.3.5</w:t>
            </w:r>
          </w:p>
        </w:tc>
        <w:tc>
          <w:tcPr>
            <w:tcW w:w="1450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5218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May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Monitor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instances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where language differences may impede timely resolution</w:t>
            </w:r>
          </w:p>
        </w:tc>
        <w:tc>
          <w:tcPr>
            <w:tcW w:w="2602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lieu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contact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ind w:left="0" w:right="17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6.3.6</w:t>
            </w:r>
          </w:p>
        </w:tc>
        <w:tc>
          <w:tcPr>
            <w:tcW w:w="1450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5218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Consults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TMA</w:t>
            </w:r>
          </w:p>
        </w:tc>
        <w:tc>
          <w:tcPr>
            <w:tcW w:w="2602" w:type="dxa"/>
          </w:tcPr>
          <w:p>
            <w:pPr>
              <w:pStyle w:val="TableParagraph"/>
              <w:ind w:left="104" w:right="151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obtained from the site and the action to be taken is not addressed in guidance </w:t>
            </w:r>
            <w:r>
              <w:rPr>
                <w:spacing w:val="-2"/>
                <w:sz w:val="20"/>
              </w:rPr>
              <w:t>document</w:t>
            </w:r>
          </w:p>
        </w:tc>
      </w:tr>
      <w:tr>
        <w:trPr>
          <w:trHeight w:val="2620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6.3.7</w:t>
            </w:r>
          </w:p>
        </w:tc>
        <w:tc>
          <w:tcPr>
            <w:tcW w:w="1450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5218" w:type="dxa"/>
          </w:tcPr>
          <w:p>
            <w:pPr>
              <w:pStyle w:val="TableParagraph"/>
              <w:spacing w:line="242" w:lineRule="auto"/>
              <w:ind w:left="104" w:right="154"/>
              <w:rPr>
                <w:sz w:val="20"/>
              </w:rPr>
            </w:pPr>
            <w:r>
              <w:rPr>
                <w:sz w:val="20"/>
              </w:rPr>
              <w:t>Advises the site, and keeps the TMA and/or Sponsor Medical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Advisor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copied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communication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site on what further actions are necessary (per TMA and/or established guidelines document), such as: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719" w:val="left" w:leader="none"/>
                <w:tab w:pos="720" w:val="left" w:leader="none"/>
              </w:tabs>
              <w:spacing w:line="240" w:lineRule="auto" w:before="51" w:after="0"/>
              <w:ind w:left="71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Repeat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testing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719" w:val="left" w:leader="none"/>
                <w:tab w:pos="720" w:val="left" w:leader="none"/>
              </w:tabs>
              <w:spacing w:line="232" w:lineRule="auto" w:before="68" w:after="0"/>
              <w:ind w:left="719" w:right="364" w:hanging="360"/>
              <w:jc w:val="left"/>
              <w:rPr>
                <w:sz w:val="20"/>
              </w:rPr>
            </w:pPr>
            <w:r>
              <w:rPr>
                <w:sz w:val="20"/>
              </w:rPr>
              <w:t>Approval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extra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testing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determine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patient’s </w:t>
            </w:r>
            <w:r>
              <w:rPr>
                <w:spacing w:val="-2"/>
                <w:sz w:val="20"/>
              </w:rPr>
              <w:t>eligibility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719" w:val="left" w:leader="none"/>
                <w:tab w:pos="720" w:val="left" w:leader="none"/>
              </w:tabs>
              <w:spacing w:line="237" w:lineRule="auto" w:before="68" w:after="0"/>
              <w:ind w:left="719" w:right="509" w:hanging="360"/>
              <w:jc w:val="left"/>
              <w:rPr>
                <w:sz w:val="20"/>
              </w:rPr>
            </w:pPr>
            <w:r>
              <w:rPr>
                <w:sz w:val="20"/>
              </w:rPr>
              <w:t>Recommendation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exclude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who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is judged to be unsuitable for enrollment in the </w:t>
            </w:r>
            <w:r>
              <w:rPr>
                <w:spacing w:val="-2"/>
                <w:sz w:val="20"/>
              </w:rPr>
              <w:t>study</w:t>
            </w:r>
          </w:p>
        </w:tc>
        <w:tc>
          <w:tcPr>
            <w:tcW w:w="2602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necessary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6.3.8</w:t>
            </w:r>
          </w:p>
        </w:tc>
        <w:tc>
          <w:tcPr>
            <w:tcW w:w="1450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5218" w:type="dxa"/>
          </w:tcPr>
          <w:p>
            <w:pPr>
              <w:pStyle w:val="TableParagraph"/>
              <w:spacing w:line="244" w:lineRule="auto"/>
              <w:ind w:left="104" w:right="15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assesses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extra—or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repeat—test </w:t>
            </w:r>
            <w:r>
              <w:rPr>
                <w:spacing w:val="-2"/>
                <w:sz w:val="20"/>
              </w:rPr>
              <w:t>results</w:t>
            </w:r>
          </w:p>
        </w:tc>
        <w:tc>
          <w:tcPr>
            <w:tcW w:w="2602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2"/>
                <w:sz w:val="20"/>
              </w:rPr>
              <w:t> appropriate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6.3.9</w:t>
            </w:r>
          </w:p>
        </w:tc>
        <w:tc>
          <w:tcPr>
            <w:tcW w:w="1450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5218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Contacts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further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suggestions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 and/or IQVIA’s TMA</w:t>
            </w:r>
          </w:p>
        </w:tc>
        <w:tc>
          <w:tcPr>
            <w:tcW w:w="2602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2"/>
                <w:sz w:val="20"/>
              </w:rPr>
              <w:t> appropriate</w:t>
            </w:r>
          </w:p>
        </w:tc>
      </w:tr>
      <w:tr>
        <w:trPr>
          <w:trHeight w:val="177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6.3.10</w:t>
            </w:r>
          </w:p>
        </w:tc>
        <w:tc>
          <w:tcPr>
            <w:tcW w:w="1450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5218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Does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initiate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contact</w:t>
            </w:r>
          </w:p>
          <w:p>
            <w:pPr>
              <w:pStyle w:val="TableParagraph"/>
              <w:spacing w:before="10"/>
              <w:ind w:left="0"/>
              <w:rPr>
                <w:sz w:val="25"/>
              </w:rPr>
            </w:pPr>
          </w:p>
          <w:p>
            <w:pPr>
              <w:pStyle w:val="TableParagraph"/>
              <w:spacing w:line="242" w:lineRule="auto" w:before="1"/>
              <w:ind w:left="104" w:right="154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For laboratory results that are outside the reference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range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but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established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criteria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 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assessment,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outlined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guidance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 in MMP or—in the judgment of the MSS—they do not need further evaluation.</w:t>
            </w:r>
          </w:p>
        </w:tc>
        <w:tc>
          <w:tcPr>
            <w:tcW w:w="2602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(see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Note)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867" w:top="2520" w:bottom="1060" w:left="900" w:right="960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Documentation of Review and Resolution" w:id="10"/>
      <w:bookmarkEnd w:id="10"/>
      <w:r>
        <w:rPr>
          <w:b/>
          <w:sz w:val="22"/>
        </w:rPr>
        <w:t>Documentatio</w:t>
      </w:r>
      <w:r>
        <w:rPr>
          <w:b/>
          <w:sz w:val="22"/>
        </w:rPr>
        <w:t>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Resolution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270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02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contacts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addressed to the Principle Investigator; copies all relevant team members and/or in the manner established at the beginning of the trial</w:t>
            </w:r>
          </w:p>
          <w:p>
            <w:pPr>
              <w:pStyle w:val="TableParagraph"/>
              <w:spacing w:before="9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before="0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464" w:val="left" w:leader="none"/>
                <w:tab w:pos="465" w:val="left" w:leader="none"/>
              </w:tabs>
              <w:spacing w:line="240" w:lineRule="auto" w:before="44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Labs,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primarily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through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EDC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queries.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465" w:val="left" w:leader="none"/>
              </w:tabs>
              <w:spacing w:line="240" w:lineRule="auto" w:before="0" w:after="0"/>
              <w:ind w:left="464" w:right="630" w:hanging="360"/>
              <w:jc w:val="both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instances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dual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mode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through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EDC queries and email is involved, this would be defined in the guidance document.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whole </w:t>
            </w:r>
            <w:r>
              <w:rPr>
                <w:spacing w:val="-2"/>
                <w:sz w:val="20"/>
              </w:rPr>
              <w:t>study</w:t>
            </w:r>
          </w:p>
        </w:tc>
      </w:tr>
      <w:tr>
        <w:trPr>
          <w:trHeight w:val="1578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02"/>
              <w:rPr>
                <w:sz w:val="20"/>
              </w:rPr>
            </w:pPr>
            <w:r>
              <w:rPr>
                <w:sz w:val="20"/>
              </w:rPr>
              <w:t>Transcribes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project-specific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spreadsheet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 the site contact and follows up until resolution</w:t>
            </w:r>
          </w:p>
          <w:p>
            <w:pPr>
              <w:pStyle w:val="TableParagraph"/>
              <w:spacing w:before="8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before="1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45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also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CS_TP_MS004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Central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Lab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Central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labs</w:t>
            </w:r>
          </w:p>
          <w:p>
            <w:pPr>
              <w:pStyle w:val="TableParagraph"/>
              <w:spacing w:before="43"/>
              <w:ind w:left="104"/>
              <w:rPr>
                <w:sz w:val="20"/>
              </w:rPr>
            </w:pPr>
            <w:r>
              <w:rPr>
                <w:sz w:val="20"/>
              </w:rPr>
              <w:t>Refer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also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CS_TP_MS0219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Lab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labs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 contact is done through eCRF platforms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whole </w:t>
            </w:r>
            <w:r>
              <w:rPr>
                <w:spacing w:val="-2"/>
                <w:sz w:val="20"/>
              </w:rPr>
              <w:t>study</w:t>
            </w:r>
          </w:p>
        </w:tc>
      </w:tr>
      <w:tr>
        <w:trPr>
          <w:trHeight w:val="1463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sz w:val="20"/>
              </w:rPr>
              <w:t>Files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email correspondence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ELVIS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Email Filing Database TMF-relevant folder at regular intervals.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54"/>
              <w:rPr>
                <w:sz w:val="20"/>
              </w:rPr>
            </w:pPr>
            <w:r>
              <w:rPr>
                <w:sz w:val="20"/>
              </w:rPr>
              <w:t>After the review and follow-up of an abnormal laboratory result, if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fully </w:t>
            </w:r>
            <w:r>
              <w:rPr>
                <w:spacing w:val="-2"/>
                <w:sz w:val="20"/>
              </w:rPr>
              <w:t>resolved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1" w:after="0"/>
        <w:ind w:left="1980" w:right="0" w:hanging="720"/>
        <w:jc w:val="left"/>
        <w:rPr>
          <w:b/>
          <w:sz w:val="22"/>
        </w:rPr>
      </w:pPr>
      <w:bookmarkStart w:name="Disposition of Laboratory Report Review " w:id="11"/>
      <w:bookmarkEnd w:id="11"/>
      <w:r>
        <w:rPr>
          <w:b/>
          <w:sz w:val="22"/>
        </w:rPr>
        <w:t>Dispositio</w:t>
      </w:r>
      <w:r>
        <w:rPr>
          <w:b/>
          <w:sz w:val="22"/>
        </w:rPr>
        <w:t>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Laboratory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Report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7"/>
          <w:sz w:val="22"/>
        </w:rPr>
        <w:t> </w:t>
      </w:r>
      <w:r>
        <w:rPr>
          <w:b/>
          <w:spacing w:val="-4"/>
          <w:sz w:val="22"/>
        </w:rPr>
        <w:t>Files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80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</w:tcPr>
          <w:p>
            <w:pPr>
              <w:pStyle w:val="TableParagraph"/>
              <w:spacing w:line="270" w:lineRule="atLeast" w:before="2"/>
              <w:ind w:right="431"/>
              <w:rPr>
                <w:sz w:val="20"/>
              </w:rPr>
            </w:pPr>
            <w:r>
              <w:rPr>
                <w:spacing w:val="-2"/>
                <w:sz w:val="20"/>
              </w:rPr>
              <w:t>LMSS, </w:t>
            </w:r>
            <w:r>
              <w:rPr>
                <w:spacing w:val="-4"/>
                <w:sz w:val="20"/>
              </w:rPr>
              <w:t>MSS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Ensures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laboratory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archived.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has </w:t>
            </w:r>
            <w:r>
              <w:rPr>
                <w:spacing w:val="-2"/>
                <w:sz w:val="20"/>
              </w:rPr>
              <w:t>closed</w:t>
            </w:r>
          </w:p>
        </w:tc>
      </w:tr>
      <w:tr>
        <w:trPr>
          <w:trHeight w:val="1929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Ensures </w:t>
            </w:r>
            <w:r>
              <w:rPr>
                <w:spacing w:val="-4"/>
                <w:sz w:val="20"/>
              </w:rPr>
              <w:t>has: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719" w:val="left" w:leader="none"/>
                <w:tab w:pos="720" w:val="left" w:leader="none"/>
              </w:tabs>
              <w:spacing w:line="232" w:lineRule="auto" w:before="60" w:after="0"/>
              <w:ind w:left="719" w:right="148" w:hanging="360"/>
              <w:jc w:val="left"/>
              <w:rPr>
                <w:sz w:val="20"/>
              </w:rPr>
            </w:pPr>
            <w:r>
              <w:rPr>
                <w:sz w:val="20"/>
              </w:rPr>
              <w:t>Saved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laboratory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electronically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 the report includes the valid date of the review.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719" w:val="left" w:leader="none"/>
                <w:tab w:pos="720" w:val="left" w:leader="none"/>
              </w:tabs>
              <w:spacing w:line="232" w:lineRule="auto" w:before="77" w:after="0"/>
              <w:ind w:left="719" w:right="263" w:hanging="360"/>
              <w:jc w:val="left"/>
              <w:rPr>
                <w:sz w:val="20"/>
              </w:rPr>
            </w:pPr>
            <w:r>
              <w:rPr>
                <w:sz w:val="20"/>
              </w:rPr>
              <w:t>Named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saved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daily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listing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name,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type of report and date of the review.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776" w:val="left" w:leader="none"/>
                <w:tab w:pos="777" w:val="left" w:leader="none"/>
              </w:tabs>
              <w:spacing w:line="232" w:lineRule="auto" w:before="72" w:after="0"/>
              <w:ind w:left="719" w:right="320" w:hanging="360"/>
              <w:jc w:val="left"/>
              <w:rPr>
                <w:sz w:val="20"/>
              </w:rPr>
            </w:pPr>
            <w:r>
              <w:rPr/>
              <w:tab/>
            </w:r>
            <w:r>
              <w:rPr>
                <w:sz w:val="20"/>
              </w:rPr>
              <w:t>Filed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electronically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ELVIS-relevant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project folder for archiving.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06"/>
              <w:rPr>
                <w:sz w:val="20"/>
              </w:rPr>
            </w:pPr>
            <w:r>
              <w:rPr>
                <w:sz w:val="20"/>
              </w:rPr>
              <w:t>When reports are </w:t>
            </w:r>
            <w:r>
              <w:rPr>
                <w:spacing w:val="-2"/>
                <w:sz w:val="20"/>
              </w:rPr>
              <w:t>reviewed </w:t>
            </w:r>
            <w:r>
              <w:rPr>
                <w:sz w:val="20"/>
              </w:rPr>
              <w:t>electronically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from the central portal or lab listings are reviewed for local </w:t>
            </w:r>
            <w:r>
              <w:rPr>
                <w:spacing w:val="-4"/>
                <w:sz w:val="20"/>
              </w:rPr>
              <w:t>labs</w:t>
            </w:r>
          </w:p>
        </w:tc>
      </w:tr>
      <w:tr>
        <w:trPr>
          <w:trHeight w:val="88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LMSS/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2"/>
                <w:sz w:val="20"/>
              </w:rPr>
              <w:t>designee</w:t>
            </w:r>
          </w:p>
        </w:tc>
        <w:tc>
          <w:tcPr>
            <w:tcW w:w="6264" w:type="dxa"/>
          </w:tcPr>
          <w:p>
            <w:pPr>
              <w:pStyle w:val="TableParagraph"/>
              <w:spacing w:before="57"/>
              <w:ind w:left="-1"/>
              <w:rPr>
                <w:sz w:val="20"/>
              </w:rPr>
            </w:pPr>
            <w:r>
              <w:rPr>
                <w:sz w:val="20"/>
              </w:rPr>
              <w:t>Files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eTMF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platform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project: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719" w:val="left" w:leader="none"/>
                <w:tab w:pos="720" w:val="left" w:leader="none"/>
              </w:tabs>
              <w:spacing w:line="232" w:lineRule="auto" w:before="69" w:after="0"/>
              <w:ind w:left="719" w:right="1124" w:hanging="360"/>
              <w:jc w:val="left"/>
              <w:rPr>
                <w:sz w:val="20"/>
              </w:rPr>
            </w:pPr>
            <w:r>
              <w:rPr>
                <w:sz w:val="20"/>
              </w:rPr>
              <w:t>Project-specific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lab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ECG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spreadsheet (CS_TP_MS004, CS_TP_MS0219)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quarterly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first site contact.</w:t>
            </w:r>
          </w:p>
        </w:tc>
      </w:tr>
      <w:tr>
        <w:trPr>
          <w:trHeight w:val="930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LMSS/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2"/>
                <w:sz w:val="20"/>
              </w:rPr>
              <w:t>designee</w:t>
            </w:r>
          </w:p>
        </w:tc>
        <w:tc>
          <w:tcPr>
            <w:tcW w:w="6264" w:type="dxa"/>
          </w:tcPr>
          <w:p>
            <w:pPr>
              <w:pStyle w:val="TableParagraph"/>
              <w:spacing w:line="300" w:lineRule="auto" w:before="57"/>
              <w:ind w:left="104"/>
              <w:rPr>
                <w:sz w:val="20"/>
              </w:rPr>
            </w:pPr>
            <w:r>
              <w:rPr>
                <w:sz w:val="20"/>
              </w:rPr>
              <w:t>For standalone MSS projects, LMSS/designee files the meeting minutes/agenda/related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meetings,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</w:p>
          <w:p>
            <w:pPr>
              <w:pStyle w:val="TableParagraph"/>
              <w:spacing w:before="6"/>
              <w:ind w:left="104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eTMF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platform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project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/>
              <w:ind w:left="109" w:right="154"/>
              <w:rPr>
                <w:sz w:val="20"/>
              </w:rPr>
            </w:pPr>
            <w:r>
              <w:rPr>
                <w:sz w:val="20"/>
              </w:rPr>
              <w:t>At/after the meeting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customer</w:t>
            </w:r>
          </w:p>
        </w:tc>
      </w:tr>
    </w:tbl>
    <w:p>
      <w:pPr>
        <w:spacing w:after="0" w:line="242" w:lineRule="auto"/>
        <w:rPr>
          <w:sz w:val="20"/>
        </w:rPr>
        <w:sectPr>
          <w:pgSz w:w="12240" w:h="15840"/>
          <w:pgMar w:header="725" w:footer="867" w:top="2520" w:bottom="1180" w:left="900" w:right="96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SUPPORTING DOCUMENTATION" w:id="12"/>
      <w:bookmarkEnd w:id="12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5669"/>
      </w:tblGrid>
      <w:tr>
        <w:trPr>
          <w:trHeight w:val="321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5669" w:type="dxa"/>
            <w:shd w:val="clear" w:color="auto" w:fill="BFBFBF"/>
          </w:tcPr>
          <w:p>
            <w:pPr>
              <w:pStyle w:val="TableParagraph"/>
              <w:spacing w:before="33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5669" w:type="dxa"/>
            <w:shd w:val="clear" w:color="auto" w:fill="BFBFBF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CS_TP_MS003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spacing w:before="0"/>
              <w:ind w:left="215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Monitoring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Plan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43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CS_TP_MS004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spacing w:before="0"/>
              <w:ind w:left="215"/>
              <w:rPr>
                <w:sz w:val="22"/>
              </w:rPr>
            </w:pPr>
            <w:r>
              <w:rPr>
                <w:sz w:val="22"/>
              </w:rPr>
              <w:t>Central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5"/>
                <w:sz w:val="22"/>
              </w:rPr>
              <w:t>Lab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ind w:left="0" w:right="557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CS_TP_MS0219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spacing w:before="0"/>
              <w:ind w:left="215"/>
              <w:rPr>
                <w:sz w:val="22"/>
              </w:rPr>
            </w:pPr>
            <w:r>
              <w:rPr>
                <w:sz w:val="22"/>
              </w:rPr>
              <w:t>Local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Lab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ind w:left="0" w:right="572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CS_WI_MS0220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spacing w:before="0"/>
              <w:ind w:left="215"/>
              <w:rPr>
                <w:sz w:val="22"/>
              </w:rPr>
            </w:pPr>
            <w:r>
              <w:rPr>
                <w:sz w:val="22"/>
              </w:rPr>
              <w:t>Performing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Reviews</w:t>
            </w:r>
          </w:p>
        </w:tc>
      </w:tr>
    </w:tbl>
    <w:p>
      <w:pPr>
        <w:pStyle w:val="BodyText"/>
        <w:spacing w:before="8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bookmarkStart w:name="SUPERSEDES" w:id="13"/>
      <w:bookmarkEnd w:id="13"/>
      <w:r>
        <w:rPr>
          <w:b/>
          <w:spacing w:val="-2"/>
          <w:sz w:val="22"/>
        </w:rPr>
        <w:t>SUPERSEDES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5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82"/>
        <w:gridCol w:w="3326"/>
        <w:gridCol w:w="2342"/>
      </w:tblGrid>
      <w:tr>
        <w:trPr>
          <w:trHeight w:val="287" w:hRule="atLeast"/>
        </w:trPr>
        <w:tc>
          <w:tcPr>
            <w:tcW w:w="3782" w:type="dxa"/>
            <w:shd w:val="clear" w:color="auto" w:fill="BFBFBF"/>
          </w:tcPr>
          <w:p>
            <w:pPr>
              <w:pStyle w:val="TableParagraph"/>
              <w:spacing w:line="243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326" w:type="dxa"/>
            <w:shd w:val="clear" w:color="auto" w:fill="BFBFBF"/>
          </w:tcPr>
          <w:p>
            <w:pPr>
              <w:pStyle w:val="TableParagraph"/>
              <w:spacing w:line="243" w:lineRule="exact" w:before="0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42" w:type="dxa"/>
            <w:shd w:val="clear" w:color="auto" w:fill="BFBFBF"/>
          </w:tcPr>
          <w:p>
            <w:pPr>
              <w:pStyle w:val="TableParagraph"/>
              <w:spacing w:line="243" w:lineRule="exact" w:before="0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330" w:hRule="atLeast"/>
        </w:trPr>
        <w:tc>
          <w:tcPr>
            <w:tcW w:w="3782" w:type="dxa"/>
          </w:tcPr>
          <w:p>
            <w:pPr>
              <w:pStyle w:val="TableParagraph"/>
              <w:tabs>
                <w:tab w:pos="1545" w:val="left" w:leader="none"/>
              </w:tabs>
              <w:ind w:left="82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CS_WI_MS001</w:t>
            </w:r>
          </w:p>
        </w:tc>
        <w:tc>
          <w:tcPr>
            <w:tcW w:w="3326" w:type="dxa"/>
          </w:tcPr>
          <w:p>
            <w:pPr>
              <w:pStyle w:val="TableParagraph"/>
              <w:spacing w:line="248" w:lineRule="exact" w:before="0"/>
              <w:ind w:left="139"/>
              <w:rPr>
                <w:sz w:val="22"/>
              </w:rPr>
            </w:pPr>
            <w:r>
              <w:rPr>
                <w:sz w:val="22"/>
              </w:rPr>
              <w:t>Review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Laboratory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Reports</w:t>
            </w:r>
          </w:p>
        </w:tc>
        <w:tc>
          <w:tcPr>
            <w:tcW w:w="2342" w:type="dxa"/>
          </w:tcPr>
          <w:p>
            <w:pPr>
              <w:pStyle w:val="TableParagraph"/>
              <w:spacing w:line="248" w:lineRule="exact" w:before="0"/>
              <w:rPr>
                <w:sz w:val="22"/>
              </w:rPr>
            </w:pPr>
            <w:r>
              <w:rPr>
                <w:spacing w:val="-5"/>
                <w:sz w:val="22"/>
              </w:rPr>
              <w:t>11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bookmarkStart w:name="MODIFICATION FROM PREVIOUS REVISION" w:id="14"/>
      <w:bookmarkEnd w:id="14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2852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2852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SOP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number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updated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2.1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6.1.5</w:t>
            </w:r>
          </w:p>
        </w:tc>
        <w:tc>
          <w:tcPr>
            <w:tcW w:w="2852" w:type="dxa"/>
          </w:tcPr>
          <w:p>
            <w:pPr>
              <w:pStyle w:val="TableParagraph"/>
              <w:spacing w:line="230" w:lineRule="auto" w:before="32"/>
              <w:ind w:left="109" w:right="38"/>
              <w:rPr>
                <w:sz w:val="22"/>
              </w:rPr>
            </w:pPr>
            <w:r>
              <w:rPr>
                <w:sz w:val="22"/>
              </w:rPr>
              <w:t>Amended to reflect the MDR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SOP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within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medical </w:t>
            </w:r>
            <w:r>
              <w:rPr>
                <w:spacing w:val="-2"/>
                <w:sz w:val="22"/>
              </w:rPr>
              <w:t>services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bookmarkStart w:name="APPENDICES" w:id="15"/>
      <w:bookmarkEnd w:id="15"/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Appendix A:  Laboratory Report Review Fl" w:id="16"/>
      <w:bookmarkEnd w:id="16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4"/>
          <w:sz w:val="22"/>
        </w:rPr>
        <w:t> </w:t>
      </w:r>
      <w:r>
        <w:rPr>
          <w:b/>
          <w:sz w:val="22"/>
        </w:rPr>
        <w:t>Laboratory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Report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Flowchart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Appendix B:  Escalation and Resolution o" w:id="17"/>
      <w:bookmarkEnd w:id="17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54"/>
          <w:sz w:val="22"/>
        </w:rPr>
        <w:t> </w:t>
      </w:r>
      <w:r>
        <w:rPr>
          <w:b/>
          <w:sz w:val="22"/>
        </w:rPr>
        <w:t>Escalation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Resolution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Follow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up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Laboratory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Alerts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867" w:top="2520" w:bottom="1260" w:left="900" w:right="96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spacing w:before="94"/>
        <w:ind w:left="1087" w:right="0" w:firstLine="0"/>
        <w:jc w:val="left"/>
        <w:rPr>
          <w:b/>
          <w:sz w:val="22"/>
        </w:rPr>
      </w:pPr>
      <w:bookmarkStart w:name="Appendix A:  Laboratory Report Review Fl" w:id="18"/>
      <w:bookmarkEnd w:id="18"/>
      <w:r>
        <w:rPr/>
      </w:r>
      <w:r>
        <w:rPr>
          <w:b/>
          <w:sz w:val="22"/>
        </w:rPr>
        <w:t>Appendix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6"/>
          <w:sz w:val="22"/>
        </w:rPr>
        <w:t> </w:t>
      </w:r>
      <w:r>
        <w:rPr>
          <w:b/>
          <w:sz w:val="22"/>
        </w:rPr>
        <w:t>Laboratory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Report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Flowchart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8"/>
        <w:rPr>
          <w:b/>
          <w:sz w:val="13"/>
        </w:rPr>
      </w:pPr>
      <w:r>
        <w:rPr/>
        <w:pict>
          <v:group style="position:absolute;margin-left:102.843597pt;margin-top:9.112258pt;width:406.2pt;height:530.8pt;mso-position-horizontal-relative:page;mso-position-vertical-relative:paragraph;z-index:-15728128;mso-wrap-distance-left:0;mso-wrap-distance-right:0" id="docshapegroup6" coordorigin="2057,182" coordsize="8124,10616">
            <v:shape style="position:absolute;left:4852;top:208;width:2180;height:509" type="#_x0000_t75" id="docshape7" stroked="false">
              <v:imagedata r:id="rId13" o:title=""/>
            </v:shape>
            <v:shape style="position:absolute;left:4848;top:434;width:159;height:260" type="#_x0000_t75" id="docshape8" stroked="false">
              <v:imagedata r:id="rId14" o:title=""/>
            </v:shape>
            <v:shape style="position:absolute;left:4884;top:208;width:2152;height:485" type="#_x0000_t75" id="docshape9" stroked="false">
              <v:imagedata r:id="rId15" o:title=""/>
            </v:shape>
            <v:shape style="position:absolute;left:4824;top:184;width:2180;height:500" type="#_x0000_t75" id="docshape10" stroked="false">
              <v:imagedata r:id="rId16" o:title=""/>
            </v:shape>
            <v:shape style="position:absolute;left:4824;top:184;width:2180;height:500" id="docshape11" coordorigin="4824,185" coordsize="2180,500" path="m5078,684l6754,684,6833,671,6902,636,6955,582,6991,514,7003,434,6991,355,6955,286,6902,232,6833,197,6754,185,5078,185,4998,197,4929,232,4873,286,4837,355,4824,434,4837,514,4873,582,4929,636,4998,671,5078,684xe" filled="false" stroked="true" strokeweight=".2328pt" strokecolor="#404040">
              <v:path arrowok="t"/>
              <v:stroke dashstyle="solid"/>
            </v:shape>
            <v:shape style="position:absolute;left:4891;top:285;width:2074;height:389" type="#_x0000_t75" id="docshape12" stroked="false">
              <v:imagedata r:id="rId17" o:title=""/>
            </v:shape>
            <v:shape style="position:absolute;left:4992;top:467;width:1882;height:389" type="#_x0000_t75" id="docshape13" stroked="false">
              <v:imagedata r:id="rId18" o:title=""/>
            </v:shape>
            <v:line style="position:absolute" from="5914,684" to="5914,924" stroked="true" strokeweight=".93168pt" strokecolor="#404040">
              <v:stroke dashstyle="solid"/>
            </v:line>
            <v:shape style="position:absolute;left:5270;top:1043;width:1344;height:759" type="#_x0000_t75" id="docshape14" stroked="false">
              <v:imagedata r:id="rId19" o:title=""/>
            </v:shape>
            <v:shape style="position:absolute;left:5246;top:1019;width:1340;height:754" type="#_x0000_t75" id="docshape15" stroked="false">
              <v:imagedata r:id="rId20" o:title=""/>
            </v:shape>
            <v:rect style="position:absolute;left:5246;top:1019;width:1340;height:754" id="docshape16" filled="false" stroked="true" strokeweight=".2328pt" strokecolor="#404040">
              <v:stroke dashstyle="solid"/>
            </v:rect>
            <v:shape style="position:absolute;left:5352;top:1158;width:1152;height:389" type="#_x0000_t75" id="docshape17" stroked="false">
              <v:imagedata r:id="rId21" o:title=""/>
            </v:shape>
            <v:shape style="position:absolute;left:5548;top:1341;width:730;height:389" type="#_x0000_t75" id="docshape18" stroked="false">
              <v:imagedata r:id="rId22" o:title=""/>
            </v:shape>
            <v:shape style="position:absolute;left:5640;top:1523;width:576;height:375" type="#_x0000_t75" id="docshape19" stroked="false">
              <v:imagedata r:id="rId23" o:title=""/>
            </v:shape>
            <v:shape style="position:absolute;left:5851;top:890;width:130;height:130" id="docshape20" coordorigin="5851,890" coordsize="130,130" path="m5914,1020l5851,890,5882,901,5914,905,5948,901,5981,890,5914,1020xe" filled="true" fillcolor="#404040" stroked="false">
              <v:path arrowok="t"/>
              <v:fill type="solid"/>
            </v:shape>
            <v:line style="position:absolute" from="5914,1773" to="5914,2009" stroked="true" strokeweight=".93168pt" strokecolor="#404040">
              <v:stroke dashstyle="solid"/>
            </v:line>
            <v:shape style="position:absolute;left:4435;top:2138;width:3015;height:1839" type="#_x0000_t75" id="docshape21" stroked="false">
              <v:imagedata r:id="rId24" o:title=""/>
            </v:shape>
            <v:shape style="position:absolute;left:4430;top:2133;width:3024;height:1841" type="#_x0000_t75" id="docshape22" stroked="false">
              <v:imagedata r:id="rId25" o:title=""/>
            </v:shape>
            <v:shape style="position:absolute;left:4406;top:2109;width:3020;height:1844" type="#_x0000_t75" id="docshape23" stroked="false">
              <v:imagedata r:id="rId26" o:title=""/>
            </v:shape>
            <v:shape style="position:absolute;left:4406;top:2109;width:3020;height:1844" id="docshape24" coordorigin="4406,2109" coordsize="3020,1844" path="m4406,3031l5914,2109,7426,3031,5914,3953,4406,3031xe" filled="false" stroked="true" strokeweight=".2328pt" strokecolor="#404040">
              <v:path arrowok="t"/>
              <v:stroke dashstyle="solid"/>
            </v:shape>
            <v:shape style="position:absolute;left:5203;top:2627;width:1503;height:567" type="#_x0000_t75" id="docshape25" stroked="false">
              <v:imagedata r:id="rId27" o:title=""/>
            </v:shape>
            <v:shape style="position:absolute;left:5198;top:2805;width:1004;height:389" type="#_x0000_t75" id="docshape26" stroked="false">
              <v:imagedata r:id="rId28" o:title=""/>
            </v:shape>
            <v:shape style="position:absolute;left:6244;top:2819;width:178;height:260" type="#_x0000_t75" id="docshape27" stroked="false">
              <v:imagedata r:id="rId29" o:title=""/>
            </v:shape>
            <v:shape style="position:absolute;left:5409;top:2992;width:999;height:375" type="#_x0000_t75" id="docshape28" stroked="false">
              <v:imagedata r:id="rId30" o:title=""/>
            </v:shape>
            <v:shape style="position:absolute;left:5400;top:3170;width:533;height:375" type="#_x0000_t75" id="docshape29" stroked="false">
              <v:imagedata r:id="rId31" o:title=""/>
            </v:shape>
            <v:shape style="position:absolute;left:5198;top:3198;width:77;height:341" type="#_x0000_t75" id="docshape30" stroked="false">
              <v:imagedata r:id="rId32" o:title=""/>
            </v:shape>
            <v:shape style="position:absolute;left:5971;top:3165;width:730;height:389" type="#_x0000_t75" id="docshape31" stroked="false">
              <v:imagedata r:id="rId33" o:title=""/>
            </v:shape>
            <v:shape style="position:absolute;left:5409;top:3347;width:845;height:346" type="#_x0000_t75" id="docshape32" stroked="false">
              <v:imagedata r:id="rId34" o:title=""/>
            </v:shape>
            <v:shape style="position:absolute;left:5539;top:3530;width:692;height:375" type="#_x0000_t75" id="docshape33" stroked="false">
              <v:imagedata r:id="rId35" o:title=""/>
            </v:shape>
            <v:shape style="position:absolute;left:5851;top:1979;width:130;height:130" id="docshape34" coordorigin="5851,1980" coordsize="130,130" path="m5914,2109l5851,1980,5882,1991,5914,1994,5948,1991,5981,1980,5914,2109xe" filled="true" fillcolor="#404040" stroked="false">
              <v:path arrowok="t"/>
              <v:fill type="solid"/>
            </v:shape>
            <v:line style="position:absolute" from="4406,3031" to="3835,3031" stroked="true" strokeweight=".93168pt" strokecolor="#404040">
              <v:stroke dashstyle="solid"/>
            </v:line>
            <v:shape style="position:absolute;left:2083;top:2550;width:1680;height:1013" type="#_x0000_t75" id="docshape35" stroked="false">
              <v:imagedata r:id="rId36" o:title=""/>
            </v:shape>
            <v:shape style="position:absolute;left:2059;top:2526;width:1676;height:1008" type="#_x0000_t75" id="docshape36" stroked="false">
              <v:imagedata r:id="rId37" o:title=""/>
            </v:shape>
            <v:rect style="position:absolute;left:2059;top:2526;width:1676;height:1008" id="docshape37" filled="false" stroked="true" strokeweight=".2328pt" strokecolor="#404040">
              <v:stroke dashstyle="solid"/>
            </v:rect>
            <v:shape style="position:absolute;left:2131;top:2613;width:1536;height:389" type="#_x0000_t75" id="docshape38" stroked="false">
              <v:imagedata r:id="rId38" o:title=""/>
            </v:shape>
            <v:shape style="position:absolute;left:2371;top:2800;width:1076;height:288" type="#_x0000_t75" id="docshape39" stroked="false">
              <v:imagedata r:id="rId39" o:title=""/>
            </v:shape>
            <v:shape style="position:absolute;left:2212;top:2973;width:557;height:389" type="#_x0000_t75" id="docshape40" stroked="false">
              <v:imagedata r:id="rId40" o:title=""/>
            </v:shape>
            <v:shape style="position:absolute;left:2376;top:2968;width:1229;height:519" type="#_x0000_t75" id="docshape41" stroked="false">
              <v:imagedata r:id="rId41" o:title=""/>
            </v:shape>
            <v:shape style="position:absolute;left:2827;top:3155;width:615;height:375" type="#_x0000_t75" id="docshape42" stroked="false">
              <v:imagedata r:id="rId42" o:title=""/>
            </v:shape>
            <v:shape style="position:absolute;left:2649;top:3328;width:500;height:389" type="#_x0000_t75" id="docshape43" stroked="false">
              <v:imagedata r:id="rId43" o:title=""/>
            </v:shape>
            <v:shape style="position:absolute;left:3734;top:2963;width:135;height:135" type="#_x0000_t75" id="docshape44" stroked="false">
              <v:imagedata r:id="rId44" o:title=""/>
            </v:shape>
            <v:line style="position:absolute" from="7426,3031" to="7997,3031" stroked="true" strokeweight=".93168pt" strokecolor="#404040">
              <v:stroke dashstyle="solid"/>
            </v:line>
            <v:shape style="position:absolute;left:8121;top:2550;width:1344;height:1013" type="#_x0000_t75" id="docshape45" stroked="false">
              <v:imagedata r:id="rId45" o:title=""/>
            </v:shape>
            <v:shape style="position:absolute;left:8097;top:2526;width:1340;height:1008" type="#_x0000_t75" id="docshape46" stroked="false">
              <v:imagedata r:id="rId46" o:title=""/>
            </v:shape>
            <v:rect style="position:absolute;left:8097;top:2526;width:1340;height:1008" id="docshape47" filled="false" stroked="true" strokeweight=".2328pt" strokecolor="#404040">
              <v:stroke dashstyle="solid"/>
            </v:rect>
            <v:shape style="position:absolute;left:8179;top:2795;width:1191;height:389" type="#_x0000_t75" id="docshape48" stroked="false">
              <v:imagedata r:id="rId47" o:title=""/>
            </v:shape>
            <v:shape style="position:absolute;left:8457;top:2973;width:615;height:389" type="#_x0000_t75" id="docshape49" stroked="false">
              <v:imagedata r:id="rId48" o:title=""/>
            </v:shape>
            <v:shape style="position:absolute;left:8236;top:3150;width:1076;height:389" type="#_x0000_t75" id="docshape50" stroked="false">
              <v:imagedata r:id="rId49" o:title=""/>
            </v:shape>
            <v:shape style="position:absolute;left:7963;top:2963;width:135;height:135" type="#_x0000_t75" id="docshape51" stroked="false">
              <v:imagedata r:id="rId50" o:title=""/>
            </v:shape>
            <v:line style="position:absolute" from="2894,3535" to="2894,3852" stroked="true" strokeweight=".93168pt" strokecolor="#404040">
              <v:stroke dashstyle="solid"/>
            </v:line>
            <v:shape style="position:absolute;left:2145;top:3976;width:1556;height:504" type="#_x0000_t75" id="docshape52" stroked="false">
              <v:imagedata r:id="rId51" o:title=""/>
            </v:shape>
            <v:shape style="position:absolute;left:2196;top:4379;width:1280;height:106" type="#_x0000_t75" id="docshape53" stroked="false">
              <v:imagedata r:id="rId52" o:title=""/>
            </v:shape>
            <v:shape style="position:absolute;left:2227;top:3976;width:1469;height:202" type="#_x0000_t75" id="docshape54" stroked="false">
              <v:imagedata r:id="rId53" o:title=""/>
            </v:shape>
            <v:shape style="position:absolute;left:3489;top:4178;width:212;height:303" type="#_x0000_t75" id="docshape55" stroked="false">
              <v:imagedata r:id="rId54" o:title=""/>
            </v:shape>
            <v:shape style="position:absolute;left:2145;top:4058;width:68;height:319" type="#_x0000_t75" id="docshape56" stroked="false">
              <v:imagedata r:id="rId55" o:title=""/>
            </v:shape>
            <v:shape style="position:absolute;left:2121;top:3952;width:1551;height:504" type="#_x0000_t75" id="docshape57" stroked="false">
              <v:imagedata r:id="rId56" o:title=""/>
            </v:shape>
            <v:shape style="position:absolute;left:2121;top:3952;width:1551;height:504" id="docshape58" coordorigin="2122,3953" coordsize="1551,504" path="m2371,4457l3422,4457,3502,4443,3570,4407,3624,4352,3659,4282,3672,4202,3659,4123,3624,4054,3570,4000,3502,3965,3422,3953,2371,3953,2292,3965,2223,4000,2169,4054,2134,4123,2122,4202,2134,4282,2169,4352,2223,4407,2292,4443,2371,4457xe" filled="false" stroked="true" strokeweight=".2328pt" strokecolor="#404040">
              <v:path arrowok="t"/>
              <v:stroke dashstyle="solid"/>
            </v:shape>
            <v:shape style="position:absolute;left:2318;top:4053;width:1176;height:389" type="#_x0000_t75" id="docshape59" stroked="false">
              <v:imagedata r:id="rId57" o:title=""/>
            </v:shape>
            <v:shape style="position:absolute;left:2193;top:4235;width:1426;height:303" type="#_x0000_t75" id="docshape60" stroked="false">
              <v:imagedata r:id="rId58" o:title=""/>
            </v:shape>
            <v:shape style="position:absolute;left:2832;top:3822;width:130;height:130" id="docshape61" coordorigin="2832,3823" coordsize="130,130" path="m2894,3953l2832,3823,2863,3834,2897,3837,2931,3834,2962,3823,2894,3953xe" filled="true" fillcolor="#404040" stroked="false">
              <v:path arrowok="t"/>
              <v:fill type="solid"/>
            </v:shape>
            <v:line style="position:absolute" from="8765,3535" to="8765,3852" stroked="true" strokeweight=".93168pt" strokecolor="#404040">
              <v:stroke dashstyle="solid"/>
            </v:line>
            <v:shape style="position:absolute;left:8121;top:3976;width:1344;height:1008" type="#_x0000_t75" id="docshape62" stroked="false">
              <v:imagedata r:id="rId59" o:title=""/>
            </v:shape>
            <v:shape style="position:absolute;left:8097;top:3952;width:1340;height:1004" type="#_x0000_t75" id="docshape63" stroked="false">
              <v:imagedata r:id="rId60" o:title=""/>
            </v:shape>
            <v:rect style="position:absolute;left:8097;top:3952;width:1340;height:1004" id="docshape64" filled="false" stroked="true" strokeweight=".2328pt" strokecolor="#404040">
              <v:stroke dashstyle="solid"/>
            </v:rect>
            <v:shape style="position:absolute;left:8246;top:4221;width:1076;height:288" type="#_x0000_t75" id="docshape65" stroked="false">
              <v:imagedata r:id="rId61" o:title=""/>
            </v:shape>
            <v:shape style="position:absolute;left:8188;top:4394;width:1152;height:303" type="#_x0000_t75" id="docshape66" stroked="false">
              <v:imagedata r:id="rId62" o:title=""/>
            </v:shape>
            <v:shape style="position:absolute;left:8414;top:4576;width:730;height:303" type="#_x0000_t75" id="docshape67" stroked="false">
              <v:imagedata r:id="rId63" o:title=""/>
            </v:shape>
            <v:shape style="position:absolute;left:8702;top:3822;width:130;height:130" id="docshape68" coordorigin="8702,3823" coordsize="130,130" path="m8765,3953l8702,3823,8733,3834,8765,3837,8799,3834,8832,3823,8765,3953xe" filled="true" fillcolor="#404040" stroked="false">
              <v:path arrowok="t"/>
              <v:fill type="solid"/>
            </v:shape>
            <v:line style="position:absolute" from="8765,4956" to="8765,5277" stroked="true" strokeweight=".93168pt" strokecolor="#404040">
              <v:stroke dashstyle="solid"/>
            </v:line>
            <v:shape style="position:absolute;left:7406;top:5402;width:2775;height:1008" type="#_x0000_t75" id="docshape69" stroked="false">
              <v:imagedata r:id="rId64" o:title=""/>
            </v:shape>
            <v:shape style="position:absolute;left:7382;top:5373;width:2770;height:1008" type="#_x0000_t75" id="docshape70" stroked="false">
              <v:imagedata r:id="rId65" o:title=""/>
            </v:shape>
            <v:rect style="position:absolute;left:7382;top:5373;width:2770;height:1008" id="docshape71" filled="false" stroked="true" strokeweight=".2328pt" strokecolor="#404040">
              <v:stroke dashstyle="solid"/>
            </v:rect>
            <v:shape style="position:absolute;left:7588;top:5550;width:2381;height:389" type="#_x0000_t75" id="docshape72" stroked="false">
              <v:imagedata r:id="rId66" o:title=""/>
            </v:shape>
            <v:shape style="position:absolute;left:7574;top:5723;width:2410;height:394" type="#_x0000_t75" id="docshape73" stroked="false">
              <v:imagedata r:id="rId67" o:title=""/>
            </v:shape>
            <v:shape style="position:absolute;left:7488;top:5910;width:2573;height:389" type="#_x0000_t75" id="docshape74" stroked="false">
              <v:imagedata r:id="rId68" o:title=""/>
            </v:shape>
            <v:shape style="position:absolute;left:7761;top:6088;width:2036;height:389" type="#_x0000_t75" id="docshape75" stroked="false">
              <v:imagedata r:id="rId69" o:title=""/>
            </v:shape>
            <v:shape style="position:absolute;left:8702;top:5243;width:130;height:130" id="docshape76" coordorigin="8702,5244" coordsize="130,130" path="m8765,5373l8702,5244,8733,5255,8765,5258,8799,5255,8832,5244,8765,5373xe" filled="true" fillcolor="#404040" stroked="false">
              <v:path arrowok="t"/>
              <v:fill type="solid"/>
            </v:shape>
            <v:line style="position:absolute" from="8765,6381" to="8765,6698" stroked="true" strokeweight=".93168pt" strokecolor="#404040">
              <v:stroke dashstyle="solid"/>
            </v:line>
            <v:shape style="position:absolute;left:8121;top:6822;width:1344;height:1013" type="#_x0000_t75" id="docshape77" stroked="false">
              <v:imagedata r:id="rId70" o:title=""/>
            </v:shape>
            <v:shape style="position:absolute;left:8097;top:6798;width:1340;height:1004" type="#_x0000_t75" id="docshape78" stroked="false">
              <v:imagedata r:id="rId71" o:title=""/>
            </v:shape>
            <v:rect style="position:absolute;left:8097;top:6798;width:1340;height:1004" id="docshape79" filled="false" stroked="true" strokeweight=".2328pt" strokecolor="#404040">
              <v:stroke dashstyle="solid"/>
            </v:rect>
            <v:shape style="position:absolute;left:8227;top:7067;width:879;height:375" type="#_x0000_t75" id="docshape80" stroked="false">
              <v:imagedata r:id="rId72" o:title=""/>
            </v:shape>
            <v:shape style="position:absolute;left:9115;top:7067;width:231;height:288" type="#_x0000_t75" id="docshape81" stroked="false">
              <v:imagedata r:id="rId73" o:title=""/>
            </v:shape>
            <v:shape style="position:absolute;left:8217;top:7245;width:1114;height:303" type="#_x0000_t75" id="docshape82" stroked="false">
              <v:imagedata r:id="rId74" o:title=""/>
            </v:shape>
            <v:shape style="position:absolute;left:8179;top:7427;width:418;height:288" type="#_x0000_t75" id="docshape83" stroked="false">
              <v:imagedata r:id="rId75" o:title=""/>
            </v:shape>
            <v:shape style="position:absolute;left:8635;top:7422;width:730;height:389" type="#_x0000_t75" id="docshape84" stroked="false">
              <v:imagedata r:id="rId76" o:title=""/>
            </v:shape>
            <v:shape style="position:absolute;left:8702;top:6669;width:130;height:130" id="docshape85" coordorigin="8702,6669" coordsize="130,130" path="m8765,6799l8702,6669,8733,6680,8765,6684,8799,6680,8832,6669,8765,6799xe" filled="true" fillcolor="#404040" stroked="false">
              <v:path arrowok="t"/>
              <v:fill type="solid"/>
            </v:shape>
            <v:line style="position:absolute" from="8765,7802" to="8765,8124" stroked="true" strokeweight=".93168pt" strokecolor="#404040">
              <v:stroke dashstyle="solid"/>
            </v:line>
            <v:shape style="position:absolute;left:8121;top:8248;width:1344;height:1008" type="#_x0000_t75" id="docshape86" stroked="false">
              <v:imagedata r:id="rId77" o:title=""/>
            </v:shape>
            <v:shape style="position:absolute;left:8097;top:8224;width:1340;height:1004" type="#_x0000_t75" id="docshape87" stroked="false">
              <v:imagedata r:id="rId78" o:title=""/>
            </v:shape>
            <v:rect style="position:absolute;left:8097;top:8224;width:1340;height:1004" id="docshape88" filled="false" stroked="true" strokeweight=".2328pt" strokecolor="#404040">
              <v:stroke dashstyle="solid"/>
            </v:rect>
            <v:shape style="position:absolute;left:8164;top:8579;width:1229;height:389" type="#_x0000_t75" id="docshape89" stroked="false">
              <v:imagedata r:id="rId79" o:title=""/>
            </v:shape>
            <v:shape style="position:absolute;left:8313;top:8762;width:255;height:288" type="#_x0000_t75" id="docshape90" stroked="false">
              <v:imagedata r:id="rId80" o:title=""/>
            </v:shape>
            <v:shape style="position:absolute;left:8601;top:8757;width:615;height:303" type="#_x0000_t75" id="docshape91" stroked="false">
              <v:imagedata r:id="rId81" o:title=""/>
            </v:shape>
            <v:shape style="position:absolute;left:8702;top:8090;width:130;height:135" id="docshape92" coordorigin="8702,8090" coordsize="130,135" path="m8765,8225l8702,8090,8733,8104,8765,8108,8799,8104,8832,8090,8765,8225xe" filled="true" fillcolor="#404040" stroked="false">
              <v:path arrowok="t"/>
              <v:fill type="solid"/>
            </v:shape>
            <v:line style="position:absolute" from="8765,9228" to="8765,9549" stroked="true" strokeweight=".93168pt" strokecolor="#404040">
              <v:stroke dashstyle="solid"/>
            </v:line>
            <v:shape style="position:absolute;left:7411;top:9674;width:2765;height:1104" type="#_x0000_t75" id="docshape93" stroked="false">
              <v:imagedata r:id="rId82" o:title=""/>
            </v:shape>
            <v:shape style="position:absolute;left:7800;top:10142;width:2381;height:641" type="#_x0000_t75" id="docshape94" stroked="false">
              <v:imagedata r:id="rId83" o:title=""/>
            </v:shape>
            <v:shape style="position:absolute;left:7406;top:10168;width:394;height:586" type="#_x0000_t75" id="docshape95" stroked="false">
              <v:imagedata r:id="rId84" o:title=""/>
            </v:shape>
            <v:shape style="position:absolute;left:7427;top:9879;width:103;height:201" type="#_x0000_t75" id="docshape96" stroked="false">
              <v:imagedata r:id="rId85" o:title=""/>
            </v:shape>
            <v:shape style="position:absolute;left:7536;top:9726;width:188;height:144" type="#_x0000_t75" id="docshape97" stroked="false">
              <v:imagedata r:id="rId86" o:title=""/>
            </v:shape>
            <v:shape style="position:absolute;left:9864;top:9726;width:307;height:413" type="#_x0000_t75" id="docshape98" stroked="false">
              <v:imagedata r:id="rId87" o:title=""/>
            </v:shape>
            <v:shape style="position:absolute;left:7888;top:9669;width:1794;height:8" type="#_x0000_t75" id="docshape99" stroked="false">
              <v:imagedata r:id="rId88" o:title=""/>
            </v:shape>
            <v:shape style="position:absolute;left:7382;top:9645;width:2770;height:1109" type="#_x0000_t75" id="docshape100" stroked="false">
              <v:imagedata r:id="rId89" o:title=""/>
            </v:shape>
            <v:shape style="position:absolute;left:7382;top:9645;width:2770;height:1109" id="docshape101" coordorigin="7382,9645" coordsize="2770,1109" path="m7934,10754l9595,10754,9671,10749,9743,10734,9812,10710,9876,10678,9935,10638,9989,10591,10036,10537,10076,10478,10108,10414,10132,10345,10147,10273,10152,10197,10147,10123,10132,10051,10108,9984,10076,9920,10036,9861,9989,9808,9935,9761,9876,9721,9812,9689,9743,9665,9671,9650,9595,9645,7934,9645,7860,9650,7789,9665,7721,9689,7657,9721,7598,9761,7545,9808,7498,9861,7458,9920,7426,9984,7402,10051,7387,10123,7382,10197,7387,10273,7402,10345,7426,10414,7458,10478,7498,10537,7545,10591,7598,10638,7657,10678,7721,10710,7789,10734,7860,10749,7934,10754xe" filled="false" stroked="true" strokeweight=".2328pt" strokecolor="#404040">
              <v:path arrowok="t"/>
              <v:stroke dashstyle="solid"/>
            </v:shape>
            <v:shape style="position:absolute;left:7646;top:9870;width:2266;height:389" type="#_x0000_t75" id="docshape102" stroked="false">
              <v:imagedata r:id="rId90" o:title=""/>
            </v:shape>
            <v:shape style="position:absolute;left:7555;top:10053;width:2170;height:303" type="#_x0000_t75" id="docshape103" stroked="false">
              <v:imagedata r:id="rId91" o:title=""/>
            </v:shape>
            <v:shape style="position:absolute;left:9758;top:10053;width:231;height:303" type="#_x0000_t75" id="docshape104" stroked="false">
              <v:imagedata r:id="rId92" o:title=""/>
            </v:shape>
            <v:shape style="position:absolute;left:7728;top:10230;width:2103;height:389" type="#_x0000_t75" id="docshape105" stroked="false">
              <v:imagedata r:id="rId93" o:title=""/>
            </v:shape>
            <v:shape style="position:absolute;left:7944;top:10408;width:1004;height:389" type="#_x0000_t75" id="docshape106" stroked="false">
              <v:imagedata r:id="rId94" o:title=""/>
            </v:shape>
            <v:shape style="position:absolute;left:8942;top:10413;width:226;height:288" type="#_x0000_t75" id="docshape107" stroked="false">
              <v:imagedata r:id="rId95" o:title=""/>
            </v:shape>
            <v:shape style="position:absolute;left:9182;top:10413;width:413;height:288" type="#_x0000_t75" id="docshape108" stroked="false">
              <v:imagedata r:id="rId96" o:title=""/>
            </v:shape>
            <v:shape style="position:absolute;left:8702;top:9515;width:130;height:130" id="docshape109" coordorigin="8702,9516" coordsize="130,130" path="m8765,9645l8702,9516,8733,9527,8765,9530,8799,9527,8832,9516,8765,9645xe" filled="true" fillcolor="#404040" stroked="false">
              <v:path arrowok="t"/>
              <v:fill type="solid"/>
            </v:shape>
            <w10:wrap type="topAndBottom"/>
          </v:group>
        </w:pict>
      </w:r>
    </w:p>
    <w:p>
      <w:pPr>
        <w:spacing w:after="0"/>
        <w:rPr>
          <w:sz w:val="13"/>
        </w:rPr>
        <w:sectPr>
          <w:pgSz w:w="12240" w:h="15840"/>
          <w:pgMar w:header="725" w:footer="867" w:top="2520" w:bottom="1260" w:left="900" w:right="96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spacing w:before="94"/>
        <w:ind w:left="1087" w:right="0" w:firstLine="0"/>
        <w:jc w:val="left"/>
        <w:rPr>
          <w:b/>
          <w:sz w:val="22"/>
        </w:rPr>
      </w:pPr>
      <w:bookmarkStart w:name="Appendix B:  Escalation and Resolution o" w:id="19"/>
      <w:bookmarkEnd w:id="19"/>
      <w:r>
        <w:rPr/>
      </w:r>
      <w:r>
        <w:rPr>
          <w:b/>
          <w:sz w:val="22"/>
        </w:rPr>
        <w:t>Appendix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54"/>
          <w:sz w:val="22"/>
        </w:rPr>
        <w:t> </w:t>
      </w:r>
      <w:r>
        <w:rPr>
          <w:b/>
          <w:sz w:val="22"/>
        </w:rPr>
        <w:t>Escalation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Resolution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Follow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up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Laboratory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Alerts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17"/>
        </w:rPr>
      </w:pPr>
      <w:r>
        <w:rPr/>
        <w:pict>
          <v:group style="position:absolute;margin-left:221.61528pt;margin-top:11.024916pt;width:168.65pt;height:347.95pt;mso-position-horizontal-relative:page;mso-position-vertical-relative:paragraph;z-index:-15727104;mso-wrap-distance-left:0;mso-wrap-distance-right:0" id="docshapegroup112" coordorigin="4432,220" coordsize="3373,6959">
            <v:shape style="position:absolute;left:4464;top:252;width:3341;height:840" type="#_x0000_t75" id="docshape113" stroked="false">
              <v:imagedata r:id="rId99" o:title=""/>
            </v:shape>
            <v:shape style="position:absolute;left:4435;top:223;width:3336;height:836" type="#_x0000_t75" id="docshape114" stroked="false">
              <v:imagedata r:id="rId100" o:title=""/>
            </v:shape>
            <v:rect style="position:absolute;left:4435;top:223;width:3336;height:836" id="docshape115" filled="false" stroked="true" strokeweight=".289438pt" strokecolor="#404040">
              <v:stroke dashstyle="solid"/>
            </v:rect>
            <v:shape style="position:absolute;left:4718;top:463;width:1479;height:360" type="#_x0000_t75" id="docshape116" stroked="false">
              <v:imagedata r:id="rId101" o:title=""/>
            </v:shape>
            <v:shape style="position:absolute;left:6249;top:458;width:1268;height:476" type="#_x0000_t75" id="docshape117" stroked="false">
              <v:imagedata r:id="rId102" o:title=""/>
            </v:shape>
            <v:shape style="position:absolute;left:5016;top:679;width:2189;height:375" type="#_x0000_t75" id="docshape118" stroked="false">
              <v:imagedata r:id="rId103" o:title=""/>
            </v:shape>
            <v:line style="position:absolute" from="6106,1059" to="6106,1558" stroked="true" strokeweight="1.158pt" strokecolor="#404040">
              <v:stroke dashstyle="solid"/>
            </v:line>
            <v:shape style="position:absolute;left:4464;top:1711;width:3341;height:840" type="#_x0000_t75" id="docshape119" stroked="false">
              <v:imagedata r:id="rId104" o:title=""/>
            </v:shape>
            <v:shape style="position:absolute;left:4435;top:1682;width:3336;height:831" type="#_x0000_t75" id="docshape120" stroked="false">
              <v:imagedata r:id="rId105" o:title=""/>
            </v:shape>
            <v:rect style="position:absolute;left:4435;top:1682;width:3336;height:831" id="docshape121" filled="false" stroked="true" strokeweight=".289438pt" strokecolor="#404040">
              <v:stroke dashstyle="solid"/>
            </v:rect>
            <v:shape style="position:absolute;left:4564;top:1913;width:3072;height:476" type="#_x0000_t75" id="docshape122" stroked="false">
              <v:imagedata r:id="rId106" o:title=""/>
            </v:shape>
            <v:shape style="position:absolute;left:5270;top:2143;width:648;height:360" type="#_x0000_t75" id="docshape123" stroked="false">
              <v:imagedata r:id="rId107" o:title=""/>
            </v:shape>
            <v:shape style="position:absolute;left:5976;top:2143;width:999;height:461" type="#_x0000_t75" id="docshape124" stroked="false">
              <v:imagedata r:id="rId108" o:title=""/>
            </v:shape>
            <v:shape style="position:absolute;left:6024;top:1519;width:159;height:164" type="#_x0000_t75" id="docshape125" stroked="false">
              <v:imagedata r:id="rId109" o:title=""/>
            </v:shape>
            <v:line style="position:absolute" from="6106,2513" to="6106,3012" stroked="true" strokeweight="1.158pt" strokecolor="#404040">
              <v:stroke dashstyle="solid"/>
            </v:line>
            <v:shape style="position:absolute;left:4468;top:3170;width:3336;height:836" type="#_x0000_t75" id="docshape126" stroked="false">
              <v:imagedata r:id="rId110" o:title=""/>
            </v:shape>
            <v:shape style="position:absolute;left:4435;top:3137;width:3336;height:836" type="#_x0000_t75" id="docshape127" stroked="false">
              <v:imagedata r:id="rId111" o:title=""/>
            </v:shape>
            <v:rect style="position:absolute;left:4435;top:3137;width:3336;height:836" id="docshape128" filled="false" stroked="true" strokeweight=".289438pt" strokecolor="#404040">
              <v:stroke dashstyle="solid"/>
            </v:rect>
            <v:shape style="position:absolute;left:4660;top:3372;width:2612;height:476" type="#_x0000_t75" id="docshape129" stroked="false">
              <v:imagedata r:id="rId112" o:title=""/>
            </v:shape>
            <v:shape style="position:absolute;left:7334;top:3377;width:202;height:360" type="#_x0000_t75" id="docshape130" stroked="false">
              <v:imagedata r:id="rId113" o:title=""/>
            </v:shape>
            <v:shape style="position:absolute;left:4675;top:3593;width:2880;height:476" type="#_x0000_t75" id="docshape131" stroked="false">
              <v:imagedata r:id="rId114" o:title=""/>
            </v:shape>
            <v:shape style="position:absolute;left:6024;top:2973;width:159;height:164" type="#_x0000_t75" id="docshape132" stroked="false">
              <v:imagedata r:id="rId115" o:title=""/>
            </v:shape>
            <v:line style="position:absolute" from="6106,3972" to="6106,4524" stroked="true" strokeweight="1.158pt" strokecolor="#404040">
              <v:stroke dashstyle="solid"/>
            </v:line>
            <v:shape style="position:absolute;left:4464;top:4677;width:3341;height:1047" type="#_x0000_t75" id="docshape133" stroked="false">
              <v:imagedata r:id="rId116" o:title=""/>
            </v:shape>
            <v:shape style="position:absolute;left:4435;top:4649;width:3336;height:1037" type="#_x0000_t75" id="docshape134" stroked="false">
              <v:imagedata r:id="rId117" o:title=""/>
            </v:shape>
            <v:rect style="position:absolute;left:4435;top:4649;width:3336;height:1037" id="docshape135" filled="false" stroked="true" strokeweight=".289438pt" strokecolor="#404040">
              <v:stroke dashstyle="solid"/>
            </v:rect>
            <v:shape style="position:absolute;left:4675;top:4985;width:2237;height:375" type="#_x0000_t75" id="docshape136" stroked="false">
              <v:imagedata r:id="rId118" o:title=""/>
            </v:shape>
            <v:shape style="position:absolute;left:6969;top:4989;width:576;height:461" type="#_x0000_t75" id="docshape137" stroked="false">
              <v:imagedata r:id="rId119" o:title=""/>
            </v:shape>
            <v:shape style="position:absolute;left:4507;top:5201;width:1080;height:490" type="#_x0000_t75" id="docshape138" stroked="false">
              <v:imagedata r:id="rId120" o:title=""/>
            </v:shape>
            <v:shape style="position:absolute;left:5596;top:5205;width:1844;height:375" type="#_x0000_t75" id="docshape139" stroked="false">
              <v:imagedata r:id="rId121" o:title=""/>
            </v:shape>
            <v:shape style="position:absolute;left:7488;top:5201;width:212;height:490" type="#_x0000_t75" id="docshape140" stroked="false">
              <v:imagedata r:id="rId122" o:title=""/>
            </v:shape>
            <v:shape style="position:absolute;left:6024;top:4485;width:159;height:164" type="#_x0000_t75" id="docshape141" stroked="false">
              <v:imagedata r:id="rId109" o:title=""/>
            </v:shape>
            <v:line style="position:absolute" from="6106,5686" to="6106,6190" stroked="true" strokeweight="1.158pt" strokecolor="#404040">
              <v:stroke dashstyle="solid"/>
            </v:line>
            <v:shape style="position:absolute;left:4468;top:6343;width:3336;height:836" type="#_x0000_t75" id="docshape142" stroked="false">
              <v:imagedata r:id="rId123" o:title=""/>
            </v:shape>
            <v:shape style="position:absolute;left:4435;top:6309;width:3336;height:836" type="#_x0000_t75" id="docshape143" stroked="false">
              <v:imagedata r:id="rId124" o:title=""/>
            </v:shape>
            <v:rect style="position:absolute;left:4435;top:6309;width:3336;height:836" id="docshape144" filled="false" stroked="true" strokeweight=".289438pt" strokecolor="#404040">
              <v:stroke dashstyle="solid"/>
            </v:rect>
            <v:shape style="position:absolute;left:4540;top:6535;width:1373;height:485" type="#_x0000_t75" id="docshape145" stroked="false">
              <v:imagedata r:id="rId125" o:title=""/>
            </v:shape>
            <v:shape style="position:absolute;left:5918;top:6545;width:1253;height:476" type="#_x0000_t75" id="docshape146" stroked="false">
              <v:imagedata r:id="rId126" o:title=""/>
            </v:shape>
            <v:shape style="position:absolute;left:7228;top:6583;width:461;height:360" type="#_x0000_t75" id="docshape147" stroked="false">
              <v:imagedata r:id="rId127" o:title=""/>
            </v:shape>
            <v:shape style="position:absolute;left:5049;top:6765;width:2112;height:375" type="#_x0000_t75" id="docshape148" stroked="false">
              <v:imagedata r:id="rId128" o:title=""/>
            </v:shape>
            <v:shape style="position:absolute;left:6024;top:6151;width:159;height:159" type="#_x0000_t75" id="docshape149" stroked="false">
              <v:imagedata r:id="rId129" o:title=""/>
            </v:shape>
            <w10:wrap type="topAndBottom"/>
          </v:group>
        </w:pic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2"/>
        <w:rPr>
          <w:b/>
          <w:sz w:val="17"/>
        </w:rPr>
      </w:pPr>
      <w:r>
        <w:rPr/>
        <w:pict>
          <v:rect style="position:absolute;margin-left:66pt;margin-top:11.114658pt;width:475.44pt;height:.24pt;mso-position-horizontal-relative:page;mso-position-vertical-relative:paragraph;z-index:-15726592;mso-wrap-distance-left:0;mso-wrap-distance-right:0" id="docshape150" filled="true" fillcolor="#000000" stroked="false">
            <v:fill type="solid"/>
            <w10:wrap type="topAndBottom"/>
          </v:rect>
        </w:pict>
      </w:r>
    </w:p>
    <w:p>
      <w:pPr>
        <w:pStyle w:val="BodyText"/>
        <w:spacing w:line="183" w:lineRule="exact" w:before="22"/>
        <w:ind w:left="4764"/>
      </w:pPr>
      <w:r>
        <w:rPr/>
        <w:t>Page</w:t>
      </w:r>
      <w:r>
        <w:rPr>
          <w:spacing w:val="-2"/>
        </w:rPr>
        <w:t> </w:t>
      </w:r>
      <w:r>
        <w:rPr/>
        <w:t>7</w:t>
      </w:r>
      <w:r>
        <w:rPr>
          <w:spacing w:val="-4"/>
        </w:rPr>
        <w:t> </w:t>
      </w:r>
      <w:r>
        <w:rPr/>
        <w:t>of</w:t>
      </w:r>
      <w:r>
        <w:rPr>
          <w:spacing w:val="-3"/>
        </w:rPr>
        <w:t> </w:t>
      </w:r>
      <w:r>
        <w:rPr>
          <w:spacing w:val="-10"/>
        </w:rPr>
        <w:t>7</w:t>
      </w:r>
    </w:p>
    <w:p>
      <w:pPr>
        <w:pStyle w:val="BodyText"/>
        <w:ind w:left="540" w:right="437"/>
      </w:pPr>
      <w:r>
        <w:rPr/>
        <w:t>Copyright</w:t>
      </w:r>
      <w:r>
        <w:rPr>
          <w:spacing w:val="-2"/>
        </w:rPr>
        <w:t> </w:t>
      </w:r>
      <w:r>
        <w:rPr/>
        <w:t>©</w:t>
      </w:r>
      <w:r>
        <w:rPr>
          <w:spacing w:val="-2"/>
        </w:rPr>
        <w:t> </w:t>
      </w:r>
      <w:r>
        <w:rPr/>
        <w:t>2002,</w:t>
      </w:r>
      <w:r>
        <w:rPr>
          <w:spacing w:val="-2"/>
        </w:rPr>
        <w:t> </w:t>
      </w:r>
      <w:r>
        <w:rPr/>
        <w:t>2006,</w:t>
      </w:r>
      <w:r>
        <w:rPr>
          <w:spacing w:val="-2"/>
        </w:rPr>
        <w:t> </w:t>
      </w:r>
      <w:r>
        <w:rPr/>
        <w:t>2009,</w:t>
      </w:r>
      <w:r>
        <w:rPr>
          <w:spacing w:val="-2"/>
        </w:rPr>
        <w:t> </w:t>
      </w:r>
      <w:r>
        <w:rPr/>
        <w:t>2011,</w:t>
      </w:r>
      <w:r>
        <w:rPr>
          <w:spacing w:val="-2"/>
        </w:rPr>
        <w:t> </w:t>
      </w:r>
      <w:r>
        <w:rPr/>
        <w:t>2013,</w:t>
      </w:r>
      <w:r>
        <w:rPr>
          <w:spacing w:val="-2"/>
        </w:rPr>
        <w:t> </w:t>
      </w:r>
      <w:r>
        <w:rPr/>
        <w:t>2016,</w:t>
      </w:r>
      <w:r>
        <w:rPr>
          <w:spacing w:val="-2"/>
        </w:rPr>
        <w:t> </w:t>
      </w:r>
      <w:r>
        <w:rPr/>
        <w:t>2018,</w:t>
      </w:r>
      <w:r>
        <w:rPr>
          <w:spacing w:val="-3"/>
        </w:rPr>
        <w:t> </w:t>
      </w:r>
      <w:r>
        <w:rPr/>
        <w:t>2019,</w:t>
      </w:r>
      <w:r>
        <w:rPr>
          <w:spacing w:val="-3"/>
        </w:rPr>
        <w:t> </w:t>
      </w:r>
      <w:r>
        <w:rPr/>
        <w:t>2021</w:t>
      </w:r>
      <w:r>
        <w:rPr>
          <w:spacing w:val="-2"/>
        </w:rPr>
        <w:t> </w:t>
      </w:r>
      <w:r>
        <w:rPr/>
        <w:t>IQVIA.</w:t>
      </w:r>
      <w:r>
        <w:rPr>
          <w:spacing w:val="-2"/>
        </w:rPr>
        <w:t> </w:t>
      </w:r>
      <w:r>
        <w:rPr/>
        <w:t>All</w:t>
      </w:r>
      <w:r>
        <w:rPr>
          <w:spacing w:val="-2"/>
        </w:rPr>
        <w:t> </w:t>
      </w:r>
      <w:r>
        <w:rPr/>
        <w:t>rights</w:t>
      </w:r>
      <w:r>
        <w:rPr>
          <w:spacing w:val="-2"/>
        </w:rPr>
        <w:t> </w:t>
      </w:r>
      <w:r>
        <w:rPr/>
        <w:t>reserved.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contents</w:t>
      </w:r>
      <w:r>
        <w:rPr>
          <w:spacing w:val="-2"/>
        </w:rPr>
        <w:t> </w:t>
      </w:r>
      <w:r>
        <w:rPr/>
        <w:t>of</w:t>
      </w:r>
      <w:r>
        <w:rPr>
          <w:spacing w:val="-3"/>
        </w:rPr>
        <w:t> </w:t>
      </w:r>
      <w:r>
        <w:rPr/>
        <w:t>this</w:t>
      </w:r>
      <w:r>
        <w:rPr>
          <w:spacing w:val="-2"/>
        </w:rPr>
        <w:t> </w:t>
      </w:r>
      <w:r>
        <w:rPr/>
        <w:t>document</w:t>
      </w:r>
      <w:r>
        <w:rPr>
          <w:spacing w:val="-3"/>
        </w:rPr>
        <w:t> </w:t>
      </w:r>
      <w:r>
        <w:rPr/>
        <w:t>are confidential and proprietary to IQVIA Holdings Inc. and its subsidiaries. Unauthorized use, disclosure or reproduction is strictly </w:t>
      </w:r>
      <w:r>
        <w:rPr>
          <w:spacing w:val="-2"/>
        </w:rPr>
        <w:t>prohibited.</w:t>
      </w:r>
    </w:p>
    <w:p>
      <w:pPr>
        <w:spacing w:after="0"/>
        <w:sectPr>
          <w:headerReference w:type="default" r:id="rId97"/>
          <w:footerReference w:type="default" r:id="rId98"/>
          <w:pgSz w:w="12240" w:h="15840"/>
          <w:pgMar w:header="725" w:footer="224" w:top="2520" w:bottom="420" w:left="900" w:right="960"/>
        </w:sectPr>
      </w:pPr>
    </w:p>
    <w:p>
      <w:pPr>
        <w:spacing w:line="321" w:lineRule="exact" w:before="79"/>
        <w:ind w:left="606" w:right="516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1200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7" name="image11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117.png"/>
                    <pic:cNvPicPr/>
                  </pic:nvPicPr>
                  <pic:blipFill>
                    <a:blip r:embed="rId1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252166029_1_0_sgTemplateFile.pdf" w:id="20"/>
      <w:bookmarkEnd w:id="20"/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spacing w:line="252" w:lineRule="exact" w:before="0"/>
        <w:ind w:left="606" w:right="549" w:firstLine="0"/>
        <w:jc w:val="center"/>
        <w:rPr>
          <w:sz w:val="22"/>
        </w:rPr>
      </w:pPr>
      <w:r>
        <w:rPr>
          <w:sz w:val="22"/>
        </w:rPr>
        <w:t>This</w:t>
      </w:r>
      <w:r>
        <w:rPr>
          <w:spacing w:val="-6"/>
          <w:sz w:val="22"/>
        </w:rPr>
        <w:t> </w:t>
      </w:r>
      <w:r>
        <w:rPr>
          <w:sz w:val="22"/>
        </w:rPr>
        <w:t>is</w:t>
      </w:r>
      <w:r>
        <w:rPr>
          <w:spacing w:val="-6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representation</w:t>
      </w:r>
      <w:r>
        <w:rPr>
          <w:spacing w:val="-7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an</w:t>
      </w:r>
      <w:r>
        <w:rPr>
          <w:spacing w:val="-6"/>
          <w:sz w:val="22"/>
        </w:rPr>
        <w:t> </w:t>
      </w:r>
      <w:r>
        <w:rPr>
          <w:sz w:val="22"/>
        </w:rPr>
        <w:t>electronic</w:t>
      </w:r>
      <w:r>
        <w:rPr>
          <w:spacing w:val="-6"/>
          <w:sz w:val="22"/>
        </w:rPr>
        <w:t> </w:t>
      </w:r>
      <w:r>
        <w:rPr>
          <w:sz w:val="22"/>
        </w:rPr>
        <w:t>record</w:t>
      </w:r>
      <w:r>
        <w:rPr>
          <w:spacing w:val="-6"/>
          <w:sz w:val="22"/>
        </w:rPr>
        <w:t> </w:t>
      </w:r>
      <w:r>
        <w:rPr>
          <w:sz w:val="22"/>
        </w:rPr>
        <w:t>that</w:t>
      </w:r>
      <w:r>
        <w:rPr>
          <w:spacing w:val="-6"/>
          <w:sz w:val="22"/>
        </w:rPr>
        <w:t> </w:t>
      </w:r>
      <w:r>
        <w:rPr>
          <w:sz w:val="22"/>
        </w:rPr>
        <w:t>was</w:t>
      </w:r>
      <w:r>
        <w:rPr>
          <w:spacing w:val="-5"/>
          <w:sz w:val="22"/>
        </w:rPr>
        <w:t> </w:t>
      </w:r>
      <w:r>
        <w:rPr>
          <w:sz w:val="22"/>
        </w:rPr>
        <w:t>signed</w:t>
      </w:r>
      <w:r>
        <w:rPr>
          <w:spacing w:val="-6"/>
          <w:sz w:val="22"/>
        </w:rPr>
        <w:t> </w:t>
      </w:r>
      <w:r>
        <w:rPr>
          <w:sz w:val="22"/>
        </w:rPr>
        <w:t>electronically</w:t>
      </w:r>
      <w:r>
        <w:rPr>
          <w:spacing w:val="-6"/>
          <w:sz w:val="22"/>
        </w:rPr>
        <w:t> </w:t>
      </w:r>
      <w:r>
        <w:rPr>
          <w:sz w:val="22"/>
        </w:rPr>
        <w:t>in</w:t>
      </w:r>
      <w:r>
        <w:rPr>
          <w:spacing w:val="-6"/>
          <w:sz w:val="22"/>
        </w:rPr>
        <w:t> </w:t>
      </w:r>
      <w:r>
        <w:rPr>
          <w:sz w:val="22"/>
        </w:rPr>
        <w:t>Content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Server.</w:t>
      </w:r>
    </w:p>
    <w:p>
      <w:pPr>
        <w:spacing w:line="276" w:lineRule="auto" w:before="0"/>
        <w:ind w:left="606" w:right="545" w:firstLine="0"/>
        <w:jc w:val="center"/>
        <w:rPr>
          <w:sz w:val="22"/>
        </w:rPr>
      </w:pPr>
      <w:r>
        <w:rPr>
          <w:sz w:val="22"/>
        </w:rPr>
        <w:t>This</w:t>
      </w:r>
      <w:r>
        <w:rPr>
          <w:spacing w:val="-3"/>
          <w:sz w:val="22"/>
        </w:rPr>
        <w:t> </w:t>
      </w:r>
      <w:r>
        <w:rPr>
          <w:sz w:val="22"/>
        </w:rPr>
        <w:t>page</w:t>
      </w:r>
      <w:r>
        <w:rPr>
          <w:spacing w:val="-3"/>
          <w:sz w:val="22"/>
        </w:rPr>
        <w:t> </w:t>
      </w:r>
      <w:r>
        <w:rPr>
          <w:sz w:val="22"/>
        </w:rPr>
        <w:t>is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manifestation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electronic</w:t>
      </w:r>
      <w:r>
        <w:rPr>
          <w:spacing w:val="-4"/>
          <w:sz w:val="22"/>
        </w:rPr>
        <w:t> </w:t>
      </w:r>
      <w:r>
        <w:rPr>
          <w:sz w:val="22"/>
        </w:rPr>
        <w:t>signature(s)</w:t>
      </w:r>
      <w:r>
        <w:rPr>
          <w:spacing w:val="-3"/>
          <w:sz w:val="22"/>
        </w:rPr>
        <w:t> </w:t>
      </w:r>
      <w:r>
        <w:rPr>
          <w:sz w:val="22"/>
        </w:rPr>
        <w:t>used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compliance</w:t>
      </w:r>
      <w:r>
        <w:rPr>
          <w:spacing w:val="-3"/>
          <w:sz w:val="22"/>
        </w:rPr>
        <w:t> </w:t>
      </w:r>
      <w:r>
        <w:rPr>
          <w:sz w:val="22"/>
        </w:rPr>
        <w:t>with</w:t>
      </w:r>
      <w:r>
        <w:rPr>
          <w:spacing w:val="-3"/>
          <w:sz w:val="22"/>
        </w:rPr>
        <w:t> </w:t>
      </w:r>
      <w:r>
        <w:rPr>
          <w:sz w:val="22"/>
        </w:rPr>
        <w:t>the organization’s electronic signature policies and procedures</w:t>
      </w:r>
    </w:p>
    <w:p>
      <w:pPr>
        <w:spacing w:before="0"/>
        <w:ind w:left="491" w:right="549" w:firstLine="0"/>
        <w:jc w:val="center"/>
        <w:rPr>
          <w:sz w:val="22"/>
        </w:rPr>
      </w:pPr>
      <w:r>
        <w:rPr>
          <w:sz w:val="22"/>
        </w:rPr>
        <w:t>Refer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Signatories</w:t>
      </w:r>
      <w:r>
        <w:rPr>
          <w:spacing w:val="-6"/>
          <w:sz w:val="22"/>
        </w:rPr>
        <w:t> </w:t>
      </w:r>
      <w:r>
        <w:rPr>
          <w:sz w:val="22"/>
        </w:rPr>
        <w:t>CV</w:t>
      </w:r>
      <w:r>
        <w:rPr>
          <w:spacing w:val="-5"/>
          <w:sz w:val="22"/>
        </w:rPr>
        <w:t> </w:t>
      </w:r>
      <w:r>
        <w:rPr>
          <w:sz w:val="22"/>
        </w:rPr>
        <w:t>for</w:t>
      </w:r>
      <w:r>
        <w:rPr>
          <w:spacing w:val="-6"/>
          <w:sz w:val="22"/>
        </w:rPr>
        <w:t> </w:t>
      </w:r>
      <w:r>
        <w:rPr>
          <w:sz w:val="22"/>
        </w:rPr>
        <w:t>Business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5809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Rodrigues,</w:t>
      </w:r>
      <w:r>
        <w:rPr>
          <w:spacing w:val="-11"/>
          <w:sz w:val="20"/>
        </w:rPr>
        <w:t> </w:t>
      </w:r>
      <w:r>
        <w:rPr>
          <w:sz w:val="20"/>
        </w:rPr>
        <w:t>Savitha</w:t>
      </w:r>
      <w:r>
        <w:rPr>
          <w:spacing w:val="36"/>
          <w:sz w:val="20"/>
        </w:rPr>
        <w:t> </w:t>
      </w:r>
      <w:r>
        <w:rPr>
          <w:sz w:val="20"/>
        </w:rPr>
        <w:t>(q743161)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4010" w:firstLine="0"/>
        <w:jc w:val="left"/>
        <w:rPr>
          <w:sz w:val="20"/>
        </w:rPr>
      </w:pPr>
      <w:r>
        <w:rPr>
          <w:sz w:val="20"/>
        </w:rPr>
        <w:t>Date: Monday, 05 April 2021, 01:12 AM</w:t>
      </w:r>
      <w:r>
        <w:rPr>
          <w:spacing w:val="80"/>
          <w:sz w:val="20"/>
        </w:rPr>
        <w:t> </w:t>
      </w:r>
      <w:r>
        <w:rPr>
          <w:sz w:val="20"/>
        </w:rPr>
        <w:t>Eastern Time Meaning:</w:t>
      </w:r>
      <w:r>
        <w:rPr>
          <w:spacing w:val="-6"/>
          <w:sz w:val="20"/>
        </w:rPr>
        <w:t> </w:t>
      </w:r>
      <w:r>
        <w:rPr>
          <w:sz w:val="20"/>
        </w:rPr>
        <w:t>Signing</w:t>
      </w:r>
      <w:r>
        <w:rPr>
          <w:spacing w:val="-6"/>
          <w:sz w:val="20"/>
        </w:rPr>
        <w:t> </w:t>
      </w:r>
      <w:r>
        <w:rPr>
          <w:sz w:val="20"/>
        </w:rPr>
        <w:t>this</w:t>
      </w:r>
      <w:r>
        <w:rPr>
          <w:spacing w:val="-6"/>
          <w:sz w:val="20"/>
        </w:rPr>
        <w:t> </w:t>
      </w:r>
      <w:r>
        <w:rPr>
          <w:sz w:val="20"/>
        </w:rPr>
        <w:t>Document</w:t>
      </w:r>
      <w:r>
        <w:rPr>
          <w:spacing w:val="-7"/>
          <w:sz w:val="20"/>
        </w:rPr>
        <w:t> </w:t>
      </w:r>
      <w:r>
        <w:rPr>
          <w:sz w:val="20"/>
        </w:rPr>
        <w:t>Indicates</w:t>
      </w:r>
      <w:r>
        <w:rPr>
          <w:spacing w:val="-6"/>
          <w:sz w:val="20"/>
        </w:rPr>
        <w:t> </w:t>
      </w:r>
      <w:r>
        <w:rPr>
          <w:sz w:val="20"/>
        </w:rPr>
        <w:t>My</w:t>
      </w:r>
      <w:r>
        <w:rPr>
          <w:spacing w:val="-6"/>
          <w:sz w:val="20"/>
        </w:rPr>
        <w:t> </w:t>
      </w:r>
      <w:r>
        <w:rPr>
          <w:sz w:val="20"/>
        </w:rPr>
        <w:t>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5809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Ferrari,</w:t>
      </w:r>
      <w:r>
        <w:rPr>
          <w:spacing w:val="-10"/>
          <w:sz w:val="20"/>
        </w:rPr>
        <w:t> </w:t>
      </w:r>
      <w:r>
        <w:rPr>
          <w:sz w:val="20"/>
        </w:rPr>
        <w:t>Antonio</w:t>
      </w:r>
      <w:r>
        <w:rPr>
          <w:spacing w:val="37"/>
          <w:sz w:val="20"/>
        </w:rPr>
        <w:t> </w:t>
      </w:r>
      <w:r>
        <w:rPr>
          <w:sz w:val="20"/>
        </w:rPr>
        <w:t>(q844337)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401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06</w:t>
      </w:r>
      <w:r>
        <w:rPr>
          <w:spacing w:val="-5"/>
          <w:sz w:val="20"/>
        </w:rPr>
        <w:t> </w:t>
      </w:r>
      <w:r>
        <w:rPr>
          <w:sz w:val="20"/>
        </w:rPr>
        <w:t>April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04:21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2"/>
          <w:sz w:val="20"/>
        </w:rPr>
        <w:t> </w:t>
      </w:r>
      <w:r>
        <w:rPr>
          <w:sz w:val="20"/>
        </w:rPr>
        <w:t>Signing</w:t>
      </w:r>
      <w:r>
        <w:rPr>
          <w:spacing w:val="-1"/>
          <w:sz w:val="20"/>
        </w:rPr>
        <w:t> </w:t>
      </w:r>
      <w:r>
        <w:rPr>
          <w:sz w:val="20"/>
        </w:rPr>
        <w:t>this</w:t>
      </w:r>
      <w:r>
        <w:rPr>
          <w:spacing w:val="-1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1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30"/>
      <w:footerReference w:type="default" r:id="rId131"/>
      <w:pgSz w:w="12240" w:h="15840"/>
      <w:pgMar w:header="0" w:footer="268" w:top="1360" w:bottom="460" w:left="90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28.640015pt;width:475.44pt;height:.24pt;mso-position-horizontal-relative:page;mso-position-vertical-relative:page;z-index:-16281088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66.440002pt;margin-top:729.35022pt;width:459.7pt;height:54.65pt;mso-position-horizontal-relative:page;mso-position-vertical-relative:page;z-index:-16280576" type="#_x0000_t202" id="docshape2" filled="false" stroked="false">
          <v:textbox inset="0,0,0,0">
            <w:txbxContent>
              <w:p>
                <w:pPr>
                  <w:pStyle w:val="BodyText"/>
                  <w:spacing w:line="183" w:lineRule="exact" w:before="13"/>
                  <w:ind w:left="4335"/>
                </w:pPr>
                <w:r>
                  <w:rPr/>
                  <w:t>Page</w:t>
                </w:r>
                <w:r>
                  <w:rPr>
                    <w:spacing w:val="-2"/>
                  </w:rPr>
                  <w:t> </w:t>
                </w:r>
                <w:r>
                  <w:rPr/>
                  <w:fldChar w:fldCharType="begin"/>
                </w:r>
                <w:r>
                  <w:rPr/>
                  <w:instrText> PAGE </w:instrText>
                </w:r>
                <w:r>
                  <w:rPr/>
                  <w:fldChar w:fldCharType="separate"/>
                </w:r>
                <w:r>
                  <w:rPr/>
                  <w:t>1</w:t>
                </w:r>
                <w:r>
                  <w:rPr/>
                  <w:fldChar w:fldCharType="end"/>
                </w:r>
                <w:r>
                  <w:rPr>
                    <w:spacing w:val="-4"/>
                  </w:rPr>
                  <w:t> </w:t>
                </w:r>
                <w:r>
                  <w:rPr/>
                  <w:t>of</w:t>
                </w:r>
                <w:r>
                  <w:rPr>
                    <w:spacing w:val="-3"/>
                  </w:rPr>
                  <w:t> </w:t>
                </w:r>
                <w:r>
                  <w:rPr>
                    <w:spacing w:val="-10"/>
                  </w:rPr>
                  <w:t>7</w:t>
                </w:r>
              </w:p>
              <w:p>
                <w:pPr>
                  <w:pStyle w:val="BodyText"/>
                  <w:ind w:left="20"/>
                </w:pPr>
                <w:r>
                  <w:rPr/>
                  <w:t>Copyright</w:t>
                </w:r>
                <w:r>
                  <w:rPr>
                    <w:spacing w:val="-2"/>
                  </w:rPr>
                  <w:t> </w:t>
                </w:r>
                <w:r>
                  <w:rPr/>
                  <w:t>©</w:t>
                </w:r>
                <w:r>
                  <w:rPr>
                    <w:spacing w:val="-4"/>
                  </w:rPr>
                  <w:t> </w:t>
                </w:r>
                <w:r>
                  <w:rPr/>
                  <w:t>2002,</w:t>
                </w:r>
                <w:r>
                  <w:rPr>
                    <w:spacing w:val="-2"/>
                  </w:rPr>
                  <w:t> </w:t>
                </w:r>
                <w:r>
                  <w:rPr/>
                  <w:t>2006,</w:t>
                </w:r>
                <w:r>
                  <w:rPr>
                    <w:spacing w:val="-2"/>
                  </w:rPr>
                  <w:t> </w:t>
                </w:r>
                <w:r>
                  <w:rPr/>
                  <w:t>2009,</w:t>
                </w:r>
                <w:r>
                  <w:rPr>
                    <w:spacing w:val="-2"/>
                  </w:rPr>
                  <w:t> </w:t>
                </w:r>
                <w:r>
                  <w:rPr/>
                  <w:t>2011,</w:t>
                </w:r>
                <w:r>
                  <w:rPr>
                    <w:spacing w:val="-2"/>
                  </w:rPr>
                  <w:t> </w:t>
                </w:r>
                <w:r>
                  <w:rPr/>
                  <w:t>2013,</w:t>
                </w:r>
                <w:r>
                  <w:rPr>
                    <w:spacing w:val="-2"/>
                  </w:rPr>
                  <w:t> </w:t>
                </w:r>
                <w:r>
                  <w:rPr/>
                  <w:t>2016,</w:t>
                </w:r>
                <w:r>
                  <w:rPr>
                    <w:spacing w:val="-3"/>
                  </w:rPr>
                  <w:t> </w:t>
                </w:r>
                <w:r>
                  <w:rPr/>
                  <w:t>2018,</w:t>
                </w:r>
                <w:r>
                  <w:rPr>
                    <w:spacing w:val="-3"/>
                  </w:rPr>
                  <w:t> </w:t>
                </w:r>
                <w:r>
                  <w:rPr/>
                  <w:t>2019,</w:t>
                </w:r>
                <w:r>
                  <w:rPr>
                    <w:spacing w:val="-3"/>
                  </w:rPr>
                  <w:t> </w:t>
                </w:r>
                <w:r>
                  <w:rPr/>
                  <w:t>2021</w:t>
                </w:r>
                <w:r>
                  <w:rPr>
                    <w:spacing w:val="-2"/>
                  </w:rPr>
                  <w:t> </w:t>
                </w:r>
                <w:r>
                  <w:rPr/>
                  <w:t>IQVIA.</w:t>
                </w:r>
                <w:r>
                  <w:rPr>
                    <w:spacing w:val="-2"/>
                  </w:rPr>
                  <w:t> </w:t>
                </w:r>
                <w:r>
                  <w:rPr/>
                  <w:t>All</w:t>
                </w:r>
                <w:r>
                  <w:rPr>
                    <w:spacing w:val="-2"/>
                  </w:rPr>
                  <w:t> </w:t>
                </w:r>
                <w:r>
                  <w:rPr/>
                  <w:t>rights</w:t>
                </w:r>
                <w:r>
                  <w:rPr>
                    <w:spacing w:val="-2"/>
                  </w:rPr>
                  <w:t> </w:t>
                </w:r>
                <w:r>
                  <w:rPr/>
                  <w:t>reserved.</w:t>
                </w:r>
                <w:r>
                  <w:rPr>
                    <w:spacing w:val="-2"/>
                  </w:rPr>
                  <w:t> </w:t>
                </w:r>
                <w:r>
                  <w:rPr/>
                  <w:t>The</w:t>
                </w:r>
                <w:r>
                  <w:rPr>
                    <w:spacing w:val="-2"/>
                  </w:rPr>
                  <w:t> </w:t>
                </w:r>
                <w:r>
                  <w:rPr/>
                  <w:t>contents</w:t>
                </w:r>
                <w:r>
                  <w:rPr>
                    <w:spacing w:val="-2"/>
                  </w:rPr>
                  <w:t> </w:t>
                </w:r>
                <w:r>
                  <w:rPr/>
                  <w:t>of</w:t>
                </w:r>
                <w:r>
                  <w:rPr>
                    <w:spacing w:val="-3"/>
                  </w:rPr>
                  <w:t> </w:t>
                </w:r>
                <w:r>
                  <w:rPr/>
                  <w:t>this</w:t>
                </w:r>
                <w:r>
                  <w:rPr>
                    <w:spacing w:val="-2"/>
                  </w:rPr>
                  <w:t> </w:t>
                </w:r>
                <w:r>
                  <w:rPr/>
                  <w:t>document</w:t>
                </w:r>
                <w:r>
                  <w:rPr>
                    <w:spacing w:val="-3"/>
                  </w:rPr>
                  <w:t> </w:t>
                </w:r>
                <w:r>
                  <w:rPr/>
                  <w:t>are confidential and proprietary to IQVIA Holdings Inc. and its subsidiaries. Unauthorized use, disclosure or reproduction is strictly </w:t>
                </w:r>
                <w:r>
                  <w:rPr>
                    <w:spacing w:val="-2"/>
                  </w:rPr>
                  <w:t>prohibited.</w:t>
                </w:r>
              </w:p>
              <w:p>
                <w:pPr>
                  <w:spacing w:before="39"/>
                  <w:ind w:left="856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CS_WI_MS001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12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01-May-2021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28.640015pt;width:475.44pt;height:.24pt;mso-position-horizontal-relative:page;mso-position-vertical-relative:page;z-index:-16279552" id="docshape4" filled="true" fillcolor="#000000" stroked="false">
          <v:fill type="solid"/>
          <w10:wrap type="none"/>
        </v:rect>
      </w:pict>
    </w:r>
    <w:r>
      <w:rPr/>
      <w:pict>
        <v:shape style="position:absolute;margin-left:71pt;margin-top:729.35022pt;width:459.7pt;height:54.65pt;mso-position-horizontal-relative:page;mso-position-vertical-relative:page;z-index:-16279040" type="#_x0000_t202" id="docshape5" filled="false" stroked="false">
          <v:textbox inset="0,0,0,0">
            <w:txbxContent>
              <w:p>
                <w:pPr>
                  <w:pStyle w:val="BodyText"/>
                  <w:spacing w:line="183" w:lineRule="exact" w:before="13"/>
                  <w:ind w:left="4244"/>
                </w:pPr>
                <w:r>
                  <w:rPr/>
                  <w:t>Page</w:t>
                </w:r>
                <w:r>
                  <w:rPr>
                    <w:spacing w:val="-2"/>
                  </w:rPr>
                  <w:t> </w:t>
                </w:r>
                <w:r>
                  <w:rPr/>
                  <w:fldChar w:fldCharType="begin"/>
                </w:r>
                <w:r>
                  <w:rPr/>
                  <w:instrText> PAGE </w:instrText>
                </w:r>
                <w:r>
                  <w:rPr/>
                  <w:fldChar w:fldCharType="separate"/>
                </w:r>
                <w:r>
                  <w:rPr/>
                  <w:t>3</w:t>
                </w:r>
                <w:r>
                  <w:rPr/>
                  <w:fldChar w:fldCharType="end"/>
                </w:r>
                <w:r>
                  <w:rPr>
                    <w:spacing w:val="-4"/>
                  </w:rPr>
                  <w:t> </w:t>
                </w:r>
                <w:r>
                  <w:rPr/>
                  <w:t>of</w:t>
                </w:r>
                <w:r>
                  <w:rPr>
                    <w:spacing w:val="-3"/>
                  </w:rPr>
                  <w:t> </w:t>
                </w:r>
                <w:r>
                  <w:rPr>
                    <w:spacing w:val="-10"/>
                  </w:rPr>
                  <w:t>7</w:t>
                </w:r>
              </w:p>
              <w:p>
                <w:pPr>
                  <w:pStyle w:val="BodyText"/>
                  <w:ind w:left="20"/>
                </w:pPr>
                <w:r>
                  <w:rPr/>
                  <w:t>Copyright</w:t>
                </w:r>
                <w:r>
                  <w:rPr>
                    <w:spacing w:val="-2"/>
                  </w:rPr>
                  <w:t> </w:t>
                </w:r>
                <w:r>
                  <w:rPr/>
                  <w:t>©</w:t>
                </w:r>
                <w:r>
                  <w:rPr>
                    <w:spacing w:val="-2"/>
                  </w:rPr>
                  <w:t> </w:t>
                </w:r>
                <w:r>
                  <w:rPr/>
                  <w:t>2002,</w:t>
                </w:r>
                <w:r>
                  <w:rPr>
                    <w:spacing w:val="-2"/>
                  </w:rPr>
                  <w:t> </w:t>
                </w:r>
                <w:r>
                  <w:rPr/>
                  <w:t>2006,</w:t>
                </w:r>
                <w:r>
                  <w:rPr>
                    <w:spacing w:val="-2"/>
                  </w:rPr>
                  <w:t> </w:t>
                </w:r>
                <w:r>
                  <w:rPr/>
                  <w:t>2009,</w:t>
                </w:r>
                <w:r>
                  <w:rPr>
                    <w:spacing w:val="-2"/>
                  </w:rPr>
                  <w:t> </w:t>
                </w:r>
                <w:r>
                  <w:rPr/>
                  <w:t>2011,</w:t>
                </w:r>
                <w:r>
                  <w:rPr>
                    <w:spacing w:val="-2"/>
                  </w:rPr>
                  <w:t> </w:t>
                </w:r>
                <w:r>
                  <w:rPr/>
                  <w:t>2013,</w:t>
                </w:r>
                <w:r>
                  <w:rPr>
                    <w:spacing w:val="-2"/>
                  </w:rPr>
                  <w:t> </w:t>
                </w:r>
                <w:r>
                  <w:rPr/>
                  <w:t>2016,</w:t>
                </w:r>
                <w:r>
                  <w:rPr>
                    <w:spacing w:val="-2"/>
                  </w:rPr>
                  <w:t> </w:t>
                </w:r>
                <w:r>
                  <w:rPr/>
                  <w:t>2018,</w:t>
                </w:r>
                <w:r>
                  <w:rPr>
                    <w:spacing w:val="-3"/>
                  </w:rPr>
                  <w:t> </w:t>
                </w:r>
                <w:r>
                  <w:rPr/>
                  <w:t>2019,</w:t>
                </w:r>
                <w:r>
                  <w:rPr>
                    <w:spacing w:val="-3"/>
                  </w:rPr>
                  <w:t> </w:t>
                </w:r>
                <w:r>
                  <w:rPr/>
                  <w:t>2021</w:t>
                </w:r>
                <w:r>
                  <w:rPr>
                    <w:spacing w:val="-2"/>
                  </w:rPr>
                  <w:t> </w:t>
                </w:r>
                <w:r>
                  <w:rPr/>
                  <w:t>IQVIA.</w:t>
                </w:r>
                <w:r>
                  <w:rPr>
                    <w:spacing w:val="-2"/>
                  </w:rPr>
                  <w:t> </w:t>
                </w:r>
                <w:r>
                  <w:rPr/>
                  <w:t>All</w:t>
                </w:r>
                <w:r>
                  <w:rPr>
                    <w:spacing w:val="-2"/>
                  </w:rPr>
                  <w:t> </w:t>
                </w:r>
                <w:r>
                  <w:rPr/>
                  <w:t>rights</w:t>
                </w:r>
                <w:r>
                  <w:rPr>
                    <w:spacing w:val="-2"/>
                  </w:rPr>
                  <w:t> </w:t>
                </w:r>
                <w:r>
                  <w:rPr/>
                  <w:t>reserved.</w:t>
                </w:r>
                <w:r>
                  <w:rPr>
                    <w:spacing w:val="-2"/>
                  </w:rPr>
                  <w:t> </w:t>
                </w:r>
                <w:r>
                  <w:rPr/>
                  <w:t>The</w:t>
                </w:r>
                <w:r>
                  <w:rPr>
                    <w:spacing w:val="-2"/>
                  </w:rPr>
                  <w:t> </w:t>
                </w:r>
                <w:r>
                  <w:rPr/>
                  <w:t>contents</w:t>
                </w:r>
                <w:r>
                  <w:rPr>
                    <w:spacing w:val="-2"/>
                  </w:rPr>
                  <w:t> </w:t>
                </w:r>
                <w:r>
                  <w:rPr/>
                  <w:t>of</w:t>
                </w:r>
                <w:r>
                  <w:rPr>
                    <w:spacing w:val="-3"/>
                  </w:rPr>
                  <w:t> </w:t>
                </w:r>
                <w:r>
                  <w:rPr/>
                  <w:t>this</w:t>
                </w:r>
                <w:r>
                  <w:rPr>
                    <w:spacing w:val="-2"/>
                  </w:rPr>
                  <w:t> </w:t>
                </w:r>
                <w:r>
                  <w:rPr/>
                  <w:t>document</w:t>
                </w:r>
                <w:r>
                  <w:rPr>
                    <w:spacing w:val="-3"/>
                  </w:rPr>
                  <w:t> </w:t>
                </w:r>
                <w:r>
                  <w:rPr/>
                  <w:t>are confidential and proprietary to IQVIA Holdings Inc. and its subsidiaries. Unauthorized use, disclosure or reproduction is strictly </w:t>
                </w:r>
                <w:r>
                  <w:rPr>
                    <w:spacing w:val="-2"/>
                  </w:rPr>
                  <w:t>prohibited.</w:t>
                </w:r>
              </w:p>
              <w:p>
                <w:pPr>
                  <w:spacing w:before="39"/>
                  <w:ind w:left="765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CS_WI_MS001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12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01-May-2021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8.272003pt;margin-top:767.575989pt;width:395.5pt;height:16.45pt;mso-position-horizontal-relative:page;mso-position-vertical-relative:page;z-index:-16278016" type="#_x0000_t202" id="docshape111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CS_WI_MS001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12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01-May-2021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8.272003pt;margin-top:767.575989pt;width:395.5pt;height:16.45pt;mso-position-horizontal-relative:page;mso-position-vertical-relative:page;z-index:-16277504" type="#_x0000_t202" id="docshape151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CS_WI_MS001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12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01-May-2021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9pt;margin-top:36pt;width:475.2pt;height:90.45pt;mso-position-horizontal-relative:page;mso-position-vertical-relative:page;z-index:15728640" type="#_x0000_t202" id="docshape3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258"/>
                  <w:gridCol w:w="5117"/>
                </w:tblGrid>
                <w:tr>
                  <w:trPr>
                    <w:trHeight w:val="892" w:hRule="atLeast"/>
                  </w:trPr>
                  <w:tc>
                    <w:tcPr>
                      <w:tcW w:w="425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b/>
                          <w:sz w:val="18"/>
                        </w:rPr>
                      </w:pPr>
                    </w:p>
                    <w:p>
                      <w:pPr>
                        <w:pStyle w:val="TableParagraph"/>
                        <w:spacing w:before="0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Review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of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Laboratory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Reports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25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CS_WI_MS001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5"/>
                          <w:sz w:val="20"/>
                        </w:rPr>
                        <w:t>12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036416">
          <wp:simplePos x="0" y="0"/>
          <wp:positionH relativeFrom="page">
            <wp:posOffset>1271016</wp:posOffset>
          </wp:positionH>
          <wp:positionV relativeFrom="page">
            <wp:posOffset>871727</wp:posOffset>
          </wp:positionV>
          <wp:extent cx="1978152" cy="347472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9pt;margin-top:36pt;width:475.2pt;height:90.45pt;mso-position-horizontal-relative:page;mso-position-vertical-relative:page;z-index:15729664" type="#_x0000_t202" id="docshape110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258"/>
                  <w:gridCol w:w="5117"/>
                </w:tblGrid>
                <w:tr>
                  <w:trPr>
                    <w:trHeight w:val="892" w:hRule="atLeast"/>
                  </w:trPr>
                  <w:tc>
                    <w:tcPr>
                      <w:tcW w:w="425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b/>
                          <w:sz w:val="18"/>
                        </w:rPr>
                      </w:pPr>
                    </w:p>
                    <w:p>
                      <w:pPr>
                        <w:pStyle w:val="TableParagraph"/>
                        <w:spacing w:before="0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Review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of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Laboratory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Reports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25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CS_WI_MS001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5"/>
                          <w:sz w:val="20"/>
                        </w:rPr>
                        <w:t>12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037952">
          <wp:simplePos x="0" y="0"/>
          <wp:positionH relativeFrom="page">
            <wp:posOffset>1271016</wp:posOffset>
          </wp:positionH>
          <wp:positionV relativeFrom="page">
            <wp:posOffset>871727</wp:posOffset>
          </wp:positionV>
          <wp:extent cx="1978152" cy="347472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-"/>
      <w:lvlJc w:val="left"/>
      <w:pPr>
        <w:ind w:left="464" w:hanging="360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68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7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06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51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96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41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86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310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13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4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8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13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4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13" w:hanging="720"/>
      </w:pPr>
      <w:rPr>
        <w:rFonts w:hint="default"/>
        <w:lang w:val="en-US" w:eastAsia="en-US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16"/>
      <w:szCs w:val="16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38"/>
      <w:ind w:left="110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S_TP_MS003" TargetMode="External"/><Relationship Id="rId10" Type="http://schemas.openxmlformats.org/officeDocument/2006/relationships/hyperlink" Target="https://elvis.quintiles.com/livelink/llisapi.dll/open/CS_TP_MS004" TargetMode="External"/><Relationship Id="rId11" Type="http://schemas.openxmlformats.org/officeDocument/2006/relationships/hyperlink" Target="https://elvis.quintiles.com/livelink/llisapi.dll/open/CS_TP_MS0219" TargetMode="External"/><Relationship Id="rId12" Type="http://schemas.openxmlformats.org/officeDocument/2006/relationships/hyperlink" Target="https://elvis.quintiles.com/livelink/llisapi.dll/open/CS_WI_MS0220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image" Target="media/image56.png"/><Relationship Id="rId68" Type="http://schemas.openxmlformats.org/officeDocument/2006/relationships/image" Target="media/image57.png"/><Relationship Id="rId69" Type="http://schemas.openxmlformats.org/officeDocument/2006/relationships/image" Target="media/image58.png"/><Relationship Id="rId70" Type="http://schemas.openxmlformats.org/officeDocument/2006/relationships/image" Target="media/image59.png"/><Relationship Id="rId71" Type="http://schemas.openxmlformats.org/officeDocument/2006/relationships/image" Target="media/image60.png"/><Relationship Id="rId72" Type="http://schemas.openxmlformats.org/officeDocument/2006/relationships/image" Target="media/image61.png"/><Relationship Id="rId73" Type="http://schemas.openxmlformats.org/officeDocument/2006/relationships/image" Target="media/image62.png"/><Relationship Id="rId74" Type="http://schemas.openxmlformats.org/officeDocument/2006/relationships/image" Target="media/image63.png"/><Relationship Id="rId75" Type="http://schemas.openxmlformats.org/officeDocument/2006/relationships/image" Target="media/image64.png"/><Relationship Id="rId76" Type="http://schemas.openxmlformats.org/officeDocument/2006/relationships/image" Target="media/image65.png"/><Relationship Id="rId77" Type="http://schemas.openxmlformats.org/officeDocument/2006/relationships/image" Target="media/image66.png"/><Relationship Id="rId78" Type="http://schemas.openxmlformats.org/officeDocument/2006/relationships/image" Target="media/image67.png"/><Relationship Id="rId79" Type="http://schemas.openxmlformats.org/officeDocument/2006/relationships/image" Target="media/image68.png"/><Relationship Id="rId80" Type="http://schemas.openxmlformats.org/officeDocument/2006/relationships/image" Target="media/image69.png"/><Relationship Id="rId81" Type="http://schemas.openxmlformats.org/officeDocument/2006/relationships/image" Target="media/image70.png"/><Relationship Id="rId82" Type="http://schemas.openxmlformats.org/officeDocument/2006/relationships/image" Target="media/image71.png"/><Relationship Id="rId83" Type="http://schemas.openxmlformats.org/officeDocument/2006/relationships/image" Target="media/image72.png"/><Relationship Id="rId84" Type="http://schemas.openxmlformats.org/officeDocument/2006/relationships/image" Target="media/image73.png"/><Relationship Id="rId85" Type="http://schemas.openxmlformats.org/officeDocument/2006/relationships/image" Target="media/image74.png"/><Relationship Id="rId86" Type="http://schemas.openxmlformats.org/officeDocument/2006/relationships/image" Target="media/image75.png"/><Relationship Id="rId87" Type="http://schemas.openxmlformats.org/officeDocument/2006/relationships/image" Target="media/image76.png"/><Relationship Id="rId88" Type="http://schemas.openxmlformats.org/officeDocument/2006/relationships/image" Target="media/image77.png"/><Relationship Id="rId89" Type="http://schemas.openxmlformats.org/officeDocument/2006/relationships/image" Target="media/image78.png"/><Relationship Id="rId90" Type="http://schemas.openxmlformats.org/officeDocument/2006/relationships/image" Target="media/image79.png"/><Relationship Id="rId91" Type="http://schemas.openxmlformats.org/officeDocument/2006/relationships/image" Target="media/image80.png"/><Relationship Id="rId92" Type="http://schemas.openxmlformats.org/officeDocument/2006/relationships/image" Target="media/image81.png"/><Relationship Id="rId93" Type="http://schemas.openxmlformats.org/officeDocument/2006/relationships/image" Target="media/image82.png"/><Relationship Id="rId94" Type="http://schemas.openxmlformats.org/officeDocument/2006/relationships/image" Target="media/image83.png"/><Relationship Id="rId95" Type="http://schemas.openxmlformats.org/officeDocument/2006/relationships/image" Target="media/image84.png"/><Relationship Id="rId96" Type="http://schemas.openxmlformats.org/officeDocument/2006/relationships/image" Target="media/image85.png"/><Relationship Id="rId97" Type="http://schemas.openxmlformats.org/officeDocument/2006/relationships/header" Target="header2.xml"/><Relationship Id="rId98" Type="http://schemas.openxmlformats.org/officeDocument/2006/relationships/footer" Target="footer3.xml"/><Relationship Id="rId99" Type="http://schemas.openxmlformats.org/officeDocument/2006/relationships/image" Target="media/image86.png"/><Relationship Id="rId100" Type="http://schemas.openxmlformats.org/officeDocument/2006/relationships/image" Target="media/image87.png"/><Relationship Id="rId101" Type="http://schemas.openxmlformats.org/officeDocument/2006/relationships/image" Target="media/image88.png"/><Relationship Id="rId102" Type="http://schemas.openxmlformats.org/officeDocument/2006/relationships/image" Target="media/image89.png"/><Relationship Id="rId103" Type="http://schemas.openxmlformats.org/officeDocument/2006/relationships/image" Target="media/image90.png"/><Relationship Id="rId104" Type="http://schemas.openxmlformats.org/officeDocument/2006/relationships/image" Target="media/image91.png"/><Relationship Id="rId105" Type="http://schemas.openxmlformats.org/officeDocument/2006/relationships/image" Target="media/image92.png"/><Relationship Id="rId106" Type="http://schemas.openxmlformats.org/officeDocument/2006/relationships/image" Target="media/image93.png"/><Relationship Id="rId107" Type="http://schemas.openxmlformats.org/officeDocument/2006/relationships/image" Target="media/image94.png"/><Relationship Id="rId108" Type="http://schemas.openxmlformats.org/officeDocument/2006/relationships/image" Target="media/image95.png"/><Relationship Id="rId109" Type="http://schemas.openxmlformats.org/officeDocument/2006/relationships/image" Target="media/image96.png"/><Relationship Id="rId110" Type="http://schemas.openxmlformats.org/officeDocument/2006/relationships/image" Target="media/image97.png"/><Relationship Id="rId111" Type="http://schemas.openxmlformats.org/officeDocument/2006/relationships/image" Target="media/image98.png"/><Relationship Id="rId112" Type="http://schemas.openxmlformats.org/officeDocument/2006/relationships/image" Target="media/image99.png"/><Relationship Id="rId113" Type="http://schemas.openxmlformats.org/officeDocument/2006/relationships/image" Target="media/image100.png"/><Relationship Id="rId114" Type="http://schemas.openxmlformats.org/officeDocument/2006/relationships/image" Target="media/image101.png"/><Relationship Id="rId115" Type="http://schemas.openxmlformats.org/officeDocument/2006/relationships/image" Target="media/image102.png"/><Relationship Id="rId116" Type="http://schemas.openxmlformats.org/officeDocument/2006/relationships/image" Target="media/image103.png"/><Relationship Id="rId117" Type="http://schemas.openxmlformats.org/officeDocument/2006/relationships/image" Target="media/image104.png"/><Relationship Id="rId118" Type="http://schemas.openxmlformats.org/officeDocument/2006/relationships/image" Target="media/image105.png"/><Relationship Id="rId119" Type="http://schemas.openxmlformats.org/officeDocument/2006/relationships/image" Target="media/image106.png"/><Relationship Id="rId120" Type="http://schemas.openxmlformats.org/officeDocument/2006/relationships/image" Target="media/image107.png"/><Relationship Id="rId121" Type="http://schemas.openxmlformats.org/officeDocument/2006/relationships/image" Target="media/image108.png"/><Relationship Id="rId122" Type="http://schemas.openxmlformats.org/officeDocument/2006/relationships/image" Target="media/image109.png"/><Relationship Id="rId123" Type="http://schemas.openxmlformats.org/officeDocument/2006/relationships/image" Target="media/image110.png"/><Relationship Id="rId124" Type="http://schemas.openxmlformats.org/officeDocument/2006/relationships/image" Target="media/image111.png"/><Relationship Id="rId125" Type="http://schemas.openxmlformats.org/officeDocument/2006/relationships/image" Target="media/image112.png"/><Relationship Id="rId126" Type="http://schemas.openxmlformats.org/officeDocument/2006/relationships/image" Target="media/image113.png"/><Relationship Id="rId127" Type="http://schemas.openxmlformats.org/officeDocument/2006/relationships/image" Target="media/image114.png"/><Relationship Id="rId128" Type="http://schemas.openxmlformats.org/officeDocument/2006/relationships/image" Target="media/image115.png"/><Relationship Id="rId129" Type="http://schemas.openxmlformats.org/officeDocument/2006/relationships/image" Target="media/image116.png"/><Relationship Id="rId130" Type="http://schemas.openxmlformats.org/officeDocument/2006/relationships/header" Target="header3.xml"/><Relationship Id="rId131" Type="http://schemas.openxmlformats.org/officeDocument/2006/relationships/footer" Target="footer4.xml"/><Relationship Id="rId132" Type="http://schemas.openxmlformats.org/officeDocument/2006/relationships/image" Target="media/image117.png"/><Relationship Id="rId133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252166029_1_0_sgMainFile.pdf</dc:title>
  <dcterms:created xsi:type="dcterms:W3CDTF">2023-04-11T15:17:27Z</dcterms:created>
  <dcterms:modified xsi:type="dcterms:W3CDTF">2023-04-11T15:17:27Z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2021-04-05T00:00:00Z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