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30" w:lineRule="atLeast" w:before="90"/>
              <w:ind w:left="457" w:right="396" w:firstLine="801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Medical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Input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into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Quality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and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Safety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for</w:t>
            </w:r>
          </w:p>
          <w:p>
            <w:pPr>
              <w:pStyle w:val="TableParagraph"/>
              <w:spacing w:before="2"/>
              <w:ind w:left="1633"/>
              <w:rPr>
                <w:b/>
                <w:sz w:val="22"/>
              </w:rPr>
            </w:pPr>
            <w:r>
              <w:rPr>
                <w:b/>
                <w:sz w:val="22"/>
              </w:rPr>
              <w:t>Awarded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Projects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CS_WI_MS0210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Antonio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Ferrari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Antonio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Ferrari,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Rosa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Piccirillo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260" w:right="471"/>
      </w:pPr>
      <w:r>
        <w:rPr/>
        <w:t>The purpose of this Work Instruction (WI) is to define the processes for Therapeutic Medical Advisor (TMA) input into overall project quality and safety with respect to key study</w:t>
      </w:r>
      <w:r>
        <w:rPr>
          <w:spacing w:val="-4"/>
        </w:rPr>
        <w:t> </w:t>
      </w:r>
      <w:r>
        <w:rPr/>
        <w:t>objectives,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quality,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subject</w:t>
      </w:r>
      <w:r>
        <w:rPr>
          <w:spacing w:val="-4"/>
        </w:rPr>
        <w:t> </w:t>
      </w:r>
      <w:r>
        <w:rPr/>
        <w:t>safety</w:t>
      </w:r>
      <w:r>
        <w:rPr>
          <w:spacing w:val="-2"/>
        </w:rPr>
        <w:t> </w:t>
      </w:r>
      <w:r>
        <w:rPr/>
        <w:t>(i.e.,</w:t>
      </w:r>
      <w:r>
        <w:rPr>
          <w:spacing w:val="-4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processes). Additionally, this</w:t>
      </w:r>
      <w:r>
        <w:rPr>
          <w:spacing w:val="-1"/>
        </w:rPr>
        <w:t> </w:t>
      </w:r>
      <w:r>
        <w:rPr/>
        <w:t>WI outlines the responsibilities of TMAs in assisting the project team with quality and safety issues during the lifecycle of the study.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679" w:hanging="720"/>
        <w:jc w:val="left"/>
        <w:rPr>
          <w:sz w:val="22"/>
        </w:rPr>
      </w:pPr>
      <w:bookmarkStart w:name="This WI is applicable to all awarded stu" w:id="3"/>
      <w:bookmarkEnd w:id="3"/>
      <w:r>
        <w:rPr>
          <w:sz w:val="22"/>
        </w:rPr>
        <w:t>Thi</w:t>
      </w:r>
      <w:r>
        <w:rPr>
          <w:sz w:val="22"/>
        </w:rPr>
        <w:t>s</w:t>
      </w:r>
      <w:r>
        <w:rPr>
          <w:spacing w:val="-4"/>
          <w:sz w:val="22"/>
        </w:rPr>
        <w:t> </w:t>
      </w:r>
      <w:r>
        <w:rPr>
          <w:sz w:val="22"/>
        </w:rPr>
        <w:t>WI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applicable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awarded</w:t>
      </w:r>
      <w:r>
        <w:rPr>
          <w:spacing w:val="-4"/>
          <w:sz w:val="22"/>
        </w:rPr>
        <w:t> </w:t>
      </w:r>
      <w:r>
        <w:rPr>
          <w:sz w:val="22"/>
        </w:rPr>
        <w:t>studies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incorporate</w:t>
      </w:r>
      <w:r>
        <w:rPr>
          <w:spacing w:val="-4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Services where TMA input is provided to meetings/discussions for project risk management and handling Protocol deviations.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ROLES AND RESPONSIBILITIES" w:id="4"/>
      <w:bookmarkEnd w:id="4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7"/>
        <w:ind w:left="1260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3"/>
        </w:rPr>
        <w:t> </w:t>
      </w:r>
      <w:r>
        <w:rPr>
          <w:spacing w:val="-5"/>
        </w:rPr>
        <w:t>WI: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BFBFBF"/>
          </w:tcPr>
          <w:p>
            <w:pPr>
              <w:pStyle w:val="TableParagraph"/>
              <w:spacing w:before="33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(CL)</w:t>
            </w:r>
          </w:p>
        </w:tc>
        <w:tc>
          <w:tcPr>
            <w:tcW w:w="359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6.3,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Therapeutic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(Global</w:t>
            </w:r>
            <w:r>
              <w:rPr>
                <w:spacing w:val="-4"/>
                <w:sz w:val="22"/>
              </w:rPr>
              <w:t> TMA)</w:t>
            </w:r>
          </w:p>
        </w:tc>
        <w:tc>
          <w:tcPr>
            <w:tcW w:w="359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6.2,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Leader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(PL)</w:t>
            </w:r>
          </w:p>
        </w:tc>
        <w:tc>
          <w:tcPr>
            <w:tcW w:w="359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Therapeutic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(TMA)</w:t>
            </w:r>
          </w:p>
        </w:tc>
        <w:tc>
          <w:tcPr>
            <w:tcW w:w="359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Strategy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(MSL)</w:t>
            </w:r>
          </w:p>
        </w:tc>
        <w:tc>
          <w:tcPr>
            <w:tcW w:w="359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</w:tbl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DEFINITIONS" w:id="5"/>
      <w:bookmarkEnd w:id="5"/>
      <w:r>
        <w:rPr>
          <w:spacing w:val="-2"/>
        </w:rPr>
        <w:t>DEFINITIONS</w:t>
      </w:r>
    </w:p>
    <w:p>
      <w:pPr>
        <w:pStyle w:val="BodyText"/>
        <w:spacing w:before="126"/>
        <w:ind w:left="1260"/>
      </w:pPr>
      <w:r>
        <w:rPr/>
        <w:t>Refer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QG_OD_SMT0018,</w:t>
      </w:r>
      <w:r>
        <w:rPr>
          <w:spacing w:val="-5"/>
        </w:rPr>
        <w:t> </w:t>
      </w:r>
      <w:r>
        <w:rPr/>
        <w:t>Glossary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Terms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/>
        <w:t>Clinical</w:t>
      </w:r>
      <w:r>
        <w:rPr>
          <w:spacing w:val="-5"/>
        </w:rPr>
        <w:t> </w:t>
      </w:r>
      <w:r>
        <w:rPr>
          <w:spacing w:val="-2"/>
        </w:rPr>
        <w:t>Services</w:t>
      </w:r>
    </w:p>
    <w:p>
      <w:pPr>
        <w:pStyle w:val="BodyText"/>
        <w:spacing w:line="242" w:lineRule="auto" w:before="112"/>
        <w:ind w:left="1260" w:right="471"/>
      </w:pPr>
      <w:r>
        <w:rPr>
          <w:b/>
        </w:rPr>
        <w:t>Medical Monitoring:</w:t>
      </w:r>
      <w:r>
        <w:rPr>
          <w:b/>
          <w:spacing w:val="40"/>
        </w:rPr>
        <w:t> </w:t>
      </w:r>
      <w:r>
        <w:rPr/>
        <w:t>Medical monitoring is defined as the provision of contracted medical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Investigator</w:t>
      </w:r>
      <w:r>
        <w:rPr>
          <w:spacing w:val="-4"/>
        </w:rPr>
        <w:t> </w:t>
      </w:r>
      <w:r>
        <w:rPr/>
        <w:t>sites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including, at a minimum, Protocol clarification and provision of safety and any other advice on the Investigational Product (IP) or study-related procedures.</w:t>
      </w: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1"/>
        <w:jc w:val="left"/>
      </w:pPr>
      <w:bookmarkStart w:name="MATERIAL AND EQUIPMENT" w:id="6"/>
      <w:bookmarkEnd w:id="6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5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spacing w:after="0"/>
        <w:sectPr>
          <w:footerReference w:type="default" r:id="rId5"/>
          <w:type w:val="continuous"/>
          <w:pgSz w:w="12240" w:h="15840"/>
          <w:pgMar w:footer="880" w:header="0" w:top="700" w:bottom="1080" w:left="900" w:right="960"/>
          <w:pgNumType w:start="1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ROCEDURE" w:id="7"/>
      <w:bookmarkEnd w:id="7"/>
      <w:r>
        <w:rPr>
          <w:spacing w:val="-2"/>
        </w:rPr>
        <w:t>PROCEDURE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Medical Input into Project Quality and S" w:id="8"/>
      <w:bookmarkEnd w:id="8"/>
      <w:r>
        <w:rPr>
          <w:b/>
          <w:sz w:val="22"/>
        </w:rPr>
        <w:t>Medica</w:t>
      </w:r>
      <w:r>
        <w:rPr>
          <w:b/>
          <w:sz w:val="22"/>
        </w:rPr>
        <w:t>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Safety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35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When:</w:t>
            </w:r>
          </w:p>
        </w:tc>
      </w:tr>
      <w:tr>
        <w:trPr>
          <w:trHeight w:val="585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MSL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Consults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TMAs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Project Quality and Safety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Prior to </w:t>
            </w:r>
            <w:r>
              <w:rPr>
                <w:spacing w:val="-2"/>
                <w:sz w:val="22"/>
              </w:rPr>
              <w:t>recruitment</w:t>
            </w:r>
          </w:p>
        </w:tc>
      </w:tr>
      <w:tr>
        <w:trPr>
          <w:trHeight w:val="585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Records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CS_TP_PL0092,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Derisking Tool – Internal Use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Prior to </w:t>
            </w:r>
            <w:r>
              <w:rPr>
                <w:spacing w:val="-2"/>
                <w:sz w:val="22"/>
              </w:rPr>
              <w:t>recruitment</w:t>
            </w:r>
          </w:p>
        </w:tc>
      </w:tr>
      <w:tr>
        <w:trPr>
          <w:trHeight w:val="2865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completed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discusses with PL and project team as per CS_WI_PL0023, Project Lifecycle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Planning 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CS_WI_PL0025,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Risk,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Issues and Lessons Learned Management</w:t>
            </w:r>
          </w:p>
        </w:tc>
        <w:tc>
          <w:tcPr>
            <w:tcW w:w="1843" w:type="dxa"/>
          </w:tcPr>
          <w:p>
            <w:pPr>
              <w:pStyle w:val="TableParagraph"/>
              <w:ind w:right="251"/>
              <w:rPr>
                <w:sz w:val="22"/>
              </w:rPr>
            </w:pPr>
            <w:r>
              <w:rPr>
                <w:sz w:val="22"/>
              </w:rPr>
              <w:t>During PL-led </w:t>
            </w:r>
            <w:r>
              <w:rPr>
                <w:spacing w:val="-2"/>
                <w:sz w:val="22"/>
              </w:rPr>
              <w:t>Internal Planning Meeting, </w:t>
            </w:r>
            <w:r>
              <w:rPr>
                <w:sz w:val="22"/>
              </w:rPr>
              <w:t>internal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portion of Kick-off Meeting and </w:t>
            </w:r>
            <w:r>
              <w:rPr>
                <w:spacing w:val="-2"/>
                <w:sz w:val="22"/>
              </w:rPr>
              <w:t>subsequent discussions/ </w:t>
            </w:r>
            <w:r>
              <w:rPr>
                <w:sz w:val="22"/>
              </w:rPr>
              <w:t>meetings, as </w:t>
            </w:r>
            <w:r>
              <w:rPr>
                <w:spacing w:val="-2"/>
                <w:sz w:val="22"/>
              </w:rPr>
              <w:t>needed</w:t>
            </w:r>
          </w:p>
        </w:tc>
      </w:tr>
      <w:tr>
        <w:trPr>
          <w:trHeight w:val="1598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ind w:right="185"/>
              <w:rPr>
                <w:sz w:val="22"/>
              </w:rPr>
            </w:pPr>
            <w:r>
              <w:rPr>
                <w:sz w:val="22"/>
              </w:rPr>
              <w:t>Reviews, at a minimum, the Protocol and Investigator Brochure (IB) or the Summary of Product Characteristics (SmPC), or Patient Information Leaflet (PIL) as applicable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Statistical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(SAP)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available,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these documents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extensively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referenced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medical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right="104"/>
              <w:rPr>
                <w:sz w:val="22"/>
              </w:rPr>
            </w:pPr>
            <w:r>
              <w:rPr>
                <w:sz w:val="22"/>
              </w:rPr>
              <w:t>Upon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providing medical input</w:t>
            </w:r>
          </w:p>
        </w:tc>
      </w:tr>
      <w:tr>
        <w:trPr>
          <w:trHeight w:val="1636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57"/>
              <w:ind w:right="185"/>
              <w:rPr>
                <w:sz w:val="22"/>
              </w:rPr>
            </w:pPr>
            <w:r>
              <w:rPr>
                <w:sz w:val="22"/>
              </w:rPr>
              <w:t>Identifies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risks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safety, and also advises internal teams (Data Management, Medical Safety Surveillance (MSS), etc.) on strategies to mitigate these risks by following Steps 6.1.7-6.1.13 and documents the requested information and review in CS_TP_PL0092, Protocol Derisking Tool – Internal Use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77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57"/>
              <w:ind w:right="185"/>
              <w:rPr>
                <w:sz w:val="22"/>
              </w:rPr>
            </w:pPr>
            <w:r>
              <w:rPr>
                <w:sz w:val="22"/>
              </w:rPr>
              <w:t>Undertakes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detailed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primary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co-primary objective(s) and variable(s) and attendant risks to study </w:t>
            </w:r>
            <w:r>
              <w:rPr>
                <w:spacing w:val="-2"/>
                <w:sz w:val="22"/>
              </w:rPr>
              <w:t>quality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8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59"/>
              <w:rPr>
                <w:sz w:val="22"/>
              </w:rPr>
            </w:pPr>
            <w:r>
              <w:rPr>
                <w:sz w:val="22"/>
              </w:rPr>
              <w:t>Lists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secondary </w:t>
            </w:r>
            <w:r>
              <w:rPr>
                <w:spacing w:val="-2"/>
                <w:sz w:val="22"/>
              </w:rPr>
              <w:t>objective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59"/>
              <w:rPr>
                <w:sz w:val="22"/>
              </w:rPr>
            </w:pPr>
            <w:r>
              <w:rPr>
                <w:sz w:val="22"/>
              </w:rPr>
              <w:t>Gives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mitigation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 </w:t>
            </w:r>
            <w:r>
              <w:rPr>
                <w:spacing w:val="-2"/>
                <w:sz w:val="22"/>
              </w:rPr>
              <w:t>component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6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6.1.9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50" w:lineRule="atLeast" w:before="40"/>
              <w:rPr>
                <w:sz w:val="22"/>
              </w:rPr>
            </w:pPr>
            <w:r>
              <w:rPr>
                <w:sz w:val="22"/>
              </w:rPr>
              <w:t>Lists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inclusion/exclusion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deemed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study primary objective and subject evaluability, and gives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7"/>
          <w:footerReference w:type="default" r:id="rId8"/>
          <w:pgSz w:w="12240" w:h="15840"/>
          <w:pgMar w:header="725" w:footer="880" w:top="2540" w:bottom="1080" w:left="90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30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When:</w:t>
            </w:r>
          </w:p>
        </w:tc>
      </w:tr>
      <w:tr>
        <w:trPr>
          <w:trHeight w:val="565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2"/>
              <w:rPr>
                <w:sz w:val="22"/>
              </w:rPr>
            </w:pPr>
            <w:r>
              <w:rPr>
                <w:sz w:val="22"/>
              </w:rPr>
              <w:t>consideration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risks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mitigation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each inclusion/exclusion criterion listed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32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6.1.10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57"/>
              <w:ind w:right="136"/>
              <w:rPr>
                <w:sz w:val="22"/>
              </w:rPr>
            </w:pPr>
            <w:r>
              <w:rPr>
                <w:sz w:val="22"/>
              </w:rPr>
              <w:t>Identifies and lists key factors in study compliance and conduct following randomization, critical to subject evaluability,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potential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risks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risk mitigation plan for each key factor listed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77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6.1.11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sz w:val="22"/>
              </w:rPr>
              <w:t>Identifies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inclusion/exclusion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subject safety, and considers and documents potential risks and mitigation plans for each critical criterion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2" w:hRule="atLeast"/>
        </w:trPr>
        <w:tc>
          <w:tcPr>
            <w:tcW w:w="797" w:type="dxa"/>
          </w:tcPr>
          <w:p>
            <w:pPr>
              <w:pStyle w:val="TableParagraph"/>
              <w:spacing w:before="62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64"/>
              <w:ind w:right="185"/>
              <w:rPr>
                <w:sz w:val="22"/>
              </w:rPr>
            </w:pPr>
            <w:r>
              <w:rPr>
                <w:sz w:val="22"/>
              </w:rPr>
              <w:t>Identifies key facets of study conduct and site and patient compliance following randomization, critical to safety, and considers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potential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risks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mitigation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plans for each critical criterion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65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6.1.13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sz w:val="22"/>
              </w:rPr>
              <w:t>Reviews the IB and lists possible safety signals from pre- clinical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giving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mitigation strategies for each listed potential safety signal</w:t>
            </w:r>
          </w:p>
          <w:p>
            <w:pPr>
              <w:pStyle w:val="TableParagraph"/>
              <w:spacing w:before="1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spacing w:line="242" w:lineRule="auto" w:before="0"/>
              <w:ind w:right="185"/>
              <w:rPr>
                <w:sz w:val="22"/>
              </w:rPr>
            </w:pPr>
            <w:r>
              <w:rPr>
                <w:b/>
                <w:sz w:val="22"/>
              </w:rPr>
              <w:t>Note: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IB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potential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signals should be taken in conjunction with the Sponsor and is a mandatory component of medical input into project quality and safety.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1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6.1.14</w:t>
            </w:r>
          </w:p>
        </w:tc>
        <w:tc>
          <w:tcPr>
            <w:tcW w:w="1162" w:type="dxa"/>
          </w:tcPr>
          <w:p>
            <w:pPr>
              <w:pStyle w:val="TableParagraph"/>
              <w:spacing w:line="283" w:lineRule="auto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PL/ </w:t>
            </w:r>
            <w:r>
              <w:rPr>
                <w:spacing w:val="-2"/>
                <w:sz w:val="22"/>
              </w:rPr>
              <w:t>designee</w:t>
            </w:r>
          </w:p>
        </w:tc>
        <w:tc>
          <w:tcPr>
            <w:tcW w:w="6264" w:type="dxa"/>
          </w:tcPr>
          <w:p>
            <w:pPr>
              <w:pStyle w:val="TableParagraph"/>
              <w:spacing w:before="57"/>
              <w:ind w:right="136"/>
              <w:rPr>
                <w:sz w:val="22"/>
              </w:rPr>
            </w:pPr>
            <w:r>
              <w:rPr>
                <w:sz w:val="22"/>
              </w:rPr>
              <w:t>Enters medical input into project quality and safety risks (i.e. critical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processes)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IQVIA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Portofolio Management system: Project and Portfolio Management tool (QRPM: PPM) Risks, along with all other identified project </w:t>
            </w:r>
            <w:r>
              <w:rPr>
                <w:spacing w:val="-2"/>
                <w:sz w:val="22"/>
              </w:rPr>
              <w:t>risks</w:t>
            </w:r>
          </w:p>
          <w:p>
            <w:pPr>
              <w:pStyle w:val="TableParagraph"/>
              <w:spacing w:before="1"/>
              <w:ind w:left="0"/>
              <w:rPr>
                <w:b/>
                <w:sz w:val="31"/>
              </w:rPr>
            </w:pPr>
          </w:p>
          <w:p>
            <w:pPr>
              <w:pStyle w:val="TableParagraph"/>
              <w:spacing w:line="250" w:lineRule="atLeast" w:before="0"/>
              <w:rPr>
                <w:sz w:val="22"/>
              </w:rPr>
            </w:pPr>
            <w:r>
              <w:rPr>
                <w:b/>
                <w:sz w:val="22"/>
              </w:rPr>
              <w:t>Note: </w:t>
            </w:r>
            <w:r>
              <w:rPr>
                <w:sz w:val="22"/>
              </w:rPr>
              <w:t>The risks identified by the TMA are reviewed with the Sponsor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kick-off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meetings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(KOM)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subsequent meetings throughout the project (CS_WI_MS0213, Medical Monitoring Plan Creation and Review).</w:t>
            </w:r>
          </w:p>
        </w:tc>
        <w:tc>
          <w:tcPr>
            <w:tcW w:w="1843" w:type="dxa"/>
          </w:tcPr>
          <w:p>
            <w:pPr>
              <w:pStyle w:val="TableParagraph"/>
              <w:ind w:right="251"/>
              <w:rPr>
                <w:sz w:val="22"/>
              </w:rPr>
            </w:pPr>
            <w:r>
              <w:rPr>
                <w:spacing w:val="-4"/>
                <w:sz w:val="22"/>
              </w:rPr>
              <w:t>Upon </w:t>
            </w:r>
            <w:r>
              <w:rPr>
                <w:sz w:val="22"/>
              </w:rPr>
              <w:t>completeion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medical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review </w:t>
            </w:r>
            <w:r>
              <w:rPr>
                <w:spacing w:val="-2"/>
                <w:sz w:val="22"/>
              </w:rPr>
              <w:t>activities</w:t>
            </w:r>
          </w:p>
        </w:tc>
      </w:tr>
    </w:tbl>
    <w:p>
      <w:pPr>
        <w:pStyle w:val="BodyText"/>
        <w:spacing w:before="7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Review of Subject Safety Information dur" w:id="9"/>
      <w:bookmarkEnd w:id="9"/>
      <w:r>
        <w:rPr>
          <w:b/>
          <w:sz w:val="22"/>
        </w:rPr>
        <w:t>Revie</w:t>
      </w:r>
      <w:r>
        <w:rPr>
          <w:b/>
          <w:sz w:val="22"/>
        </w:rPr>
        <w:t>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Subject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Safety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during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Study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30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3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90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5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Global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spacing w:line="232" w:lineRule="exact"/>
              <w:ind w:left="104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oversight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accordance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04" w:right="288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conduct; first patient in (FPI) through database lock </w:t>
            </w:r>
            <w:r>
              <w:rPr>
                <w:spacing w:val="-2"/>
                <w:sz w:val="20"/>
              </w:rPr>
              <w:t>(DBL)</w:t>
            </w:r>
          </w:p>
        </w:tc>
      </w:tr>
      <w:tr>
        <w:trPr>
          <w:trHeight w:val="284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line="245" w:lineRule="exact" w:before="0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TMA</w:t>
            </w: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spacing w:line="245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CS_TP_MS003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5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line="232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PL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spacing w:line="232" w:lineRule="exact"/>
              <w:ind w:left="104"/>
              <w:rPr>
                <w:sz w:val="22"/>
              </w:rPr>
            </w:pPr>
            <w:r>
              <w:rPr>
                <w:sz w:val="22"/>
              </w:rPr>
              <w:t>Requests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Sponsor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provides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updated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IB</w:t>
            </w:r>
            <w:r>
              <w:rPr>
                <w:spacing w:val="-4"/>
                <w:sz w:val="22"/>
              </w:rPr>
              <w:t> (for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2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4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Phases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studies)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updated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SmPC,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spacing w:line="227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PIL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Phase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studies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distributes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725" w:footer="880" w:top="2540" w:bottom="1080" w:left="90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30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3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55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left="104" w:right="18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update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TMA,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Advisor (MSA),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(MDR)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Medical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Safety Surveillance (MSS) are updated on the latest safety information on the IP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34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ind w:left="105" w:right="403"/>
              <w:rPr>
                <w:sz w:val="22"/>
              </w:rPr>
            </w:pPr>
            <w:r>
              <w:rPr>
                <w:spacing w:val="-2"/>
                <w:sz w:val="22"/>
              </w:rPr>
              <w:t>Global </w:t>
            </w:r>
            <w:r>
              <w:rPr>
                <w:spacing w:val="-4"/>
                <w:sz w:val="22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Communicates to the PL and relevant project team members/Sponsor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potential emergent safety signals iteratively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9" w:hRule="atLeast"/>
        </w:trPr>
        <w:tc>
          <w:tcPr>
            <w:tcW w:w="797" w:type="dxa"/>
          </w:tcPr>
          <w:p>
            <w:pPr>
              <w:pStyle w:val="TableParagraph"/>
              <w:spacing w:before="6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line="278" w:lineRule="auto" w:before="43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PL/ </w:t>
            </w:r>
            <w:r>
              <w:rPr>
                <w:spacing w:val="-2"/>
                <w:sz w:val="22"/>
              </w:rPr>
              <w:t>designee</w:t>
            </w:r>
          </w:p>
        </w:tc>
        <w:tc>
          <w:tcPr>
            <w:tcW w:w="6264" w:type="dxa"/>
          </w:tcPr>
          <w:p>
            <w:pPr>
              <w:pStyle w:val="TableParagraph"/>
              <w:spacing w:before="43"/>
              <w:ind w:left="104" w:right="185"/>
              <w:rPr>
                <w:sz w:val="22"/>
              </w:rPr>
            </w:pPr>
            <w:r>
              <w:rPr>
                <w:sz w:val="22"/>
              </w:rPr>
              <w:t>Records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risks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potential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emergent safety signals in QRPM: PPM Risks (non-RBM projects) or Risk Mitigation Workbench (RMW – RBM projects)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93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ind w:left="105" w:right="403"/>
              <w:rPr>
                <w:sz w:val="22"/>
              </w:rPr>
            </w:pPr>
            <w:r>
              <w:rPr>
                <w:spacing w:val="-2"/>
                <w:sz w:val="22"/>
              </w:rPr>
              <w:t>Global </w:t>
            </w:r>
            <w:r>
              <w:rPr>
                <w:spacing w:val="-4"/>
                <w:sz w:val="22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85"/>
              <w:rPr>
                <w:sz w:val="22"/>
              </w:rPr>
            </w:pPr>
            <w:r>
              <w:rPr>
                <w:sz w:val="22"/>
              </w:rPr>
              <w:t>Confirms, usually by email or minutes of a Sponsor teleconference, that review of cumulative Serious Adverse Event (SAE) listings and other emergent safety information has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taken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place,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further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recommended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  <w:rPr>
          <w:b/>
          <w:sz w:val="22"/>
        </w:rPr>
      </w:pPr>
      <w:bookmarkStart w:name="Protocol Deviation Review" w:id="10"/>
      <w:bookmarkEnd w:id="10"/>
      <w:r>
        <w:rPr>
          <w:b/>
          <w:sz w:val="22"/>
        </w:rPr>
        <w:t>Protocol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Deviation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39"/>
        <w:gridCol w:w="6086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39" w:type="dxa"/>
            <w:shd w:val="clear" w:color="auto" w:fill="BFBFBF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86" w:type="dxa"/>
            <w:shd w:val="clear" w:color="auto" w:fill="BFBFBF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94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6.3.1</w:t>
            </w:r>
          </w:p>
        </w:tc>
        <w:tc>
          <w:tcPr>
            <w:tcW w:w="1339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TMA</w:t>
            </w:r>
          </w:p>
        </w:tc>
        <w:tc>
          <w:tcPr>
            <w:tcW w:w="6086" w:type="dxa"/>
          </w:tcPr>
          <w:p>
            <w:pPr>
              <w:pStyle w:val="TableParagraph"/>
              <w:ind w:left="110" w:right="153"/>
              <w:rPr>
                <w:sz w:val="22"/>
              </w:rPr>
            </w:pPr>
            <w:r>
              <w:rPr>
                <w:sz w:val="22"/>
              </w:rPr>
              <w:t>Reviews the Protocol, IB, and SAP (if available) and provides to the CL/ PL a list of key potential Protocol deviations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impacting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eligibility,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evaluability,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safety, and the primary objective</w:t>
            </w:r>
          </w:p>
        </w:tc>
        <w:tc>
          <w:tcPr>
            <w:tcW w:w="1843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During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</w:tr>
      <w:tr>
        <w:trPr>
          <w:trHeight w:val="159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6.3.2</w:t>
            </w:r>
          </w:p>
        </w:tc>
        <w:tc>
          <w:tcPr>
            <w:tcW w:w="1339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TMA, </w:t>
            </w:r>
            <w:r>
              <w:rPr>
                <w:spacing w:val="-5"/>
                <w:sz w:val="22"/>
              </w:rPr>
              <w:t>PL,</w:t>
            </w:r>
          </w:p>
          <w:p>
            <w:pPr>
              <w:pStyle w:val="TableParagraph"/>
              <w:spacing w:before="1"/>
              <w:ind w:left="110" w:right="119"/>
              <w:rPr>
                <w:sz w:val="22"/>
              </w:rPr>
            </w:pPr>
            <w:r>
              <w:rPr>
                <w:spacing w:val="-4"/>
                <w:sz w:val="22"/>
              </w:rPr>
              <w:t>and </w:t>
            </w:r>
            <w:r>
              <w:rPr>
                <w:spacing w:val="-2"/>
                <w:sz w:val="22"/>
              </w:rPr>
              <w:t>applicable project </w:t>
            </w:r>
            <w:r>
              <w:rPr>
                <w:spacing w:val="-4"/>
                <w:sz w:val="22"/>
              </w:rPr>
              <w:t>team </w:t>
            </w: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6086" w:type="dxa"/>
          </w:tcPr>
          <w:p>
            <w:pPr>
              <w:pStyle w:val="TableParagraph"/>
              <w:ind w:left="110" w:right="153"/>
              <w:rPr>
                <w:sz w:val="22"/>
              </w:rPr>
            </w:pPr>
            <w:r>
              <w:rPr>
                <w:sz w:val="22"/>
              </w:rPr>
              <w:t>Discuss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procedures,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escalation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corrective action plans, for the identified key Protocol deviations</w:t>
            </w:r>
          </w:p>
        </w:tc>
        <w:tc>
          <w:tcPr>
            <w:tcW w:w="1843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During the conduct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study</w:t>
            </w:r>
          </w:p>
        </w:tc>
      </w:tr>
      <w:tr>
        <w:trPr>
          <w:trHeight w:val="330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6.3.3</w:t>
            </w:r>
          </w:p>
        </w:tc>
        <w:tc>
          <w:tcPr>
            <w:tcW w:w="1339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CL</w:t>
            </w:r>
          </w:p>
        </w:tc>
        <w:tc>
          <w:tcPr>
            <w:tcW w:w="6086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deviation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TMA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10" w:right="104"/>
              <w:rPr>
                <w:sz w:val="22"/>
              </w:rPr>
            </w:pPr>
            <w:r>
              <w:rPr>
                <w:sz w:val="22"/>
              </w:rPr>
              <w:t>During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study conduct,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least once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 at frequency defined for the project during the active </w:t>
            </w:r>
            <w:r>
              <w:rPr>
                <w:spacing w:val="-2"/>
                <w:sz w:val="22"/>
              </w:rPr>
              <w:t>recruitment </w:t>
            </w:r>
            <w:r>
              <w:rPr>
                <w:sz w:val="22"/>
              </w:rPr>
              <w:t>phase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studies</w:t>
            </w:r>
          </w:p>
        </w:tc>
      </w:tr>
      <w:tr>
        <w:trPr>
          <w:trHeight w:val="2015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6.3.4</w:t>
            </w:r>
          </w:p>
        </w:tc>
        <w:tc>
          <w:tcPr>
            <w:tcW w:w="1339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TMA</w:t>
            </w:r>
          </w:p>
        </w:tc>
        <w:tc>
          <w:tcPr>
            <w:tcW w:w="6086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Reviews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deviation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categorize the level of the deviation (critical, major or minor)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43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6.3.5</w:t>
            </w:r>
          </w:p>
        </w:tc>
        <w:tc>
          <w:tcPr>
            <w:tcW w:w="1339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TMA</w:t>
            </w:r>
          </w:p>
        </w:tc>
        <w:tc>
          <w:tcPr>
            <w:tcW w:w="6086" w:type="dxa"/>
          </w:tcPr>
          <w:p>
            <w:pPr>
              <w:pStyle w:val="TableParagraph"/>
              <w:ind w:left="110" w:right="153"/>
              <w:rPr>
                <w:sz w:val="22"/>
              </w:rPr>
            </w:pPr>
            <w:r>
              <w:rPr>
                <w:sz w:val="22"/>
              </w:rPr>
              <w:t>Provides documentation of the review of cumulative Protocol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deviation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listings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Protocol Deviation Management Plan (PDMP)</w:t>
            </w:r>
          </w:p>
        </w:tc>
        <w:tc>
          <w:tcPr>
            <w:tcW w:w="1843" w:type="dxa"/>
          </w:tcPr>
          <w:p>
            <w:pPr>
              <w:pStyle w:val="TableParagraph"/>
              <w:ind w:left="110" w:right="251"/>
              <w:rPr>
                <w:sz w:val="22"/>
              </w:rPr>
            </w:pPr>
            <w:r>
              <w:rPr>
                <w:spacing w:val="-4"/>
                <w:sz w:val="22"/>
              </w:rPr>
              <w:t>Upon </w:t>
            </w:r>
            <w:r>
              <w:rPr>
                <w:sz w:val="22"/>
              </w:rPr>
              <w:t>completion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 review of the </w:t>
            </w:r>
            <w:r>
              <w:rPr>
                <w:spacing w:val="-2"/>
                <w:sz w:val="22"/>
              </w:rPr>
              <w:t>Protocol </w:t>
            </w:r>
            <w:r>
              <w:rPr>
                <w:sz w:val="22"/>
              </w:rPr>
              <w:t>deviation log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880" w:top="2540" w:bottom="1080" w:left="90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39"/>
        <w:gridCol w:w="6086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39" w:type="dxa"/>
            <w:shd w:val="clear" w:color="auto" w:fill="BFBFBF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86" w:type="dxa"/>
            <w:shd w:val="clear" w:color="auto" w:fill="BFBFBF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86" w:type="dxa"/>
          </w:tcPr>
          <w:p>
            <w:pPr>
              <w:pStyle w:val="TableParagraph"/>
              <w:spacing w:line="244" w:lineRule="auto" w:before="0"/>
              <w:ind w:left="110"/>
              <w:rPr>
                <w:sz w:val="22"/>
              </w:rPr>
            </w:pPr>
            <w:r>
              <w:rPr>
                <w:b/>
                <w:sz w:val="22"/>
              </w:rPr>
              <w:t>Note: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Refer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CS_WI_PL0038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Protocol </w:t>
            </w:r>
            <w:r>
              <w:rPr>
                <w:spacing w:val="-2"/>
                <w:sz w:val="22"/>
              </w:rPr>
              <w:t>Deviations.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39" w:hRule="atLeast"/>
        </w:trPr>
        <w:tc>
          <w:tcPr>
            <w:tcW w:w="797" w:type="dxa"/>
          </w:tcPr>
          <w:p>
            <w:pPr>
              <w:pStyle w:val="TableParagraph"/>
              <w:spacing w:before="4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6.3.6</w:t>
            </w:r>
          </w:p>
        </w:tc>
        <w:tc>
          <w:tcPr>
            <w:tcW w:w="1339" w:type="dxa"/>
          </w:tcPr>
          <w:p>
            <w:pPr>
              <w:pStyle w:val="TableParagraph"/>
              <w:spacing w:before="4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TMA</w:t>
            </w:r>
          </w:p>
        </w:tc>
        <w:tc>
          <w:tcPr>
            <w:tcW w:w="6086" w:type="dxa"/>
          </w:tcPr>
          <w:p>
            <w:pPr>
              <w:pStyle w:val="TableParagraph"/>
              <w:spacing w:before="43"/>
              <w:ind w:left="110" w:right="153"/>
              <w:rPr>
                <w:sz w:val="22"/>
              </w:rPr>
            </w:pPr>
            <w:r>
              <w:rPr>
                <w:sz w:val="22"/>
              </w:rPr>
              <w:t>Provides advice to the study team on a corrective action plan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prevent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potential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deviations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 eligibility, safety, evaluability, and the primary objective</w:t>
            </w:r>
          </w:p>
        </w:tc>
        <w:tc>
          <w:tcPr>
            <w:tcW w:w="1843" w:type="dxa"/>
          </w:tcPr>
          <w:p>
            <w:pPr>
              <w:pStyle w:val="TableParagraph"/>
              <w:spacing w:before="43"/>
              <w:ind w:left="110" w:right="251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integral part of the </w:t>
            </w:r>
            <w:r>
              <w:rPr>
                <w:spacing w:val="-2"/>
                <w:sz w:val="22"/>
              </w:rPr>
              <w:t>review</w:t>
            </w:r>
          </w:p>
        </w:tc>
      </w:tr>
      <w:tr>
        <w:trPr>
          <w:trHeight w:val="1348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6.3.7</w:t>
            </w:r>
          </w:p>
        </w:tc>
        <w:tc>
          <w:tcPr>
            <w:tcW w:w="1339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TMA</w:t>
            </w:r>
          </w:p>
        </w:tc>
        <w:tc>
          <w:tcPr>
            <w:tcW w:w="6086" w:type="dxa"/>
          </w:tcPr>
          <w:p>
            <w:pPr>
              <w:pStyle w:val="TableParagraph"/>
              <w:ind w:left="110" w:right="153"/>
              <w:rPr>
                <w:sz w:val="22"/>
              </w:rPr>
            </w:pPr>
            <w:r>
              <w:rPr>
                <w:sz w:val="22"/>
              </w:rPr>
              <w:t>Assesses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amendments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 so,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provides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Sponsor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draft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amendment</w:t>
            </w:r>
          </w:p>
        </w:tc>
        <w:tc>
          <w:tcPr>
            <w:tcW w:w="1843" w:type="dxa"/>
          </w:tcPr>
          <w:p>
            <w:pPr>
              <w:pStyle w:val="TableParagraph"/>
              <w:ind w:left="110" w:right="251"/>
              <w:rPr>
                <w:sz w:val="22"/>
              </w:rPr>
            </w:pPr>
            <w:r>
              <w:rPr>
                <w:spacing w:val="-4"/>
                <w:sz w:val="22"/>
              </w:rPr>
              <w:t>Upon </w:t>
            </w:r>
            <w:r>
              <w:rPr>
                <w:sz w:val="22"/>
              </w:rPr>
              <w:t>identification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 the need for a </w:t>
            </w:r>
            <w:r>
              <w:rPr>
                <w:spacing w:val="-2"/>
                <w:sz w:val="22"/>
              </w:rPr>
              <w:t>Protocol deviation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Handle of 24/7 Medical Emergency Coverag" w:id="11"/>
      <w:bookmarkEnd w:id="11"/>
      <w:r>
        <w:rPr>
          <w:b/>
          <w:sz w:val="22"/>
        </w:rPr>
        <w:t>Handl</w:t>
      </w:r>
      <w:r>
        <w:rPr>
          <w:b/>
          <w:sz w:val="22"/>
        </w:rPr>
        <w:t>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24/7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Emergency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Coverage</w:t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35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3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When:</w:t>
            </w:r>
          </w:p>
        </w:tc>
      </w:tr>
      <w:tr>
        <w:trPr>
          <w:trHeight w:val="1847" w:hRule="atLeast"/>
        </w:trPr>
        <w:tc>
          <w:tcPr>
            <w:tcW w:w="797" w:type="dxa"/>
          </w:tcPr>
          <w:p>
            <w:pPr>
              <w:pStyle w:val="TableParagraph"/>
              <w:spacing w:before="5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Handles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24/7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emergency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enquiries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CS_WI_MS0203 Medical Advisor 24/7 Medical Emergency </w:t>
            </w:r>
            <w:r>
              <w:rPr>
                <w:spacing w:val="-2"/>
                <w:sz w:val="22"/>
              </w:rPr>
              <w:t>Coverage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During the conduct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 study if study contracted for 24/7 medical </w:t>
            </w:r>
            <w:r>
              <w:rPr>
                <w:spacing w:val="-2"/>
                <w:sz w:val="22"/>
              </w:rPr>
              <w:t>emergency coverage</w:t>
            </w:r>
          </w:p>
        </w:tc>
      </w:tr>
      <w:tr>
        <w:trPr>
          <w:trHeight w:val="1602" w:hRule="atLeast"/>
        </w:trPr>
        <w:tc>
          <w:tcPr>
            <w:tcW w:w="797" w:type="dxa"/>
          </w:tcPr>
          <w:p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3"/>
              <w:ind w:left="110" w:right="398" w:firstLine="62"/>
              <w:rPr>
                <w:sz w:val="22"/>
              </w:rPr>
            </w:pPr>
            <w:r>
              <w:rPr>
                <w:spacing w:val="-4"/>
                <w:sz w:val="22"/>
              </w:rPr>
              <w:t>CL/ </w:t>
            </w:r>
            <w:r>
              <w:rPr>
                <w:spacing w:val="-2"/>
                <w:sz w:val="22"/>
              </w:rPr>
              <w:t>Global </w:t>
            </w:r>
            <w:r>
              <w:rPr>
                <w:spacing w:val="-4"/>
                <w:sz w:val="22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43"/>
              <w:ind w:left="104"/>
              <w:rPr>
                <w:sz w:val="22"/>
              </w:rPr>
            </w:pPr>
            <w:r>
              <w:rPr>
                <w:sz w:val="22"/>
              </w:rPr>
              <w:t>Discusses urgent contact procedures with the Sponsor, for studies that IQVIA is not providing 24/7 medical emergency coverage, clearly documents these discussions in meeting minutes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describes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Operations Plan (COP) or in the Integrated Project Management Plan: Project Communication Plan</w:t>
            </w:r>
          </w:p>
        </w:tc>
        <w:tc>
          <w:tcPr>
            <w:tcW w:w="1843" w:type="dxa"/>
          </w:tcPr>
          <w:p>
            <w:pPr>
              <w:pStyle w:val="TableParagraph"/>
              <w:spacing w:before="43"/>
              <w:ind w:right="251"/>
              <w:rPr>
                <w:sz w:val="22"/>
              </w:rPr>
            </w:pPr>
            <w:r>
              <w:rPr>
                <w:sz w:val="22"/>
              </w:rPr>
              <w:t>In studies for which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IQVIA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 not providing 24/7 coverage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  <w:rPr>
          <w:b/>
          <w:sz w:val="22"/>
        </w:rPr>
      </w:pPr>
      <w:bookmarkStart w:name="SUPPORTING DOCUMENTATION" w:id="12"/>
      <w:bookmarkEnd w:id="12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5669"/>
      </w:tblGrid>
      <w:tr>
        <w:trPr>
          <w:trHeight w:val="335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669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0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5669" w:type="dxa"/>
            <w:shd w:val="clear" w:color="auto" w:fill="BFBFB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CS_TP_MS003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CS_WI_MS0203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24/7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Emergency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CS_TP_PL0092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Protocol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Derisking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Internal</w:t>
            </w:r>
            <w:r>
              <w:rPr>
                <w:spacing w:val="-5"/>
                <w:sz w:val="22"/>
              </w:rPr>
              <w:t> Use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CS_WI_PL0023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Lifecycle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</w:p>
        </w:tc>
      </w:tr>
      <w:tr>
        <w:trPr>
          <w:trHeight w:val="585" w:hRule="atLeast"/>
        </w:trPr>
        <w:tc>
          <w:tcPr>
            <w:tcW w:w="3778" w:type="dxa"/>
          </w:tcPr>
          <w:p>
            <w:pPr>
              <w:pStyle w:val="TableParagraph"/>
              <w:spacing w:before="5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tabs>
                <w:tab w:pos="1554" w:val="left" w:leader="none"/>
              </w:tabs>
              <w:spacing w:before="0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CS_WI_PL0025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ind w:right="23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Risk,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Lessons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Learned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CS_WI_PL0038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Deviations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QG_OD_SMT0018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Glossary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Terms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880" w:top="2540" w:bottom="1080" w:left="90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5669"/>
      </w:tblGrid>
      <w:tr>
        <w:trPr>
          <w:trHeight w:val="330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669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7.8</w:t>
            </w:r>
            <w:r>
              <w:rPr>
                <w:b/>
                <w:sz w:val="22"/>
              </w:rPr>
              <w:tab/>
            </w:r>
            <w:hyperlink r:id="rId18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CS_WI_MS0213</w:t>
              </w:r>
            </w:hyperlink>
          </w:p>
        </w:tc>
        <w:tc>
          <w:tcPr>
            <w:tcW w:w="56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Creation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SUPERSEDES" w:id="13"/>
      <w:bookmarkEnd w:id="13"/>
      <w:r>
        <w:rPr>
          <w:b/>
          <w:spacing w:val="-2"/>
          <w:sz w:val="22"/>
        </w:rPr>
        <w:t>SUPERSEDES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2"/>
        <w:gridCol w:w="3326"/>
        <w:gridCol w:w="2342"/>
      </w:tblGrid>
      <w:tr>
        <w:trPr>
          <w:trHeight w:val="287" w:hRule="atLeast"/>
        </w:trPr>
        <w:tc>
          <w:tcPr>
            <w:tcW w:w="3782" w:type="dxa"/>
            <w:shd w:val="clear" w:color="auto" w:fill="BFBFBF"/>
          </w:tcPr>
          <w:p>
            <w:pPr>
              <w:pStyle w:val="TableParagraph"/>
              <w:spacing w:line="243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326" w:type="dxa"/>
            <w:shd w:val="clear" w:color="auto" w:fill="BFBFBF"/>
          </w:tcPr>
          <w:p>
            <w:pPr>
              <w:pStyle w:val="TableParagraph"/>
              <w:spacing w:line="243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42" w:type="dxa"/>
            <w:shd w:val="clear" w:color="auto" w:fill="BFBFBF"/>
          </w:tcPr>
          <w:p>
            <w:pPr>
              <w:pStyle w:val="TableParagraph"/>
              <w:spacing w:line="243" w:lineRule="exact" w:before="0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03" w:hRule="atLeast"/>
        </w:trPr>
        <w:tc>
          <w:tcPr>
            <w:tcW w:w="3782" w:type="dxa"/>
          </w:tcPr>
          <w:p>
            <w:pPr>
              <w:pStyle w:val="TableParagraph"/>
              <w:tabs>
                <w:tab w:pos="1545" w:val="left" w:leader="none"/>
              </w:tabs>
              <w:ind w:left="82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CS_WI_MS0210</w:t>
            </w:r>
          </w:p>
        </w:tc>
        <w:tc>
          <w:tcPr>
            <w:tcW w:w="3326" w:type="dxa"/>
          </w:tcPr>
          <w:p>
            <w:pPr>
              <w:pStyle w:val="TableParagraph"/>
              <w:spacing w:line="250" w:lineRule="exact" w:before="0"/>
              <w:ind w:left="105"/>
              <w:rPr>
                <w:sz w:val="22"/>
              </w:rPr>
            </w:pPr>
            <w:r>
              <w:rPr>
                <w:color w:val="323232"/>
                <w:sz w:val="22"/>
              </w:rPr>
              <w:t>Medical</w:t>
            </w:r>
            <w:r>
              <w:rPr>
                <w:color w:val="323232"/>
                <w:spacing w:val="-9"/>
                <w:sz w:val="22"/>
              </w:rPr>
              <w:t> </w:t>
            </w:r>
            <w:r>
              <w:rPr>
                <w:color w:val="323232"/>
                <w:sz w:val="22"/>
              </w:rPr>
              <w:t>Input</w:t>
            </w:r>
            <w:r>
              <w:rPr>
                <w:color w:val="323232"/>
                <w:spacing w:val="-9"/>
                <w:sz w:val="22"/>
              </w:rPr>
              <w:t> </w:t>
            </w:r>
            <w:r>
              <w:rPr>
                <w:color w:val="323232"/>
                <w:sz w:val="22"/>
              </w:rPr>
              <w:t>into</w:t>
            </w:r>
            <w:r>
              <w:rPr>
                <w:color w:val="323232"/>
                <w:spacing w:val="-9"/>
                <w:sz w:val="22"/>
              </w:rPr>
              <w:t> </w:t>
            </w:r>
            <w:r>
              <w:rPr>
                <w:color w:val="323232"/>
                <w:sz w:val="22"/>
              </w:rPr>
              <w:t>Quality</w:t>
            </w:r>
            <w:r>
              <w:rPr>
                <w:color w:val="323232"/>
                <w:spacing w:val="-9"/>
                <w:sz w:val="22"/>
              </w:rPr>
              <w:t> </w:t>
            </w:r>
            <w:r>
              <w:rPr>
                <w:color w:val="323232"/>
                <w:sz w:val="22"/>
              </w:rPr>
              <w:t>and Safety for Awarded Projects</w:t>
            </w:r>
          </w:p>
        </w:tc>
        <w:tc>
          <w:tcPr>
            <w:tcW w:w="2342" w:type="dxa"/>
          </w:tcPr>
          <w:p>
            <w:pPr>
              <w:pStyle w:val="TableParagraph"/>
              <w:spacing w:before="0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MODIFICATION FROM PREVIOUS REVISION" w:id="14"/>
      <w:bookmarkEnd w:id="14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2852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2852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128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CS_FM_MS0212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CS_TP_PL0092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6.1.2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6.1.5</w:t>
            </w:r>
          </w:p>
        </w:tc>
        <w:tc>
          <w:tcPr>
            <w:tcW w:w="2852" w:type="dxa"/>
          </w:tcPr>
          <w:p>
            <w:pPr>
              <w:pStyle w:val="TableParagraph"/>
              <w:spacing w:line="228" w:lineRule="auto" w:before="34"/>
              <w:ind w:right="132"/>
              <w:rPr>
                <w:sz w:val="22"/>
              </w:rPr>
            </w:pPr>
            <w:r>
              <w:rPr>
                <w:sz w:val="22"/>
              </w:rPr>
              <w:t>New tool created and it should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TMA performs medical input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into quality and safety for the study</w:t>
            </w:r>
          </w:p>
        </w:tc>
      </w:tr>
      <w:tr>
        <w:trPr>
          <w:trHeight w:val="614" w:hRule="atLeast"/>
        </w:trPr>
        <w:tc>
          <w:tcPr>
            <w:tcW w:w="3298" w:type="dxa"/>
          </w:tcPr>
          <w:p>
            <w:pPr>
              <w:pStyle w:val="TableParagraph"/>
              <w:spacing w:line="280" w:lineRule="atLeast" w:before="11"/>
              <w:ind w:left="110"/>
              <w:rPr>
                <w:sz w:val="22"/>
              </w:rPr>
            </w:pPr>
            <w:r>
              <w:rPr>
                <w:sz w:val="22"/>
              </w:rPr>
              <w:t>Update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PL/ </w:t>
            </w:r>
            <w:r>
              <w:rPr>
                <w:spacing w:val="-2"/>
                <w:sz w:val="22"/>
              </w:rPr>
              <w:t>designee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6.2.4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6.1.14</w:t>
            </w:r>
          </w:p>
        </w:tc>
        <w:tc>
          <w:tcPr>
            <w:tcW w:w="2852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clarify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4"/>
                <w:sz w:val="22"/>
              </w:rPr>
              <w:t>step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Supporting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documentation </w:t>
            </w:r>
            <w:r>
              <w:rPr>
                <w:spacing w:val="-2"/>
                <w:sz w:val="22"/>
              </w:rPr>
              <w:t>update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7.0</w:t>
            </w:r>
          </w:p>
        </w:tc>
        <w:tc>
          <w:tcPr>
            <w:tcW w:w="2852" w:type="dxa"/>
          </w:tcPr>
          <w:p>
            <w:pPr>
              <w:pStyle w:val="TableParagraph"/>
              <w:spacing w:line="237" w:lineRule="auto" w:before="2"/>
              <w:ind w:right="1"/>
              <w:rPr>
                <w:sz w:val="22"/>
              </w:rPr>
            </w:pPr>
            <w:r>
              <w:rPr>
                <w:sz w:val="22"/>
              </w:rPr>
              <w:t>List of supporting documents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updated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APPENDICES" w:id="15"/>
      <w:bookmarkEnd w:id="15"/>
      <w:r>
        <w:rPr>
          <w:b/>
          <w:spacing w:val="-2"/>
          <w:sz w:val="22"/>
        </w:rPr>
        <w:t>APPENDICES</w:t>
      </w:r>
    </w:p>
    <w:p>
      <w:pPr>
        <w:pStyle w:val="BodyText"/>
        <w:spacing w:before="122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rect style="position:absolute;margin-left:66pt;margin-top:11.585586pt;width:475.44pt;height:.24pt;mso-position-horizontal-relative:page;mso-position-vertical-relative:paragraph;z-index:-15727616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6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6</w:t>
      </w:r>
    </w:p>
    <w:p>
      <w:pPr>
        <w:spacing w:line="244" w:lineRule="auto" w:before="0"/>
        <w:ind w:left="539" w:right="471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2011,</w:t>
      </w:r>
      <w:r>
        <w:rPr>
          <w:spacing w:val="-2"/>
          <w:sz w:val="16"/>
        </w:rPr>
        <w:t> </w:t>
      </w:r>
      <w:r>
        <w:rPr>
          <w:sz w:val="16"/>
        </w:rPr>
        <w:t>2014,</w:t>
      </w:r>
      <w:r>
        <w:rPr>
          <w:spacing w:val="-2"/>
          <w:sz w:val="16"/>
        </w:rPr>
        <w:t> </w:t>
      </w:r>
      <w:r>
        <w:rPr>
          <w:sz w:val="16"/>
        </w:rPr>
        <w:t>2016,</w:t>
      </w:r>
      <w:r>
        <w:rPr>
          <w:spacing w:val="-2"/>
          <w:sz w:val="16"/>
        </w:rPr>
        <w:t> </w:t>
      </w:r>
      <w:r>
        <w:rPr>
          <w:sz w:val="16"/>
        </w:rPr>
        <w:t>2018,</w:t>
      </w:r>
      <w:r>
        <w:rPr>
          <w:spacing w:val="-1"/>
          <w:sz w:val="16"/>
        </w:rPr>
        <w:t> </w:t>
      </w:r>
      <w:r>
        <w:rPr>
          <w:sz w:val="16"/>
        </w:rPr>
        <w:t>2020,</w:t>
      </w:r>
      <w:r>
        <w:rPr>
          <w:spacing w:val="-3"/>
          <w:sz w:val="16"/>
        </w:rPr>
        <w:t> </w:t>
      </w:r>
      <w:r>
        <w:rPr>
          <w:sz w:val="16"/>
        </w:rPr>
        <w:t>2021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 proprietary to 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6"/>
          <w:footerReference w:type="default" r:id="rId17"/>
          <w:pgSz w:w="12240" w:h="15840"/>
          <w:pgMar w:header="725" w:footer="224" w:top="2540" w:bottom="42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740" w:right="6133" w:firstLine="0"/>
        <w:jc w:val="left"/>
        <w:rPr>
          <w:sz w:val="20"/>
        </w:rPr>
      </w:pPr>
      <w:bookmarkStart w:name="255249872_5_0_sgTemplateFile.pdf" w:id="16"/>
      <w:bookmarkEnd w:id="16"/>
      <w:r>
        <w:rPr/>
      </w: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Neilson,</w:t>
      </w:r>
      <w:r>
        <w:rPr>
          <w:spacing w:val="-10"/>
          <w:sz w:val="20"/>
        </w:rPr>
        <w:t> </w:t>
      </w:r>
      <w:r>
        <w:rPr>
          <w:sz w:val="20"/>
        </w:rPr>
        <w:t>Irene</w:t>
      </w:r>
      <w:r>
        <w:rPr>
          <w:spacing w:val="37"/>
          <w:sz w:val="20"/>
        </w:rPr>
        <w:t> </w:t>
      </w:r>
      <w:r>
        <w:rPr>
          <w:sz w:val="20"/>
        </w:rPr>
        <w:t>(q731875)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88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09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09:19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13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Nufer,</w:t>
      </w:r>
      <w:r>
        <w:rPr>
          <w:spacing w:val="-11"/>
          <w:sz w:val="20"/>
        </w:rPr>
        <w:t> </w:t>
      </w:r>
      <w:r>
        <w:rPr>
          <w:sz w:val="20"/>
        </w:rPr>
        <w:t>Letha</w:t>
      </w:r>
      <w:r>
        <w:rPr>
          <w:spacing w:val="37"/>
          <w:sz w:val="20"/>
        </w:rPr>
        <w:t> </w:t>
      </w:r>
      <w:r>
        <w:rPr>
          <w:sz w:val="20"/>
        </w:rPr>
        <w:t>(q012496)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88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09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09:54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13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Kemp,</w:t>
      </w:r>
      <w:r>
        <w:rPr>
          <w:spacing w:val="-10"/>
          <w:sz w:val="20"/>
        </w:rPr>
        <w:t> </w:t>
      </w:r>
      <w:r>
        <w:rPr>
          <w:sz w:val="20"/>
        </w:rPr>
        <w:t>Jaco</w:t>
      </w:r>
      <w:r>
        <w:rPr>
          <w:spacing w:val="36"/>
          <w:sz w:val="20"/>
        </w:rPr>
        <w:t> </w:t>
      </w:r>
      <w:r>
        <w:rPr>
          <w:sz w:val="20"/>
        </w:rPr>
        <w:t>(q608126)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88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09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10:06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13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Piccirillo,</w:t>
      </w:r>
      <w:r>
        <w:rPr>
          <w:spacing w:val="-10"/>
          <w:sz w:val="20"/>
        </w:rPr>
        <w:t> </w:t>
      </w:r>
      <w:r>
        <w:rPr>
          <w:sz w:val="20"/>
        </w:rPr>
        <w:t>Rosa</w:t>
      </w:r>
      <w:r>
        <w:rPr>
          <w:spacing w:val="36"/>
          <w:sz w:val="20"/>
        </w:rPr>
        <w:t> </w:t>
      </w:r>
      <w:r>
        <w:rPr>
          <w:sz w:val="20"/>
        </w:rPr>
        <w:t>(q792913)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88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09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01:01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740" w:right="5734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Nikolova,</w:t>
      </w:r>
      <w:r>
        <w:rPr>
          <w:spacing w:val="-11"/>
          <w:sz w:val="20"/>
        </w:rPr>
        <w:t> </w:t>
      </w:r>
      <w:r>
        <w:rPr>
          <w:sz w:val="20"/>
        </w:rPr>
        <w:t>Danny</w:t>
      </w:r>
      <w:r>
        <w:rPr>
          <w:spacing w:val="36"/>
          <w:sz w:val="20"/>
        </w:rPr>
        <w:t> </w:t>
      </w:r>
      <w:r>
        <w:rPr>
          <w:sz w:val="20"/>
        </w:rPr>
        <w:t>(q601511)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88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01:20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after="0"/>
        <w:jc w:val="left"/>
        <w:rPr>
          <w:sz w:val="20"/>
        </w:rPr>
        <w:sectPr>
          <w:headerReference w:type="default" r:id="rId19"/>
          <w:footerReference w:type="default" r:id="rId20"/>
          <w:pgSz w:w="12240" w:h="15840"/>
          <w:pgMar w:header="1448" w:footer="268" w:top="2840" w:bottom="46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740" w:right="6133" w:firstLine="0"/>
        <w:jc w:val="left"/>
        <w:rPr>
          <w:sz w:val="20"/>
        </w:rPr>
      </w:pPr>
      <w:bookmarkStart w:name="255249872_1_5_sgTemplateFile.pdf" w:id="17"/>
      <w:bookmarkEnd w:id="17"/>
      <w:r>
        <w:rPr/>
      </w: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Ferrari,</w:t>
      </w:r>
      <w:r>
        <w:rPr>
          <w:spacing w:val="-10"/>
          <w:sz w:val="20"/>
        </w:rPr>
        <w:t> </w:t>
      </w:r>
      <w:r>
        <w:rPr>
          <w:sz w:val="20"/>
        </w:rPr>
        <w:t>Antonio</w:t>
      </w:r>
      <w:r>
        <w:rPr>
          <w:spacing w:val="37"/>
          <w:sz w:val="20"/>
        </w:rPr>
        <w:t> </w:t>
      </w:r>
      <w:r>
        <w:rPr>
          <w:sz w:val="20"/>
        </w:rPr>
        <w:t>(q844337)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88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05:07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pgSz w:w="12240" w:h="15840"/>
      <w:pgMar w:header="1448" w:footer="268" w:top="2840" w:bottom="460" w:left="9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8pt;width:475.44pt;height:.24pt;mso-position-horizontal-relative:page;mso-position-vertical-relative:page;z-index:-16178176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6.440002pt;margin-top:738.470215pt;width:451.05pt;height:45.55pt;mso-position-horizontal-relative:page;mso-position-vertical-relative:page;z-index:-16177664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335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6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2011,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2014,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and proprietary to IQVIA Holdings Inc. and its subsidiaries. Unauthorized use, disclosure or reproduction is strictly prohibited.</w:t>
                </w:r>
              </w:p>
              <w:p>
                <w:pPr>
                  <w:spacing w:before="33"/>
                  <w:ind w:left="928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CS_WI_MS0210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7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01-Jul-2021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8pt;width:475.44pt;height:.24pt;mso-position-horizontal-relative:page;mso-position-vertical-relative:page;z-index:-16176640" id="docshape4" filled="true" fillcolor="#000000" stroked="false">
          <v:fill type="solid"/>
          <w10:wrap type="none"/>
        </v:rect>
      </w:pict>
    </w:r>
    <w:r>
      <w:rPr/>
      <w:pict>
        <v:shape style="position:absolute;margin-left:71pt;margin-top:738.470215pt;width:451.05pt;height:45.55pt;mso-position-horizontal-relative:page;mso-position-vertical-relative:page;z-index:-16176128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44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6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2011,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2014,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 proprietary to IQVIA Holdings Inc. and its subsidiaries. Unauthorized use, disclosure or reproduction is strictly prohibited.</w:t>
                </w:r>
              </w:p>
              <w:p>
                <w:pPr>
                  <w:spacing w:before="33"/>
                  <w:ind w:left="837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CS_WI_MS0210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7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01-Jul-2021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1.871986pt;margin-top:767.575989pt;width:388.3pt;height:16.45pt;mso-position-horizontal-relative:page;mso-position-vertical-relative:page;z-index:-16175104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CS_WI_MS0210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7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01-Jul-2021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1.871986pt;margin-top:767.575989pt;width:388.3pt;height:16.45pt;mso-position-horizontal-relative:page;mso-position-vertical-relative:page;z-index:-16173568" type="#_x0000_t202" id="docshape10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CS_WI_MS0210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7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01-Jul-2021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1.4pt;mso-position-horizontal-relative:page;mso-position-vertical-relative:page;z-index:15728640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911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Input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into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Quality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Safety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for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Awarded </w:t>
                      </w:r>
                      <w:r>
                        <w:rPr>
                          <w:spacing w:val="-2"/>
                          <w:sz w:val="20"/>
                        </w:rPr>
                        <w:t>Projects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CS_WI_MS0210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7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39328">
          <wp:simplePos x="0" y="0"/>
          <wp:positionH relativeFrom="page">
            <wp:posOffset>1271016</wp:posOffset>
          </wp:positionH>
          <wp:positionV relativeFrom="page">
            <wp:posOffset>877824</wp:posOffset>
          </wp:positionV>
          <wp:extent cx="1978152" cy="34747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1.4pt;mso-position-horizontal-relative:page;mso-position-vertical-relative:page;z-index:15729152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911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Input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into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Quality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Safety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for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Awarded </w:t>
                      </w:r>
                      <w:r>
                        <w:rPr>
                          <w:spacing w:val="-2"/>
                          <w:sz w:val="20"/>
                        </w:rPr>
                        <w:t>Projects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CS_WI_MS0210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7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40864">
          <wp:simplePos x="0" y="0"/>
          <wp:positionH relativeFrom="page">
            <wp:posOffset>1271016</wp:posOffset>
          </wp:positionH>
          <wp:positionV relativeFrom="page">
            <wp:posOffset>877824</wp:posOffset>
          </wp:positionV>
          <wp:extent cx="1978152" cy="347472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141888">
          <wp:simplePos x="0" y="0"/>
          <wp:positionH relativeFrom="page">
            <wp:posOffset>1780794</wp:posOffset>
          </wp:positionH>
          <wp:positionV relativeFrom="page">
            <wp:posOffset>1070610</wp:posOffset>
          </wp:positionV>
          <wp:extent cx="19812" cy="9905"/>
          <wp:effectExtent l="0" t="0" r="0" b="0"/>
          <wp:wrapNone/>
          <wp:docPr id="7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12" cy="9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72.980003pt;margin-top:71.424278pt;width:465.9pt;height:71.95pt;mso-position-horizontal-relative:page;mso-position-vertical-relative:page;z-index:-16174080" type="#_x0000_t202" id="docshape9" filled="false" stroked="false">
          <v:textbox inset="0,0,0,0">
            <w:txbxContent>
              <w:p>
                <w:pPr>
                  <w:spacing w:line="321" w:lineRule="exact" w:before="10"/>
                  <w:ind w:left="47" w:right="14" w:firstLine="0"/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>Standard</w:t>
                </w:r>
                <w:r>
                  <w:rPr>
                    <w:spacing w:val="-13"/>
                    <w:sz w:val="28"/>
                  </w:rPr>
                  <w:t> </w:t>
                </w:r>
                <w:r>
                  <w:rPr>
                    <w:sz w:val="28"/>
                  </w:rPr>
                  <w:t>Operating</w:t>
                </w:r>
                <w:r>
                  <w:rPr>
                    <w:spacing w:val="-12"/>
                    <w:sz w:val="28"/>
                  </w:rPr>
                  <w:t> </w:t>
                </w:r>
                <w:r>
                  <w:rPr>
                    <w:sz w:val="28"/>
                  </w:rPr>
                  <w:t>Procedure</w:t>
                </w:r>
                <w:r>
                  <w:rPr>
                    <w:spacing w:val="-12"/>
                    <w:sz w:val="28"/>
                  </w:rPr>
                  <w:t> </w:t>
                </w:r>
                <w:r>
                  <w:rPr>
                    <w:sz w:val="28"/>
                  </w:rPr>
                  <w:t>Approval</w:t>
                </w:r>
                <w:r>
                  <w:rPr>
                    <w:spacing w:val="-12"/>
                    <w:sz w:val="28"/>
                  </w:rPr>
                  <w:t> </w:t>
                </w:r>
                <w:r>
                  <w:rPr>
                    <w:spacing w:val="-2"/>
                    <w:sz w:val="28"/>
                  </w:rPr>
                  <w:t>Signature(s)</w:t>
                </w:r>
              </w:p>
              <w:p>
                <w:pPr>
                  <w:pStyle w:val="BodyText"/>
                  <w:spacing w:line="252" w:lineRule="exact"/>
                  <w:ind w:left="47" w:right="47"/>
                  <w:jc w:val="center"/>
                </w:pPr>
                <w:r>
                  <w:rPr/>
                  <w:t>This</w:t>
                </w:r>
                <w:r>
                  <w:rPr>
                    <w:spacing w:val="-6"/>
                  </w:rPr>
                  <w:t> </w:t>
                </w:r>
                <w:r>
                  <w:rPr/>
                  <w:t>is</w:t>
                </w:r>
                <w:r>
                  <w:rPr>
                    <w:spacing w:val="-6"/>
                  </w:rPr>
                  <w:t> </w:t>
                </w:r>
                <w:r>
                  <w:rPr/>
                  <w:t>a</w:t>
                </w:r>
                <w:r>
                  <w:rPr>
                    <w:spacing w:val="-7"/>
                  </w:rPr>
                  <w:t> </w:t>
                </w:r>
                <w:r>
                  <w:rPr/>
                  <w:t>representation</w:t>
                </w:r>
                <w:r>
                  <w:rPr>
                    <w:spacing w:val="-7"/>
                  </w:rPr>
                  <w:t> </w:t>
                </w:r>
                <w:r>
                  <w:rPr/>
                  <w:t>of</w:t>
                </w:r>
                <w:r>
                  <w:rPr>
                    <w:spacing w:val="-5"/>
                  </w:rPr>
                  <w:t> </w:t>
                </w:r>
                <w:r>
                  <w:rPr/>
                  <w:t>an</w:t>
                </w:r>
                <w:r>
                  <w:rPr>
                    <w:spacing w:val="-6"/>
                  </w:rPr>
                  <w:t> </w:t>
                </w:r>
                <w:r>
                  <w:rPr/>
                  <w:t>electronic</w:t>
                </w:r>
                <w:r>
                  <w:rPr>
                    <w:spacing w:val="-6"/>
                  </w:rPr>
                  <w:t> </w:t>
                </w:r>
                <w:r>
                  <w:rPr/>
                  <w:t>record</w:t>
                </w:r>
                <w:r>
                  <w:rPr>
                    <w:spacing w:val="-6"/>
                  </w:rPr>
                  <w:t> </w:t>
                </w:r>
                <w:r>
                  <w:rPr/>
                  <w:t>that</w:t>
                </w:r>
                <w:r>
                  <w:rPr>
                    <w:spacing w:val="-6"/>
                  </w:rPr>
                  <w:t> </w:t>
                </w:r>
                <w:r>
                  <w:rPr/>
                  <w:t>was</w:t>
                </w:r>
                <w:r>
                  <w:rPr>
                    <w:spacing w:val="-5"/>
                  </w:rPr>
                  <w:t> </w:t>
                </w:r>
                <w:r>
                  <w:rPr/>
                  <w:t>signed</w:t>
                </w:r>
                <w:r>
                  <w:rPr>
                    <w:spacing w:val="-6"/>
                  </w:rPr>
                  <w:t> </w:t>
                </w:r>
                <w:r>
                  <w:rPr/>
                  <w:t>electronically</w:t>
                </w:r>
                <w:r>
                  <w:rPr>
                    <w:spacing w:val="-6"/>
                  </w:rPr>
                  <w:t> </w:t>
                </w:r>
                <w:r>
                  <w:rPr/>
                  <w:t>in</w:t>
                </w:r>
                <w:r>
                  <w:rPr>
                    <w:spacing w:val="-6"/>
                  </w:rPr>
                  <w:t> </w:t>
                </w:r>
                <w:r>
                  <w:rPr/>
                  <w:t>Content</w:t>
                </w:r>
                <w:r>
                  <w:rPr>
                    <w:spacing w:val="-6"/>
                  </w:rPr>
                  <w:t> </w:t>
                </w:r>
                <w:r>
                  <w:rPr>
                    <w:spacing w:val="-2"/>
                  </w:rPr>
                  <w:t>Server.</w:t>
                </w:r>
              </w:p>
              <w:p>
                <w:pPr>
                  <w:pStyle w:val="BodyText"/>
                  <w:spacing w:line="276" w:lineRule="auto"/>
                  <w:ind w:left="47" w:right="42"/>
                  <w:jc w:val="center"/>
                </w:pPr>
                <w:r>
                  <w:rPr/>
                  <w:t>This</w:t>
                </w:r>
                <w:r>
                  <w:rPr>
                    <w:spacing w:val="-3"/>
                  </w:rPr>
                  <w:t> </w:t>
                </w:r>
                <w:r>
                  <w:rPr/>
                  <w:t>page</w:t>
                </w:r>
                <w:r>
                  <w:rPr>
                    <w:spacing w:val="-3"/>
                  </w:rPr>
                  <w:t> </w:t>
                </w:r>
                <w:r>
                  <w:rPr/>
                  <w:t>is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3"/>
                  </w:rPr>
                  <w:t> </w:t>
                </w:r>
                <w:r>
                  <w:rPr/>
                  <w:t>manifestation</w:t>
                </w:r>
                <w:r>
                  <w:rPr>
                    <w:spacing w:val="-3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4"/>
                  </w:rPr>
                  <w:t> </w:t>
                </w:r>
                <w:r>
                  <w:rPr/>
                  <w:t>electronic</w:t>
                </w:r>
                <w:r>
                  <w:rPr>
                    <w:spacing w:val="-4"/>
                  </w:rPr>
                  <w:t> </w:t>
                </w:r>
                <w:r>
                  <w:rPr/>
                  <w:t>signature(s)</w:t>
                </w:r>
                <w:r>
                  <w:rPr>
                    <w:spacing w:val="-3"/>
                  </w:rPr>
                  <w:t> </w:t>
                </w:r>
                <w:r>
                  <w:rPr/>
                  <w:t>used</w:t>
                </w:r>
                <w:r>
                  <w:rPr>
                    <w:spacing w:val="-3"/>
                  </w:rPr>
                  <w:t> </w:t>
                </w:r>
                <w:r>
                  <w:rPr/>
                  <w:t>in</w:t>
                </w:r>
                <w:r>
                  <w:rPr>
                    <w:spacing w:val="-3"/>
                  </w:rPr>
                  <w:t> </w:t>
                </w:r>
                <w:r>
                  <w:rPr/>
                  <w:t>compliance</w:t>
                </w:r>
                <w:r>
                  <w:rPr>
                    <w:spacing w:val="-3"/>
                  </w:rPr>
                  <w:t> </w:t>
                </w:r>
                <w:r>
                  <w:rPr/>
                  <w:t>with</w:t>
                </w:r>
                <w:r>
                  <w:rPr>
                    <w:spacing w:val="-3"/>
                  </w:rPr>
                  <w:t> </w:t>
                </w:r>
                <w:r>
                  <w:rPr/>
                  <w:t>the organization’s electronic signature policies and procedures</w:t>
                </w:r>
              </w:p>
              <w:p>
                <w:pPr>
                  <w:pStyle w:val="BodyText"/>
                  <w:ind w:left="47" w:right="163"/>
                  <w:jc w:val="center"/>
                </w:pPr>
                <w:r>
                  <w:rPr/>
                  <w:t>Refer</w:t>
                </w:r>
                <w:r>
                  <w:rPr>
                    <w:spacing w:val="-6"/>
                  </w:rPr>
                  <w:t> </w:t>
                </w:r>
                <w:r>
                  <w:rPr/>
                  <w:t>to</w:t>
                </w:r>
                <w:r>
                  <w:rPr>
                    <w:spacing w:val="-5"/>
                  </w:rPr>
                  <w:t> </w:t>
                </w:r>
                <w:r>
                  <w:rPr/>
                  <w:t>Signatories</w:t>
                </w:r>
                <w:r>
                  <w:rPr>
                    <w:spacing w:val="-6"/>
                  </w:rPr>
                  <w:t> </w:t>
                </w:r>
                <w:r>
                  <w:rPr/>
                  <w:t>CV</w:t>
                </w:r>
                <w:r>
                  <w:rPr>
                    <w:spacing w:val="-5"/>
                  </w:rPr>
                  <w:t> </w:t>
                </w:r>
                <w:r>
                  <w:rPr/>
                  <w:t>for</w:t>
                </w:r>
                <w:r>
                  <w:rPr>
                    <w:spacing w:val="-6"/>
                  </w:rPr>
                  <w:t> </w:t>
                </w:r>
                <w:r>
                  <w:rPr/>
                  <w:t>Business</w:t>
                </w:r>
                <w:r>
                  <w:rPr>
                    <w:spacing w:val="-5"/>
                  </w:rPr>
                  <w:t> </w:t>
                </w:r>
                <w:r>
                  <w:rPr>
                    <w:spacing w:val="-2"/>
                  </w:rPr>
                  <w:t>Title.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3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TP_MS003" TargetMode="External"/><Relationship Id="rId10" Type="http://schemas.openxmlformats.org/officeDocument/2006/relationships/hyperlink" Target="https://elvis.quintiles.com/livelink/llisapi.dll/open/CS_WI_MS0203" TargetMode="External"/><Relationship Id="rId11" Type="http://schemas.openxmlformats.org/officeDocument/2006/relationships/hyperlink" Target="https://elvis.quintiles.com/livelink/llisapi.dll/open/CS_TP_PL0092" TargetMode="External"/><Relationship Id="rId12" Type="http://schemas.openxmlformats.org/officeDocument/2006/relationships/hyperlink" Target="https://elvis.quintiles.com/livelink/llisapi.dll/open/CS_WI_PL0023" TargetMode="External"/><Relationship Id="rId13" Type="http://schemas.openxmlformats.org/officeDocument/2006/relationships/hyperlink" Target="https://elvis.quintiles.com/livelink/llisapi.dll/open/CS_WI_PL0025" TargetMode="External"/><Relationship Id="rId14" Type="http://schemas.openxmlformats.org/officeDocument/2006/relationships/hyperlink" Target="https://elvis.quintiles.com/livelink/llisapi.dll/open/CS_WI_PL0038" TargetMode="External"/><Relationship Id="rId15" Type="http://schemas.openxmlformats.org/officeDocument/2006/relationships/hyperlink" Target="https://elvis.quintiles.com/livelink/llisapi.dll/open/QG_OD_SMT0018" TargetMode="External"/><Relationship Id="rId16" Type="http://schemas.openxmlformats.org/officeDocument/2006/relationships/header" Target="header2.xml"/><Relationship Id="rId17" Type="http://schemas.openxmlformats.org/officeDocument/2006/relationships/footer" Target="footer3.xml"/><Relationship Id="rId18" Type="http://schemas.openxmlformats.org/officeDocument/2006/relationships/hyperlink" Target="https://elvis.quintiles.com/livelink/llisapi.dll/open/CS_WI_MS0213" TargetMode="External"/><Relationship Id="rId19" Type="http://schemas.openxmlformats.org/officeDocument/2006/relationships/header" Target="header3.xml"/><Relationship Id="rId20" Type="http://schemas.openxmlformats.org/officeDocument/2006/relationships/footer" Target="footer4.xm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255249872_5_0_sgMainFile.pdf</dc:title>
  <dcterms:created xsi:type="dcterms:W3CDTF">2023-04-11T15:19:42Z</dcterms:created>
  <dcterms:modified xsi:type="dcterms:W3CDTF">2023-04-11T15:19:42Z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2021-06-10T00:00:00Z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