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300" w:lineRule="auto"/>
              <w:ind w:left="803" w:right="40" w:firstLine="456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Performing</w:t>
            </w:r>
            <w:r>
              <w:rPr>
                <w:b/>
                <w:spacing w:val="-13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Medical</w:t>
            </w:r>
            <w:r>
              <w:rPr>
                <w:b/>
                <w:spacing w:val="-13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Data</w:t>
            </w:r>
            <w:r>
              <w:rPr>
                <w:b/>
                <w:spacing w:val="-13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Reviews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CS_WI_MS0220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Abhijit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Mishra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6"/>
        <w:ind w:left="1180" w:right="888"/>
      </w:pP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procedures</w:t>
      </w:r>
      <w:r>
        <w:rPr>
          <w:spacing w:val="-3"/>
        </w:rPr>
        <w:t> </w:t>
      </w:r>
      <w:r>
        <w:rPr/>
        <w:t>for</w:t>
      </w:r>
      <w:r>
        <w:rPr>
          <w:spacing w:val="-6"/>
        </w:rPr>
        <w:t> </w:t>
      </w:r>
      <w:r>
        <w:rPr/>
        <w:t>performing</w:t>
      </w:r>
      <w:r>
        <w:rPr>
          <w:spacing w:val="-3"/>
        </w:rPr>
        <w:t> </w:t>
      </w:r>
      <w:r>
        <w:rPr/>
        <w:t>medical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reviews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ensure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overall relevance and medical consistency of the data within a project.</w:t>
      </w:r>
    </w:p>
    <w:p>
      <w:pPr>
        <w:pStyle w:val="BodyText"/>
        <w:spacing w:before="3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  <w:rPr>
          <w:b/>
          <w:sz w:val="22"/>
        </w:rPr>
      </w:pPr>
      <w:bookmarkStart w:name="SCOPE" w:id="2"/>
      <w:bookmarkEnd w:id="2"/>
      <w:r>
        <w:rPr>
          <w:b/>
          <w:spacing w:val="-2"/>
          <w:sz w:val="2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899" w:right="909" w:hanging="720"/>
        <w:jc w:val="left"/>
        <w:rPr>
          <w:sz w:val="22"/>
        </w:rPr>
      </w:pPr>
      <w:bookmarkStart w:name="This work instruction applies globally t" w:id="3"/>
      <w:bookmarkEnd w:id="3"/>
      <w:r>
        <w:rPr>
          <w:sz w:val="22"/>
        </w:rPr>
        <w:t>This</w:t>
      </w:r>
      <w:r>
        <w:rPr>
          <w:spacing w:val="-2"/>
          <w:sz w:val="22"/>
        </w:rPr>
        <w:t> </w:t>
      </w:r>
      <w:r>
        <w:rPr>
          <w:sz w:val="22"/>
        </w:rPr>
        <w:t>work</w:t>
      </w:r>
      <w:r>
        <w:rPr>
          <w:spacing w:val="-2"/>
          <w:sz w:val="22"/>
        </w:rPr>
        <w:t> </w:t>
      </w:r>
      <w:r>
        <w:rPr>
          <w:sz w:val="22"/>
        </w:rPr>
        <w:t>instruction</w:t>
      </w:r>
      <w:r>
        <w:rPr>
          <w:spacing w:val="-2"/>
          <w:sz w:val="22"/>
        </w:rPr>
        <w:t> </w:t>
      </w:r>
      <w:r>
        <w:rPr>
          <w:sz w:val="22"/>
        </w:rPr>
        <w:t>applies</w:t>
      </w:r>
      <w:r>
        <w:rPr>
          <w:spacing w:val="-2"/>
          <w:sz w:val="22"/>
        </w:rPr>
        <w:t> </w:t>
      </w:r>
      <w:r>
        <w:rPr>
          <w:sz w:val="22"/>
        </w:rPr>
        <w:t>globally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2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data</w:t>
      </w:r>
      <w:r>
        <w:rPr>
          <w:spacing w:val="-4"/>
          <w:sz w:val="22"/>
        </w:rPr>
        <w:t> </w:t>
      </w:r>
      <w:r>
        <w:rPr>
          <w:sz w:val="22"/>
        </w:rPr>
        <w:t>review</w:t>
      </w:r>
      <w:r>
        <w:rPr>
          <w:spacing w:val="-4"/>
          <w:sz w:val="22"/>
        </w:rPr>
        <w:t> </w:t>
      </w:r>
      <w:r>
        <w:rPr>
          <w:sz w:val="22"/>
        </w:rPr>
        <w:t>performed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the Medical Data Reviewer (MDR), under the direction and oversight of the Therapeutic Medical Advisor (TMA).</w:t>
      </w:r>
    </w:p>
    <w:p>
      <w:pPr>
        <w:pStyle w:val="BodyText"/>
        <w:spacing w:before="5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1"/>
        <w:jc w:val="left"/>
        <w:rPr>
          <w:b/>
          <w:sz w:val="22"/>
        </w:rPr>
      </w:pPr>
      <w:bookmarkStart w:name="ROLES AND RESPONSIBILITIES" w:id="4"/>
      <w:bookmarkEnd w:id="4"/>
      <w:r>
        <w:rPr>
          <w:b/>
          <w:sz w:val="22"/>
        </w:rPr>
        <w:t>ROLE</w:t>
      </w:r>
      <w:r>
        <w:rPr>
          <w:b/>
          <w:sz w:val="22"/>
        </w:rPr>
        <w:t>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126"/>
        <w:ind w:left="117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MDR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(may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also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performed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TMA)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6.1, 6.2,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Therapeutic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(TMA)*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rPr>
                <w:sz w:val="22"/>
              </w:rPr>
            </w:pPr>
            <w:r>
              <w:rPr>
                <w:sz w:val="22"/>
              </w:rPr>
              <w:t>6.1, </w:t>
            </w: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MDR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Programmer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BodyText"/>
        <w:spacing w:line="244" w:lineRule="auto" w:before="1"/>
        <w:ind w:left="1002" w:right="888"/>
      </w:pPr>
      <w:bookmarkStart w:name="*Note: If TMA is not included in the con" w:id="5"/>
      <w:bookmarkEnd w:id="5"/>
      <w:r>
        <w:rPr/>
      </w:r>
      <w:r>
        <w:rPr>
          <w:b/>
        </w:rPr>
        <w:t>*Note</w:t>
      </w:r>
      <w:r>
        <w:rPr/>
        <w:t>:</w:t>
      </w:r>
      <w:r>
        <w:rPr>
          <w:spacing w:val="-1"/>
        </w:rPr>
        <w:t> </w:t>
      </w:r>
      <w:r>
        <w:rPr/>
        <w:t>If</w:t>
      </w:r>
      <w:r>
        <w:rPr>
          <w:spacing w:val="-4"/>
        </w:rPr>
        <w:t> </w:t>
      </w:r>
      <w:r>
        <w:rPr/>
        <w:t>TMA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not</w:t>
      </w:r>
      <w:r>
        <w:rPr>
          <w:spacing w:val="-4"/>
        </w:rPr>
        <w:t> </w:t>
      </w:r>
      <w:r>
        <w:rPr/>
        <w:t>included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contract,</w:t>
      </w:r>
      <w:r>
        <w:rPr>
          <w:spacing w:val="-4"/>
        </w:rPr>
        <w:t> </w:t>
      </w:r>
      <w:r>
        <w:rPr/>
        <w:t>responsibilities</w:t>
      </w:r>
      <w:r>
        <w:rPr>
          <w:spacing w:val="-2"/>
        </w:rPr>
        <w:t> </w:t>
      </w:r>
      <w:r>
        <w:rPr/>
        <w:t>outlined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work instruction for the TMA are performed by the MDR.</w:t>
      </w:r>
    </w:p>
    <w:p>
      <w:pPr>
        <w:pStyle w:val="BodyText"/>
        <w:spacing w:before="2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DEFINITIONS" w:id="6"/>
      <w:bookmarkEnd w:id="6"/>
      <w:r>
        <w:rPr>
          <w:b/>
          <w:spacing w:val="-2"/>
          <w:sz w:val="22"/>
        </w:rPr>
        <w:t>DEFINITIONS</w:t>
      </w:r>
    </w:p>
    <w:p>
      <w:pPr>
        <w:pStyle w:val="BodyText"/>
        <w:spacing w:before="127"/>
        <w:ind w:left="11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1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MATERIAL AND EQUIPMENT" w:id="7"/>
      <w:bookmarkEnd w:id="7"/>
      <w:r>
        <w:rPr>
          <w:b/>
          <w:sz w:val="22"/>
        </w:rPr>
        <w:t>MA</w:t>
      </w:r>
      <w:r>
        <w:rPr>
          <w:b/>
          <w:sz w:val="22"/>
        </w:rPr>
        <w:t>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before="127"/>
        <w:ind w:left="11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PROCEDURE" w:id="8"/>
      <w:bookmarkEnd w:id="8"/>
      <w:r>
        <w:rPr>
          <w:b/>
          <w:spacing w:val="-2"/>
          <w:sz w:val="22"/>
        </w:rPr>
        <w:t>PROCEDURE</w:t>
      </w:r>
    </w:p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  <w:rPr>
          <w:b/>
          <w:sz w:val="22"/>
        </w:rPr>
      </w:pPr>
      <w:bookmarkStart w:name="Perform Set-up Activities for the Medica" w:id="9"/>
      <w:bookmarkEnd w:id="9"/>
      <w:r>
        <w:rPr>
          <w:b/>
          <w:sz w:val="22"/>
        </w:rPr>
        <w:t>Perform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Set-up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Activities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Data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59"/>
        <w:gridCol w:w="6303"/>
        <w:gridCol w:w="1609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0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609" w:type="dxa"/>
            <w:shd w:val="clear" w:color="auto" w:fill="D9D9D9"/>
          </w:tcPr>
          <w:p>
            <w:pPr>
              <w:pStyle w:val="TableParagraph"/>
              <w:spacing w:before="38"/>
              <w:ind w:left="10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359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303" w:type="dxa"/>
          </w:tcPr>
          <w:p>
            <w:pPr>
              <w:pStyle w:val="TableParagraph"/>
              <w:spacing w:line="235" w:lineRule="auto" w:before="60"/>
              <w:ind w:left="104" w:right="134"/>
              <w:rPr>
                <w:sz w:val="20"/>
              </w:rPr>
            </w:pPr>
            <w:r>
              <w:rPr>
                <w:sz w:val="20"/>
              </w:rPr>
              <w:t>Communicates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timelines,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work,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expectations to the MDR.</w:t>
            </w:r>
          </w:p>
        </w:tc>
        <w:tc>
          <w:tcPr>
            <w:tcW w:w="1609" w:type="dxa"/>
          </w:tcPr>
          <w:p>
            <w:pPr>
              <w:pStyle w:val="TableParagraph"/>
              <w:spacing w:before="38"/>
              <w:ind w:left="103"/>
              <w:rPr>
                <w:sz w:val="20"/>
              </w:rPr>
            </w:pPr>
            <w:r>
              <w:rPr>
                <w:sz w:val="20"/>
              </w:rPr>
              <w:t>During internal Medical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kick-off </w:t>
            </w:r>
            <w:r>
              <w:rPr>
                <w:spacing w:val="-2"/>
                <w:sz w:val="20"/>
              </w:rPr>
              <w:t>meeting</w:t>
            </w:r>
          </w:p>
        </w:tc>
      </w:tr>
    </w:tbl>
    <w:p>
      <w:pPr>
        <w:spacing w:after="0"/>
        <w:rPr>
          <w:sz w:val="20"/>
        </w:rPr>
        <w:sectPr>
          <w:footerReference w:type="default" r:id="rId5"/>
          <w:type w:val="continuous"/>
          <w:pgSz w:w="12240" w:h="15840"/>
          <w:pgMar w:footer="1264" w:header="0" w:top="700" w:bottom="1460" w:left="980" w:right="620"/>
          <w:pgNumType w:start="1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59"/>
        <w:gridCol w:w="6303"/>
        <w:gridCol w:w="1609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0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609" w:type="dxa"/>
            <w:shd w:val="clear" w:color="auto" w:fill="D9D9D9"/>
          </w:tcPr>
          <w:p>
            <w:pPr>
              <w:pStyle w:val="TableParagraph"/>
              <w:spacing w:before="38"/>
              <w:ind w:left="10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313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359" w:type="dxa"/>
            <w:vMerge w:val="restart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</w:tc>
        <w:tc>
          <w:tcPr>
            <w:tcW w:w="6303" w:type="dxa"/>
          </w:tcPr>
          <w:p>
            <w:pPr>
              <w:pStyle w:val="TableParagraph"/>
              <w:spacing w:before="57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***Determine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Review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Tools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Needed***</w:t>
            </w:r>
          </w:p>
          <w:p>
            <w:pPr>
              <w:pStyle w:val="TableParagraph"/>
              <w:spacing w:before="63"/>
              <w:ind w:left="104"/>
              <w:rPr>
                <w:sz w:val="20"/>
              </w:rPr>
            </w:pPr>
            <w:r>
              <w:rPr>
                <w:sz w:val="20"/>
              </w:rPr>
              <w:t>Uses the Medical Data Review Plan (MDRP) section of the Medical Monitoring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(MMP;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CS_WI_MS0213,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Monitoring Plan Creation and Review) to determine the appropriate tools (e.g., SAS data listings, Spotfire visualizations, J-Review) that will be needed for medical review of each type of data.</w:t>
            </w:r>
          </w:p>
          <w:p>
            <w:pPr>
              <w:pStyle w:val="TableParagraph"/>
              <w:spacing w:before="54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contract,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MDR uses MDR Plan for Stand-alone Projects, CS_TP_MS0221 to generate the plan.</w:t>
            </w:r>
          </w:p>
        </w:tc>
        <w:tc>
          <w:tcPr>
            <w:tcW w:w="1609" w:type="dxa"/>
          </w:tcPr>
          <w:p>
            <w:pPr>
              <w:pStyle w:val="TableParagraph"/>
              <w:spacing w:before="42"/>
              <w:ind w:left="103" w:right="267"/>
              <w:rPr>
                <w:sz w:val="20"/>
              </w:rPr>
            </w:pPr>
            <w:r>
              <w:rPr>
                <w:sz w:val="20"/>
              </w:rPr>
              <w:t>While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drafting the MMP</w:t>
            </w:r>
          </w:p>
        </w:tc>
      </w:tr>
      <w:tr>
        <w:trPr>
          <w:trHeight w:val="217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303" w:type="dxa"/>
          </w:tcPr>
          <w:p>
            <w:pPr>
              <w:pStyle w:val="TableParagraph"/>
              <w:spacing w:line="237" w:lineRule="auto" w:before="73"/>
              <w:ind w:left="104"/>
              <w:rPr>
                <w:sz w:val="20"/>
              </w:rPr>
            </w:pPr>
            <w:r>
              <w:rPr>
                <w:sz w:val="20"/>
              </w:rPr>
              <w:t>MDR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create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specifications*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on headers** provided in MMP and will be then shared with MDR </w:t>
            </w:r>
            <w:r>
              <w:rPr>
                <w:spacing w:val="-2"/>
                <w:sz w:val="20"/>
              </w:rPr>
              <w:t>programmer.</w:t>
            </w:r>
          </w:p>
          <w:p>
            <w:pPr>
              <w:pStyle w:val="TableParagraph"/>
              <w:spacing w:before="73"/>
              <w:ind w:left="104"/>
              <w:rPr>
                <w:sz w:val="20"/>
              </w:rPr>
            </w:pPr>
            <w:r>
              <w:rPr>
                <w:sz w:val="20"/>
              </w:rPr>
              <w:t>*Specifications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excel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template</w:t>
            </w:r>
          </w:p>
          <w:p>
            <w:pPr>
              <w:pStyle w:val="TableParagraph"/>
              <w:spacing w:line="235" w:lineRule="auto" w:before="81"/>
              <w:ind w:left="104"/>
              <w:rPr>
                <w:sz w:val="20"/>
              </w:rPr>
            </w:pPr>
            <w:r>
              <w:rPr>
                <w:sz w:val="20"/>
              </w:rPr>
              <w:t>**The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headers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derived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eCRF/non-eCRF annotation guidelines.</w:t>
            </w:r>
          </w:p>
          <w:p>
            <w:pPr>
              <w:pStyle w:val="TableParagraph"/>
              <w:spacing w:line="235" w:lineRule="auto" w:before="73"/>
              <w:ind w:left="104"/>
              <w:rPr>
                <w:sz w:val="20"/>
              </w:rPr>
            </w:pPr>
            <w:r>
              <w:rPr>
                <w:sz w:val="20"/>
              </w:rPr>
              <w:t>If J-Review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initiate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GRIDDS Team.</w:t>
            </w:r>
          </w:p>
        </w:tc>
        <w:tc>
          <w:tcPr>
            <w:tcW w:w="1609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 finalized </w:t>
            </w:r>
            <w:r>
              <w:rPr>
                <w:spacing w:val="-2"/>
                <w:sz w:val="20"/>
              </w:rPr>
              <w:t>(preferably) </w:t>
            </w:r>
            <w:r>
              <w:rPr>
                <w:sz w:val="20"/>
              </w:rPr>
              <w:t>ASB/ALS etc. and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non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eCRF guidelines are </w:t>
            </w:r>
            <w:r>
              <w:rPr>
                <w:spacing w:val="-2"/>
                <w:sz w:val="20"/>
              </w:rPr>
              <w:t>available.</w:t>
            </w:r>
          </w:p>
        </w:tc>
      </w:tr>
      <w:tr>
        <w:trPr>
          <w:trHeight w:val="115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359" w:type="dxa"/>
            <w:vMerge w:val="restart"/>
          </w:tcPr>
          <w:p>
            <w:pPr>
              <w:pStyle w:val="TableParagraph"/>
              <w:spacing w:before="57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Programmer</w:t>
            </w:r>
          </w:p>
        </w:tc>
        <w:tc>
          <w:tcPr>
            <w:tcW w:w="6303" w:type="dxa"/>
          </w:tcPr>
          <w:p>
            <w:pPr>
              <w:pStyle w:val="TableParagraph"/>
              <w:spacing w:line="237" w:lineRule="auto" w:before="59"/>
              <w:ind w:left="104" w:right="13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programming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specifications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provides technical programming inputs, using SAS or other tools as per project requirements. If needed, programming specification document may be updated.</w:t>
            </w:r>
          </w:p>
        </w:tc>
        <w:tc>
          <w:tcPr>
            <w:tcW w:w="1609" w:type="dxa"/>
          </w:tcPr>
          <w:p>
            <w:pPr>
              <w:pStyle w:val="TableParagraph"/>
              <w:spacing w:line="230" w:lineRule="exact"/>
              <w:ind w:left="103" w:right="180"/>
              <w:rPr>
                <w:sz w:val="20"/>
              </w:rPr>
            </w:pPr>
            <w:r>
              <w:rPr>
                <w:spacing w:val="-2"/>
                <w:sz w:val="20"/>
              </w:rPr>
              <w:t>After </w:t>
            </w:r>
            <w:r>
              <w:rPr>
                <w:sz w:val="20"/>
              </w:rPr>
              <w:t>availability of </w:t>
            </w:r>
            <w:r>
              <w:rPr>
                <w:spacing w:val="-2"/>
                <w:sz w:val="20"/>
              </w:rPr>
              <w:t>Initial programming Specifications.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35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303" w:type="dxa"/>
          </w:tcPr>
          <w:p>
            <w:pPr>
              <w:pStyle w:val="TableParagraph"/>
              <w:spacing w:line="237" w:lineRule="auto" w:before="59"/>
              <w:ind w:left="104" w:right="134"/>
              <w:rPr>
                <w:sz w:val="20"/>
              </w:rPr>
            </w:pPr>
            <w:r>
              <w:rPr>
                <w:sz w:val="20"/>
              </w:rPr>
              <w:t>Shares the initial MDR Draft outputs based on the finalized programming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specifications.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MDR for their feedback.</w:t>
            </w:r>
          </w:p>
        </w:tc>
        <w:tc>
          <w:tcPr>
            <w:tcW w:w="1609" w:type="dxa"/>
          </w:tcPr>
          <w:p>
            <w:pPr>
              <w:pStyle w:val="TableParagraph"/>
              <w:spacing w:before="38"/>
              <w:ind w:left="103" w:right="244"/>
              <w:jc w:val="both"/>
              <w:rPr>
                <w:sz w:val="20"/>
              </w:rPr>
            </w:pPr>
            <w:r>
              <w:rPr>
                <w:sz w:val="20"/>
              </w:rPr>
              <w:t>After finalized </w:t>
            </w:r>
            <w:r>
              <w:rPr>
                <w:spacing w:val="-2"/>
                <w:sz w:val="20"/>
              </w:rPr>
              <w:t>specifications </w:t>
            </w:r>
            <w:r>
              <w:rPr>
                <w:sz w:val="20"/>
              </w:rPr>
              <w:t>available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4"/>
                <w:sz w:val="20"/>
              </w:rPr>
              <w:t>MDR.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359" w:type="dxa"/>
          </w:tcPr>
          <w:p>
            <w:pPr>
              <w:pStyle w:val="TableParagraph"/>
              <w:spacing w:before="57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</w:tc>
        <w:tc>
          <w:tcPr>
            <w:tcW w:w="6303" w:type="dxa"/>
          </w:tcPr>
          <w:p>
            <w:pPr>
              <w:pStyle w:val="TableParagraph"/>
              <w:spacing w:line="235" w:lineRule="auto" w:before="75"/>
              <w:ind w:left="104" w:right="188"/>
              <w:rPr>
                <w:sz w:val="20"/>
              </w:rPr>
            </w:pPr>
            <w:r>
              <w:rPr>
                <w:sz w:val="20"/>
              </w:rPr>
              <w:t>MDR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initial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if required can suggest programmer for any further modifications.</w:t>
            </w:r>
          </w:p>
        </w:tc>
        <w:tc>
          <w:tcPr>
            <w:tcW w:w="1609" w:type="dxa"/>
          </w:tcPr>
          <w:p>
            <w:pPr>
              <w:pStyle w:val="TableParagraph"/>
              <w:spacing w:before="38"/>
              <w:ind w:left="103" w:right="111"/>
              <w:rPr>
                <w:sz w:val="20"/>
              </w:rPr>
            </w:pPr>
            <w:r>
              <w:rPr>
                <w:sz w:val="20"/>
              </w:rPr>
              <w:t>After initial outputs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created by MDR </w:t>
            </w:r>
            <w:r>
              <w:rPr>
                <w:spacing w:val="-2"/>
                <w:sz w:val="20"/>
              </w:rPr>
              <w:t>programmer</w:t>
            </w:r>
          </w:p>
        </w:tc>
      </w:tr>
      <w:tr>
        <w:trPr>
          <w:trHeight w:val="168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359" w:type="dxa"/>
          </w:tcPr>
          <w:p>
            <w:pPr>
              <w:pStyle w:val="TableParagraph"/>
              <w:spacing w:line="228" w:lineRule="exact" w:before="57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Programmer</w:t>
            </w:r>
          </w:p>
        </w:tc>
        <w:tc>
          <w:tcPr>
            <w:tcW w:w="6303" w:type="dxa"/>
          </w:tcPr>
          <w:p>
            <w:pPr>
              <w:pStyle w:val="TableParagraph"/>
              <w:ind w:left="104" w:right="4"/>
              <w:rPr>
                <w:sz w:val="20"/>
              </w:rPr>
            </w:pPr>
            <w:r>
              <w:rPr>
                <w:sz w:val="20"/>
              </w:rPr>
              <w:t>Repeat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6.1.1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6.1.4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until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addressed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case of reprogramming or modifications needed. Upon confirmation finalized outputs will be pushed to production.</w:t>
            </w: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Note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initiation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well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during study conduct phase</w:t>
            </w:r>
          </w:p>
        </w:tc>
        <w:tc>
          <w:tcPr>
            <w:tcW w:w="1609" w:type="dxa"/>
          </w:tcPr>
          <w:p>
            <w:pPr>
              <w:pStyle w:val="TableParagraph"/>
              <w:spacing w:before="38"/>
              <w:ind w:left="103" w:right="180"/>
              <w:rPr>
                <w:sz w:val="20"/>
              </w:rPr>
            </w:pPr>
            <w:r>
              <w:rPr>
                <w:sz w:val="20"/>
              </w:rPr>
              <w:t>If any </w:t>
            </w:r>
            <w:r>
              <w:rPr>
                <w:spacing w:val="-2"/>
                <w:sz w:val="20"/>
              </w:rPr>
              <w:t>modifications </w:t>
            </w:r>
            <w:r>
              <w:rPr>
                <w:sz w:val="20"/>
              </w:rPr>
              <w:t>needed after 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initial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</w:t>
            </w:r>
            <w:r>
              <w:rPr>
                <w:spacing w:val="-2"/>
                <w:sz w:val="20"/>
              </w:rPr>
              <w:t>output </w:t>
            </w:r>
            <w:r>
              <w:rPr>
                <w:sz w:val="20"/>
              </w:rPr>
              <w:t>reviewed by </w:t>
            </w:r>
            <w:r>
              <w:rPr>
                <w:spacing w:val="-4"/>
                <w:sz w:val="20"/>
              </w:rPr>
              <w:t>MDR</w:t>
            </w:r>
          </w:p>
        </w:tc>
      </w:tr>
      <w:tr>
        <w:trPr>
          <w:trHeight w:val="126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359" w:type="dxa"/>
          </w:tcPr>
          <w:p>
            <w:pPr>
              <w:pStyle w:val="TableParagraph"/>
              <w:spacing w:before="57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</w:tc>
        <w:tc>
          <w:tcPr>
            <w:tcW w:w="6303" w:type="dxa"/>
          </w:tcPr>
          <w:p>
            <w:pPr>
              <w:pStyle w:val="TableParagraph"/>
              <w:spacing w:before="71"/>
              <w:ind w:left="104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outputs.</w:t>
            </w:r>
          </w:p>
        </w:tc>
        <w:tc>
          <w:tcPr>
            <w:tcW w:w="1609" w:type="dxa"/>
          </w:tcPr>
          <w:p>
            <w:pPr>
              <w:pStyle w:val="TableParagraph"/>
              <w:spacing w:before="38"/>
              <w:ind w:left="103" w:right="180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 the outputs from MDR </w:t>
            </w:r>
            <w:r>
              <w:rPr>
                <w:spacing w:val="-2"/>
                <w:sz w:val="20"/>
              </w:rPr>
              <w:t>Programmer.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184" w:top="2520" w:bottom="1380" w:left="980" w:right="62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59"/>
        <w:gridCol w:w="6303"/>
        <w:gridCol w:w="1609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0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609" w:type="dxa"/>
            <w:shd w:val="clear" w:color="auto" w:fill="D9D9D9"/>
          </w:tcPr>
          <w:p>
            <w:pPr>
              <w:pStyle w:val="TableParagraph"/>
              <w:spacing w:before="38"/>
              <w:ind w:left="10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94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359" w:type="dxa"/>
          </w:tcPr>
          <w:p>
            <w:pPr>
              <w:pStyle w:val="TableParagraph"/>
              <w:spacing w:line="228" w:lineRule="exact" w:before="62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Programmer</w:t>
            </w:r>
          </w:p>
        </w:tc>
        <w:tc>
          <w:tcPr>
            <w:tcW w:w="6303" w:type="dxa"/>
          </w:tcPr>
          <w:p>
            <w:pPr>
              <w:pStyle w:val="TableParagraph"/>
              <w:spacing w:line="237" w:lineRule="auto" w:before="78"/>
              <w:ind w:left="104" w:right="196"/>
              <w:jc w:val="both"/>
              <w:rPr>
                <w:sz w:val="20"/>
              </w:rPr>
            </w:pPr>
            <w:r>
              <w:rPr>
                <w:sz w:val="20"/>
              </w:rPr>
              <w:t>Releases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MDR.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outputs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 sent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across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pre-defined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frequency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stored in archived folder.</w:t>
            </w:r>
          </w:p>
        </w:tc>
        <w:tc>
          <w:tcPr>
            <w:tcW w:w="1609" w:type="dxa"/>
          </w:tcPr>
          <w:p>
            <w:pPr>
              <w:pStyle w:val="TableParagraph"/>
              <w:spacing w:before="42"/>
              <w:ind w:left="103" w:right="180"/>
              <w:rPr>
                <w:sz w:val="20"/>
              </w:rPr>
            </w:pPr>
            <w:r>
              <w:rPr>
                <w:spacing w:val="-2"/>
                <w:sz w:val="20"/>
              </w:rPr>
              <w:t>After confirmation </w:t>
            </w:r>
            <w:r>
              <w:rPr>
                <w:sz w:val="20"/>
              </w:rPr>
              <w:t>from MDR on </w:t>
            </w:r>
            <w:r>
              <w:rPr>
                <w:spacing w:val="-2"/>
                <w:sz w:val="20"/>
              </w:rPr>
              <w:t>production </w:t>
            </w:r>
            <w:r>
              <w:rPr>
                <w:sz w:val="20"/>
              </w:rPr>
              <w:t>outputs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per </w:t>
            </w:r>
            <w:r>
              <w:rPr>
                <w:spacing w:val="-2"/>
                <w:sz w:val="20"/>
              </w:rPr>
              <w:t>defined frequency.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93" w:after="0"/>
        <w:ind w:left="1900" w:right="0" w:hanging="720"/>
        <w:jc w:val="left"/>
        <w:rPr>
          <w:b/>
          <w:sz w:val="22"/>
        </w:rPr>
      </w:pPr>
      <w:bookmarkStart w:name="Perform Medical Data Reviews" w:id="10"/>
      <w:bookmarkEnd w:id="10"/>
      <w:r>
        <w:rPr>
          <w:b/>
          <w:sz w:val="22"/>
        </w:rPr>
        <w:t>Perfor</w:t>
      </w:r>
      <w:r>
        <w:rPr>
          <w:b/>
          <w:sz w:val="22"/>
        </w:rPr>
        <w:t>m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Data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Reviews</w:t>
      </w:r>
    </w:p>
    <w:p>
      <w:pPr>
        <w:pStyle w:val="BodyText"/>
        <w:spacing w:before="7"/>
        <w:rPr>
          <w:b/>
          <w:sz w:val="10"/>
        </w:rPr>
      </w:pPr>
    </w:p>
    <w:tbl>
      <w:tblPr>
        <w:tblW w:w="0" w:type="auto"/>
        <w:jc w:val="left"/>
        <w:tblInd w:w="1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Manages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timelines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associated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 </w:t>
            </w:r>
            <w:r>
              <w:rPr>
                <w:spacing w:val="-2"/>
                <w:sz w:val="20"/>
              </w:rPr>
              <w:t>reviews.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spacing w:before="38"/>
              <w:ind w:left="109" w:right="428"/>
              <w:rPr>
                <w:sz w:val="20"/>
              </w:rPr>
            </w:pPr>
            <w:r>
              <w:rPr>
                <w:spacing w:val="-2"/>
                <w:sz w:val="20"/>
              </w:rPr>
              <w:t>Ongoing </w:t>
            </w:r>
            <w:r>
              <w:rPr>
                <w:sz w:val="20"/>
              </w:rPr>
              <w:t>throughout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</w:t>
            </w:r>
          </w:p>
        </w:tc>
      </w:tr>
      <w:tr>
        <w:trPr>
          <w:trHeight w:val="57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205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programmed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tools,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well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MDRP,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 medical data reviews at agreed time points.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z w:val="20"/>
              </w:rPr>
              <w:t>***Generate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a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Query***</w:t>
            </w:r>
          </w:p>
          <w:p>
            <w:pPr>
              <w:pStyle w:val="TableParagraph"/>
              <w:spacing w:before="39"/>
              <w:ind w:left="104" w:right="205"/>
              <w:rPr>
                <w:sz w:val="20"/>
              </w:rPr>
            </w:pPr>
            <w:r>
              <w:rPr>
                <w:sz w:val="20"/>
              </w:rPr>
              <w:t>Generates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query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EDC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address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 issues identified in the medical data review, as appropriate.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4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site.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Closes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query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acceptable.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Generates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follow-up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query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 acceptable or additional clarification is needed.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  <w:rPr>
          <w:b/>
          <w:sz w:val="22"/>
        </w:rPr>
      </w:pPr>
      <w:bookmarkStart w:name="File the Documentation" w:id="11"/>
      <w:bookmarkEnd w:id="11"/>
      <w:r>
        <w:rPr>
          <w:b/>
          <w:sz w:val="22"/>
        </w:rPr>
        <w:t>Fil</w:t>
      </w:r>
      <w:r>
        <w:rPr>
          <w:b/>
          <w:sz w:val="22"/>
        </w:rPr>
        <w:t>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2"/>
          <w:sz w:val="22"/>
        </w:rPr>
        <w:t> 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4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57"/>
              <w:rPr>
                <w:sz w:val="20"/>
              </w:rPr>
            </w:pPr>
            <w:r>
              <w:rPr>
                <w:spacing w:val="-5"/>
                <w:sz w:val="20"/>
              </w:rPr>
              <w:t>MDR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205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MDR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Stand-Alone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Projects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filed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Trial Master File (TMF), if applicable.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Once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complete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SUPPORTING DOCUMENTATION" w:id="12"/>
      <w:bookmarkEnd w:id="12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138"/>
        <w:gridCol w:w="5765"/>
      </w:tblGrid>
      <w:tr>
        <w:trPr>
          <w:trHeight w:val="321" w:hRule="atLeast"/>
        </w:trPr>
        <w:tc>
          <w:tcPr>
            <w:tcW w:w="4138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76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4138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76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4138" w:type="dxa"/>
          </w:tcPr>
          <w:p>
            <w:pPr>
              <w:pStyle w:val="TableParagraph"/>
              <w:tabs>
                <w:tab w:pos="628" w:val="left" w:leader="none"/>
              </w:tabs>
              <w:spacing w:before="38"/>
              <w:ind w:left="0" w:right="1306"/>
              <w:jc w:val="right"/>
              <w:rPr>
                <w:sz w:val="22"/>
              </w:rPr>
            </w:pPr>
            <w:bookmarkStart w:name="CS_TP_MS0221" w:id="13"/>
            <w:bookmarkEnd w:id="13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CS_TP_MS0221</w:t>
              </w:r>
            </w:hyperlink>
          </w:p>
        </w:tc>
        <w:tc>
          <w:tcPr>
            <w:tcW w:w="5765" w:type="dxa"/>
          </w:tcPr>
          <w:p>
            <w:pPr>
              <w:pStyle w:val="TableParagraph"/>
              <w:spacing w:before="33"/>
              <w:rPr>
                <w:sz w:val="22"/>
              </w:rPr>
            </w:pPr>
            <w:r>
              <w:rPr>
                <w:sz w:val="22"/>
              </w:rPr>
              <w:t>MDR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Stand-Alone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Projects</w:t>
            </w:r>
          </w:p>
        </w:tc>
      </w:tr>
      <w:tr>
        <w:trPr>
          <w:trHeight w:val="335" w:hRule="atLeast"/>
        </w:trPr>
        <w:tc>
          <w:tcPr>
            <w:tcW w:w="4138" w:type="dxa"/>
          </w:tcPr>
          <w:p>
            <w:pPr>
              <w:pStyle w:val="TableParagraph"/>
              <w:tabs>
                <w:tab w:pos="628" w:val="left" w:leader="none"/>
              </w:tabs>
              <w:spacing w:before="43"/>
              <w:ind w:left="0" w:right="1321"/>
              <w:jc w:val="right"/>
              <w:rPr>
                <w:sz w:val="22"/>
              </w:rPr>
            </w:pPr>
            <w:bookmarkStart w:name="CS_WI_MS0213" w:id="14"/>
            <w:bookmarkEnd w:id="14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CS_WI_MS0213</w:t>
              </w:r>
            </w:hyperlink>
          </w:p>
        </w:tc>
        <w:tc>
          <w:tcPr>
            <w:tcW w:w="5765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Monitoring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Creation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Review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SUPERSEDES" w:id="15"/>
      <w:bookmarkEnd w:id="15"/>
      <w:r>
        <w:rPr>
          <w:b/>
          <w:spacing w:val="-2"/>
          <w:sz w:val="22"/>
        </w:rPr>
        <w:t>SUPERSEDES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95"/>
        <w:gridCol w:w="2789"/>
        <w:gridCol w:w="3533"/>
      </w:tblGrid>
      <w:tr>
        <w:trPr>
          <w:trHeight w:val="287" w:hRule="atLeast"/>
        </w:trPr>
        <w:tc>
          <w:tcPr>
            <w:tcW w:w="3595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2789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533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3" w:hRule="atLeast"/>
        </w:trPr>
        <w:tc>
          <w:tcPr>
            <w:tcW w:w="3595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CS_WI_MS0220</w:t>
            </w:r>
          </w:p>
        </w:tc>
        <w:tc>
          <w:tcPr>
            <w:tcW w:w="2789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z w:val="22"/>
              </w:rPr>
              <w:t>Performing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Data </w:t>
            </w:r>
            <w:r>
              <w:rPr>
                <w:spacing w:val="-2"/>
                <w:sz w:val="22"/>
              </w:rPr>
              <w:t>Reviews</w:t>
            </w:r>
          </w:p>
        </w:tc>
        <w:tc>
          <w:tcPr>
            <w:tcW w:w="3533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w w:val="100"/>
                <w:sz w:val="22"/>
              </w:rPr>
              <w:t>1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184" w:top="2520" w:bottom="1460" w:left="980" w:right="62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bookmarkStart w:name="MODIFICATION FROM PREVIOUS REVISION" w:id="16"/>
      <w:bookmarkEnd w:id="16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8"/>
        <w:gridCol w:w="2837"/>
        <w:gridCol w:w="3538"/>
      </w:tblGrid>
      <w:tr>
        <w:trPr>
          <w:trHeight w:val="325" w:hRule="atLeast"/>
        </w:trPr>
        <w:tc>
          <w:tcPr>
            <w:tcW w:w="3538" w:type="dxa"/>
            <w:shd w:val="clear" w:color="auto" w:fill="BFBFBF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837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538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012" w:hRule="atLeast"/>
        </w:trPr>
        <w:tc>
          <w:tcPr>
            <w:tcW w:w="3538" w:type="dxa"/>
          </w:tcPr>
          <w:p>
            <w:pPr>
              <w:pStyle w:val="TableParagraph"/>
              <w:ind w:left="110" w:right="172"/>
              <w:rPr>
                <w:sz w:val="22"/>
              </w:rPr>
            </w:pPr>
            <w:r>
              <w:rPr>
                <w:sz w:val="22"/>
              </w:rPr>
              <w:t>Added the role of MDR Team Programmer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while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retaining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the role of MDR and TMA. The</w:t>
            </w:r>
          </w:p>
          <w:p>
            <w:pPr>
              <w:pStyle w:val="TableParagraph"/>
              <w:spacing w:line="234" w:lineRule="exact"/>
              <w:ind w:left="110"/>
              <w:rPr>
                <w:sz w:val="22"/>
              </w:rPr>
            </w:pPr>
            <w:r>
              <w:rPr>
                <w:sz w:val="22"/>
              </w:rPr>
              <w:t>remaining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roles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were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removed.</w:t>
            </w:r>
          </w:p>
        </w:tc>
        <w:tc>
          <w:tcPr>
            <w:tcW w:w="283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3.0</w:t>
            </w:r>
          </w:p>
        </w:tc>
        <w:tc>
          <w:tcPr>
            <w:tcW w:w="3538" w:type="dxa"/>
          </w:tcPr>
          <w:p>
            <w:pPr>
              <w:pStyle w:val="TableParagraph"/>
              <w:spacing w:line="237" w:lineRule="auto" w:before="2"/>
              <w:ind w:left="109"/>
              <w:rPr>
                <w:sz w:val="22"/>
              </w:rPr>
            </w:pPr>
            <w:r>
              <w:rPr>
                <w:sz w:val="22"/>
              </w:rPr>
              <w:t>Aligning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roles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new process changes.</w:t>
            </w:r>
          </w:p>
        </w:tc>
      </w:tr>
      <w:tr>
        <w:trPr>
          <w:trHeight w:val="758" w:hRule="atLeast"/>
        </w:trPr>
        <w:tc>
          <w:tcPr>
            <w:tcW w:w="3538" w:type="dxa"/>
          </w:tcPr>
          <w:p>
            <w:pPr>
              <w:pStyle w:val="TableParagraph"/>
              <w:spacing w:line="237" w:lineRule="auto" w:before="2"/>
              <w:ind w:left="110"/>
              <w:rPr>
                <w:sz w:val="22"/>
              </w:rPr>
            </w:pPr>
            <w:r>
              <w:rPr>
                <w:sz w:val="22"/>
              </w:rPr>
              <w:t>Added SAS data listings as a specific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example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tools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used</w:t>
            </w:r>
          </w:p>
          <w:p>
            <w:pPr>
              <w:pStyle w:val="TableParagraph"/>
              <w:spacing w:line="234" w:lineRule="exact" w:before="1"/>
              <w:ind w:left="110"/>
              <w:rPr>
                <w:sz w:val="22"/>
              </w:rPr>
            </w:pPr>
            <w:r>
              <w:rPr>
                <w:sz w:val="22"/>
              </w:rPr>
              <w:t>for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review</w:t>
            </w:r>
          </w:p>
        </w:tc>
        <w:tc>
          <w:tcPr>
            <w:tcW w:w="283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538" w:type="dxa"/>
          </w:tcPr>
          <w:p>
            <w:pPr>
              <w:pStyle w:val="TableParagraph"/>
              <w:spacing w:line="237" w:lineRule="auto" w:before="2"/>
              <w:ind w:left="109"/>
              <w:rPr>
                <w:sz w:val="22"/>
              </w:rPr>
            </w:pPr>
            <w:r>
              <w:rPr>
                <w:sz w:val="22"/>
              </w:rPr>
              <w:t>To provide clarification of an example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specific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type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</w:p>
          <w:p>
            <w:pPr>
              <w:pStyle w:val="TableParagraph"/>
              <w:spacing w:line="234" w:lineRule="exact" w:before="1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tool</w:t>
            </w:r>
          </w:p>
        </w:tc>
      </w:tr>
      <w:tr>
        <w:trPr>
          <w:trHeight w:val="1012" w:hRule="atLeast"/>
        </w:trPr>
        <w:tc>
          <w:tcPr>
            <w:tcW w:w="3538" w:type="dxa"/>
          </w:tcPr>
          <w:p>
            <w:pPr>
              <w:pStyle w:val="TableParagraph"/>
              <w:spacing w:line="251" w:lineRule="exact"/>
              <w:ind w:left="110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earlier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mentioned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in</w:t>
            </w:r>
          </w:p>
          <w:p>
            <w:pPr>
              <w:pStyle w:val="TableParagraph"/>
              <w:spacing w:line="254" w:lineRule="exact"/>
              <w:ind w:left="110"/>
              <w:rPr>
                <w:sz w:val="22"/>
              </w:rPr>
            </w:pPr>
            <w:r>
              <w:rPr>
                <w:sz w:val="22"/>
              </w:rPr>
              <w:t>6.1.3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6.1.4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 new steps in the workflow were </w:t>
            </w:r>
            <w:r>
              <w:rPr>
                <w:spacing w:val="-2"/>
                <w:sz w:val="22"/>
              </w:rPr>
              <w:t>added</w:t>
            </w:r>
          </w:p>
        </w:tc>
        <w:tc>
          <w:tcPr>
            <w:tcW w:w="283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6.1.3</w:t>
            </w:r>
            <w:r>
              <w:rPr>
                <w:spacing w:val="2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6.1.9</w:t>
            </w:r>
          </w:p>
        </w:tc>
        <w:tc>
          <w:tcPr>
            <w:tcW w:w="3538" w:type="dxa"/>
          </w:tcPr>
          <w:p>
            <w:pPr>
              <w:pStyle w:val="TableParagraph"/>
              <w:spacing w:line="237" w:lineRule="auto" w:before="2"/>
              <w:ind w:left="109" w:right="172"/>
              <w:rPr>
                <w:sz w:val="22"/>
              </w:rPr>
            </w:pPr>
            <w:r>
              <w:rPr>
                <w:sz w:val="22"/>
              </w:rPr>
              <w:t>Alignment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changes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 new process.</w:t>
            </w:r>
          </w:p>
        </w:tc>
      </w:tr>
      <w:tr>
        <w:trPr>
          <w:trHeight w:val="1515" w:hRule="atLeast"/>
        </w:trPr>
        <w:tc>
          <w:tcPr>
            <w:tcW w:w="3538" w:type="dxa"/>
          </w:tcPr>
          <w:p>
            <w:pPr>
              <w:pStyle w:val="TableParagraph"/>
              <w:spacing w:line="237" w:lineRule="auto" w:before="1"/>
              <w:ind w:left="110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following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ESOP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references were removed</w:t>
            </w:r>
          </w:p>
          <w:p>
            <w:pPr>
              <w:pStyle w:val="TableParagraph"/>
              <w:spacing w:before="1"/>
              <w:ind w:left="110" w:right="522"/>
              <w:rPr>
                <w:sz w:val="22"/>
              </w:rPr>
            </w:pPr>
            <w:r>
              <w:rPr>
                <w:spacing w:val="-2"/>
                <w:sz w:val="22"/>
              </w:rPr>
              <w:t>CS_WI_BS013 CS_WI_BS014 CS_WI_DM0410</w:t>
            </w:r>
          </w:p>
          <w:p>
            <w:pPr>
              <w:pStyle w:val="TableParagraph"/>
              <w:spacing w:line="234" w:lineRule="exact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CS_WI_DM0416</w:t>
            </w:r>
          </w:p>
        </w:tc>
        <w:tc>
          <w:tcPr>
            <w:tcW w:w="2837" w:type="dxa"/>
          </w:tcPr>
          <w:p>
            <w:pPr>
              <w:pStyle w:val="TableParagraph"/>
              <w:spacing w:line="252" w:lineRule="exact"/>
              <w:ind w:left="109"/>
              <w:rPr>
                <w:sz w:val="22"/>
              </w:rPr>
            </w:pPr>
            <w:r>
              <w:rPr>
                <w:sz w:val="22"/>
              </w:rPr>
              <w:t>7.2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7.5</w:t>
            </w:r>
          </w:p>
        </w:tc>
        <w:tc>
          <w:tcPr>
            <w:tcW w:w="3538" w:type="dxa"/>
          </w:tcPr>
          <w:p>
            <w:pPr>
              <w:pStyle w:val="TableParagraph"/>
              <w:spacing w:line="237" w:lineRule="auto" w:before="1"/>
              <w:ind w:left="109" w:right="172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ESOPs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relevant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 the new process.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  <w:rPr>
          <w:b/>
          <w:sz w:val="22"/>
        </w:rPr>
      </w:pPr>
      <w:bookmarkStart w:name="APPENDICES" w:id="17"/>
      <w:bookmarkEnd w:id="17"/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180"/>
      </w:pPr>
      <w:r>
        <w:rPr/>
        <w:t>Not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11"/>
        </w:rPr>
      </w:pPr>
      <w:r>
        <w:rPr/>
        <w:pict>
          <v:rect style="position:absolute;margin-left:70.559998pt;margin-top:7.546573pt;width:470.88pt;height:.48pt;mso-position-horizontal-relative:page;mso-position-vertical-relative:paragraph;z-index:-15727616;mso-wrap-distance-left:0;mso-wrap-distance-right:0" id="docshape10" filled="true" fillcolor="#000000" stroked="false">
            <v:fill type="solid"/>
            <w10:wrap type="topAndBottom"/>
          </v:rect>
        </w:pict>
      </w:r>
    </w:p>
    <w:p>
      <w:pPr>
        <w:spacing w:before="22"/>
        <w:ind w:left="527" w:right="888" w:firstLine="0"/>
        <w:jc w:val="center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4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4</w:t>
      </w:r>
    </w:p>
    <w:p>
      <w:pPr>
        <w:spacing w:before="119"/>
        <w:ind w:left="459" w:right="664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2022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headerReference w:type="default" r:id="rId11"/>
          <w:footerReference w:type="default" r:id="rId12"/>
          <w:pgSz w:w="12240" w:h="15840"/>
          <w:pgMar w:header="725" w:footer="268" w:top="2520" w:bottom="460" w:left="980" w:right="620"/>
        </w:sectPr>
      </w:pPr>
    </w:p>
    <w:p>
      <w:pPr>
        <w:spacing w:line="321" w:lineRule="exact" w:before="79"/>
        <w:ind w:left="528" w:right="855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28" w:right="8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28" w:right="8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10" w:right="8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60" w:right="627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Mishra,</w:t>
      </w:r>
      <w:r>
        <w:rPr>
          <w:spacing w:val="-10"/>
          <w:sz w:val="20"/>
        </w:rPr>
        <w:t> </w:t>
      </w:r>
      <w:r>
        <w:rPr>
          <w:sz w:val="20"/>
        </w:rPr>
        <w:t>Abhijit</w:t>
      </w:r>
      <w:r>
        <w:rPr>
          <w:spacing w:val="36"/>
          <w:sz w:val="20"/>
        </w:rPr>
        <w:t> </w:t>
      </w:r>
      <w:r>
        <w:rPr>
          <w:sz w:val="20"/>
        </w:rPr>
        <w:t>(q817889)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372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21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02:54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60" w:right="627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3726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24</w:t>
      </w:r>
      <w:r>
        <w:rPr>
          <w:spacing w:val="-4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08:14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3"/>
      <w:footerReference w:type="default" r:id="rId14"/>
      <w:pgSz w:w="12240" w:h="15840"/>
      <w:pgMar w:header="0" w:footer="268" w:top="1360" w:bottom="460" w:left="980" w:right="6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18.799988pt;width:470.88pt;height:.48pt;mso-position-horizontal-relative:page;mso-position-vertical-relative:page;z-index:-16041472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19.750244pt;width:468.25pt;height:35.1pt;mso-position-horizontal-relative:page;mso-position-vertical-relative:page;z-index:-16040960" type="#_x0000_t202" id="docshape2" filled="false" stroked="false">
          <v:textbox inset="0,0,0,0">
            <w:txbxContent>
              <w:p>
                <w:pPr>
                  <w:spacing w:before="13"/>
                  <w:ind w:left="4278" w:right="4247" w:firstLine="0"/>
                  <w:jc w:val="center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4</w:t>
                </w:r>
              </w:p>
              <w:p>
                <w:pPr>
                  <w:spacing w:before="118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11.872002pt;margin-top:767.575989pt;width:388.3pt;height:16.45pt;mso-position-horizontal-relative:page;mso-position-vertical-relative:page;z-index:-16040448" type="#_x0000_t202" id="docshape3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CS_WI_MS0220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18.799988pt;width:470.88pt;height:.48pt;mso-position-horizontal-relative:page;mso-position-vertical-relative:page;z-index:-16039424" id="docshape5" filled="true" fillcolor="#000000" stroked="false">
          <v:fill type="solid"/>
          <w10:wrap type="none"/>
        </v:rect>
      </w:pict>
    </w:r>
    <w:r>
      <w:rPr/>
      <w:pict>
        <v:shape style="position:absolute;margin-left:71pt;margin-top:719.750244pt;width:468.25pt;height:35.1pt;mso-position-horizontal-relative:page;mso-position-vertical-relative:page;z-index:-16038912" type="#_x0000_t202" id="docshape6" filled="false" stroked="false">
          <v:textbox inset="0,0,0,0">
            <w:txbxContent>
              <w:p>
                <w:pPr>
                  <w:spacing w:before="13"/>
                  <w:ind w:left="4278" w:right="4247" w:firstLine="0"/>
                  <w:jc w:val="center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4</w:t>
                </w:r>
              </w:p>
              <w:p>
                <w:pPr>
                  <w:spacing w:before="118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2022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11.871986pt;margin-top:767.575989pt;width:388.3pt;height:16.45pt;mso-position-horizontal-relative:page;mso-position-vertical-relative:page;z-index:-16038400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CS_WI_MS0220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871986pt;margin-top:767.575989pt;width:388.3pt;height:16.45pt;mso-position-horizontal-relative:page;mso-position-vertical-relative:page;z-index:-16037376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CS_WI_MS0220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1.871986pt;margin-top:767.575989pt;width:388.3pt;height:16.45pt;mso-position-horizontal-relative:page;mso-position-vertical-relative:page;z-index:-16036864" type="#_x0000_t202" id="docshape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CS_WI_MS0220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6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15-Jul-2022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28640" type="#_x0000_t202" id="docshape4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5"/>
                        <w:ind w:left="0"/>
                        <w:rPr>
                          <w:b/>
                          <w:sz w:val="22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>Performing</w:t>
                      </w:r>
                      <w:r>
                        <w:rPr>
                          <w:spacing w:val="-7"/>
                          <w:sz w:val="22"/>
                        </w:rPr>
                        <w:t> </w:t>
                      </w:r>
                      <w:r>
                        <w:rPr>
                          <w:sz w:val="22"/>
                        </w:rPr>
                        <w:t>Medical</w:t>
                      </w:r>
                      <w:r>
                        <w:rPr>
                          <w:spacing w:val="-7"/>
                          <w:sz w:val="22"/>
                        </w:rPr>
                        <w:t> </w:t>
                      </w:r>
                      <w:r>
                        <w:rPr>
                          <w:sz w:val="22"/>
                        </w:rPr>
                        <w:t>Data</w:t>
                      </w:r>
                      <w:r>
                        <w:rPr>
                          <w:spacing w:val="-6"/>
                          <w:sz w:val="22"/>
                        </w:rPr>
                        <w:t> </w:t>
                      </w:r>
                      <w:r>
                        <w:rPr>
                          <w:spacing w:val="-2"/>
                          <w:sz w:val="22"/>
                        </w:rPr>
                        <w:t>Reviews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CS_WI_MS0220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76544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29152" type="#_x0000_t202" id="docshape8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5"/>
                        <w:ind w:left="0"/>
                        <w:rPr>
                          <w:b/>
                          <w:sz w:val="22"/>
                        </w:rPr>
                      </w:pPr>
                    </w:p>
                    <w:p>
                      <w:pPr>
                        <w:pStyle w:val="TableParagraph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>Performing</w:t>
                      </w:r>
                      <w:r>
                        <w:rPr>
                          <w:spacing w:val="-7"/>
                          <w:sz w:val="22"/>
                        </w:rPr>
                        <w:t> </w:t>
                      </w:r>
                      <w:r>
                        <w:rPr>
                          <w:sz w:val="22"/>
                        </w:rPr>
                        <w:t>Medical</w:t>
                      </w:r>
                      <w:r>
                        <w:rPr>
                          <w:spacing w:val="-7"/>
                          <w:sz w:val="22"/>
                        </w:rPr>
                        <w:t> </w:t>
                      </w:r>
                      <w:r>
                        <w:rPr>
                          <w:sz w:val="22"/>
                        </w:rPr>
                        <w:t>Data</w:t>
                      </w:r>
                      <w:r>
                        <w:rPr>
                          <w:spacing w:val="-6"/>
                          <w:sz w:val="22"/>
                        </w:rPr>
                        <w:t> </w:t>
                      </w:r>
                      <w:r>
                        <w:rPr>
                          <w:spacing w:val="-2"/>
                          <w:sz w:val="22"/>
                        </w:rPr>
                        <w:t>Reviews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CS_WI_MS0220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78592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7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1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8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5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2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97" w:hanging="72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TP_MS0221" TargetMode="External"/><Relationship Id="rId10" Type="http://schemas.openxmlformats.org/officeDocument/2006/relationships/hyperlink" Target="https://elvis.quintiles.com/livelink/llisapi.dll/open/CS_WI_MS0213" TargetMode="External"/><Relationship Id="rId11" Type="http://schemas.openxmlformats.org/officeDocument/2006/relationships/header" Target="header2.xml"/><Relationship Id="rId12" Type="http://schemas.openxmlformats.org/officeDocument/2006/relationships/footer" Target="footer3.xml"/><Relationship Id="rId13" Type="http://schemas.openxmlformats.org/officeDocument/2006/relationships/header" Target="header3.xml"/><Relationship Id="rId14" Type="http://schemas.openxmlformats.org/officeDocument/2006/relationships/footer" Target="footer4.xml"/><Relationship Id="rId15" Type="http://schemas.openxmlformats.org/officeDocument/2006/relationships/image" Target="media/image2.png"/><Relationship Id="rId1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2023-04-11T15:20:30Z</dcterms:created>
  <dcterms:modified xsi:type="dcterms:W3CDTF">2023-04-11T15:20:30Z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2022-06-20T00:00:00Z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