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2"/>
              <w:rPr>
                <w:rFonts w:ascii="Times New Roman"/>
                <w:sz w:val="14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10" w:lineRule="atLeast" w:before="143"/>
              <w:ind w:left="203" w:right="125" w:firstLine="1056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Producing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Clinical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Trial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Results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Posting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for</w:t>
            </w:r>
          </w:p>
          <w:p>
            <w:pPr>
              <w:pStyle w:val="TableParagraph"/>
              <w:spacing w:before="9"/>
              <w:ind w:left="880"/>
              <w:rPr>
                <w:b/>
                <w:sz w:val="22"/>
              </w:rPr>
            </w:pPr>
            <w:r>
              <w:rPr>
                <w:b/>
                <w:sz w:val="22"/>
              </w:rPr>
              <w:t>Submission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to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Public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Registries</w:t>
            </w:r>
          </w:p>
        </w:tc>
      </w:tr>
      <w:tr>
        <w:trPr>
          <w:trHeight w:val="604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66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39"/>
              <w:ind w:left="121"/>
              <w:rPr>
                <w:sz w:val="20"/>
              </w:rPr>
            </w:pPr>
            <w:r>
              <w:rPr>
                <w:sz w:val="20"/>
              </w:rPr>
              <w:t>CS_WI_MW0222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584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44"/>
              <w:ind w:left="107"/>
              <w:rPr>
                <w:sz w:val="20"/>
              </w:rPr>
            </w:pPr>
            <w:r>
              <w:rPr>
                <w:sz w:val="20"/>
              </w:rPr>
              <w:t>Vishwanath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Jannu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Vishwanath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Jannu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8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0"/>
        <w:jc w:val="left"/>
      </w:pPr>
      <w:r>
        <w:rPr>
          <w:spacing w:val="-2"/>
        </w:rPr>
        <w:t>PURPOSE</w:t>
      </w:r>
    </w:p>
    <w:p>
      <w:pPr>
        <w:pStyle w:val="BodyText"/>
        <w:spacing w:before="127"/>
        <w:ind w:left="1260" w:right="986"/>
      </w:pP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process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prepare</w:t>
      </w:r>
      <w:r>
        <w:rPr>
          <w:spacing w:val="-6"/>
        </w:rPr>
        <w:t> </w:t>
      </w:r>
      <w:r>
        <w:rPr/>
        <w:t>clinical</w:t>
      </w:r>
      <w:r>
        <w:rPr>
          <w:spacing w:val="-2"/>
        </w:rPr>
        <w:t> </w:t>
      </w:r>
      <w:r>
        <w:rPr/>
        <w:t>trial</w:t>
      </w:r>
      <w:r>
        <w:rPr>
          <w:spacing w:val="-3"/>
        </w:rPr>
        <w:t> </w:t>
      </w:r>
      <w:r>
        <w:rPr/>
        <w:t>results</w:t>
      </w:r>
      <w:r>
        <w:rPr>
          <w:spacing w:val="-2"/>
        </w:rPr>
        <w:t> </w:t>
      </w:r>
      <w:r>
        <w:rPr/>
        <w:t>postings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publication</w:t>
      </w:r>
      <w:r>
        <w:rPr>
          <w:spacing w:val="-3"/>
        </w:rPr>
        <w:t> </w:t>
      </w:r>
      <w:r>
        <w:rPr/>
        <w:t>on ClinicalTrials.gov, EudraCT or other public sites.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SCOPE</w:t>
      </w:r>
    </w:p>
    <w:p>
      <w:pPr>
        <w:pStyle w:val="BodyText"/>
        <w:spacing w:before="126"/>
        <w:ind w:left="1260" w:right="986"/>
      </w:pPr>
      <w:r>
        <w:rPr/>
        <w:t>This</w:t>
      </w:r>
      <w:r>
        <w:rPr>
          <w:spacing w:val="-1"/>
        </w:rPr>
        <w:t> </w:t>
      </w:r>
      <w:r>
        <w:rPr/>
        <w:t>work</w:t>
      </w:r>
      <w:r>
        <w:rPr>
          <w:spacing w:val="-1"/>
        </w:rPr>
        <w:t> </w:t>
      </w:r>
      <w:r>
        <w:rPr/>
        <w:t>instruction</w:t>
      </w:r>
      <w:r>
        <w:rPr>
          <w:spacing w:val="-4"/>
        </w:rPr>
        <w:t> </w:t>
      </w:r>
      <w:r>
        <w:rPr/>
        <w:t>(WI)</w:t>
      </w:r>
      <w:r>
        <w:rPr>
          <w:spacing w:val="-8"/>
        </w:rPr>
        <w:t> </w:t>
      </w:r>
      <w:r>
        <w:rPr/>
        <w:t>applies</w:t>
      </w:r>
      <w:r>
        <w:rPr>
          <w:spacing w:val="-2"/>
        </w:rPr>
        <w:t> </w:t>
      </w:r>
      <w:r>
        <w:rPr/>
        <w:t>to</w:t>
      </w:r>
      <w:r>
        <w:rPr>
          <w:spacing w:val="-6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trial</w:t>
      </w:r>
      <w:r>
        <w:rPr>
          <w:spacing w:val="-3"/>
        </w:rPr>
        <w:t> </w:t>
      </w:r>
      <w:r>
        <w:rPr/>
        <w:t>results</w:t>
      </w:r>
      <w:r>
        <w:rPr>
          <w:spacing w:val="-3"/>
        </w:rPr>
        <w:t> </w:t>
      </w:r>
      <w:r>
        <w:rPr/>
        <w:t>postings</w:t>
      </w:r>
      <w:r>
        <w:rPr>
          <w:spacing w:val="-2"/>
        </w:rPr>
        <w:t> </w:t>
      </w:r>
      <w:r>
        <w:rPr/>
        <w:t>prepared</w:t>
      </w:r>
      <w:r>
        <w:rPr>
          <w:spacing w:val="-3"/>
        </w:rPr>
        <w:t> </w:t>
      </w:r>
      <w:r>
        <w:rPr/>
        <w:t>by</w:t>
      </w:r>
      <w:r>
        <w:rPr>
          <w:spacing w:val="-1"/>
        </w:rPr>
        <w:t> </w:t>
      </w:r>
      <w:r>
        <w:rPr/>
        <w:t>IQVIA Global Medical Writing.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260"/>
      </w:pPr>
      <w:r>
        <w:rPr/>
        <w:t>The</w:t>
      </w:r>
      <w:r>
        <w:rPr>
          <w:spacing w:val="-6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5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3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590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Disclosure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Specialist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(DS)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Writer </w:t>
            </w:r>
            <w:r>
              <w:rPr>
                <w:spacing w:val="-4"/>
                <w:sz w:val="22"/>
              </w:rPr>
              <w:t>(MW)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6.7,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6.8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Leader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(PL)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Line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(LM)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MW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(CSR)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MW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(QC)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Reviewer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6.3,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Reviewer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2"/>
                <w:sz w:val="22"/>
              </w:rPr>
              <w:t> (STL)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</w:tbl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18"/>
        </w:rPr>
      </w:pPr>
    </w:p>
    <w:p>
      <w:pPr>
        <w:spacing w:before="0"/>
        <w:ind w:left="1260" w:right="0" w:firstLine="0"/>
        <w:jc w:val="left"/>
        <w:rPr>
          <w:b/>
          <w:sz w:val="22"/>
        </w:rPr>
      </w:pPr>
      <w:r>
        <w:rPr>
          <w:b/>
          <w:spacing w:val="-2"/>
          <w:sz w:val="22"/>
        </w:rPr>
        <w:t>Notes: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40" w:lineRule="auto" w:before="126" w:after="0"/>
        <w:ind w:left="1620" w:right="1286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PL</w:t>
      </w:r>
      <w:r>
        <w:rPr>
          <w:spacing w:val="-3"/>
          <w:sz w:val="22"/>
        </w:rPr>
        <w:t> </w:t>
      </w:r>
      <w:r>
        <w:rPr>
          <w:sz w:val="22"/>
        </w:rPr>
        <w:t>responsibilities</w:t>
      </w:r>
      <w:r>
        <w:rPr>
          <w:spacing w:val="-3"/>
          <w:sz w:val="22"/>
        </w:rPr>
        <w:t> </w:t>
      </w:r>
      <w:r>
        <w:rPr>
          <w:sz w:val="22"/>
        </w:rPr>
        <w:t>may</w:t>
      </w:r>
      <w:r>
        <w:rPr>
          <w:spacing w:val="-3"/>
          <w:sz w:val="22"/>
        </w:rPr>
        <w:t> </w:t>
      </w:r>
      <w:r>
        <w:rPr>
          <w:sz w:val="22"/>
        </w:rPr>
        <w:t>be</w:t>
      </w:r>
      <w:r>
        <w:rPr>
          <w:spacing w:val="-3"/>
          <w:sz w:val="22"/>
        </w:rPr>
        <w:t> </w:t>
      </w:r>
      <w:r>
        <w:rPr>
          <w:sz w:val="22"/>
        </w:rPr>
        <w:t>undertaken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member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Project</w:t>
      </w:r>
      <w:r>
        <w:rPr>
          <w:spacing w:val="-3"/>
          <w:sz w:val="22"/>
        </w:rPr>
        <w:t> </w:t>
      </w:r>
      <w:r>
        <w:rPr>
          <w:sz w:val="22"/>
        </w:rPr>
        <w:t>Leadership group, a Clinical Project Manager from the Early Clinical Development group or IQVIA</w:t>
      </w:r>
      <w:r>
        <w:rPr>
          <w:spacing w:val="-2"/>
          <w:sz w:val="22"/>
        </w:rPr>
        <w:t> </w:t>
      </w:r>
      <w:r>
        <w:rPr>
          <w:sz w:val="22"/>
        </w:rPr>
        <w:t>Biotech,</w:t>
      </w:r>
      <w:r>
        <w:rPr>
          <w:spacing w:val="-3"/>
          <w:sz w:val="22"/>
        </w:rPr>
        <w:t> </w:t>
      </w:r>
      <w:r>
        <w:rPr>
          <w:sz w:val="22"/>
        </w:rPr>
        <w:t>or,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case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stand-alone</w:t>
      </w:r>
      <w:r>
        <w:rPr>
          <w:spacing w:val="-3"/>
          <w:sz w:val="22"/>
        </w:rPr>
        <w:t> </w:t>
      </w:r>
      <w:r>
        <w:rPr>
          <w:sz w:val="22"/>
        </w:rPr>
        <w:t>project,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Lead DS</w:t>
      </w:r>
      <w:r>
        <w:rPr>
          <w:spacing w:val="-3"/>
          <w:sz w:val="22"/>
        </w:rPr>
        <w:t> </w:t>
      </w:r>
      <w:r>
        <w:rPr>
          <w:sz w:val="22"/>
        </w:rPr>
        <w:t>/</w:t>
      </w:r>
      <w:r>
        <w:rPr>
          <w:spacing w:val="-2"/>
          <w:sz w:val="22"/>
        </w:rPr>
        <w:t> </w:t>
      </w:r>
      <w:r>
        <w:rPr>
          <w:sz w:val="22"/>
        </w:rPr>
        <w:t>MW, their Line Manager (LM) or other functional lead.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40" w:lineRule="auto" w:before="119" w:after="0"/>
        <w:ind w:left="1620" w:right="1286" w:hanging="360"/>
        <w:jc w:val="left"/>
        <w:rPr>
          <w:sz w:val="22"/>
        </w:rPr>
      </w:pPr>
      <w:r>
        <w:rPr>
          <w:sz w:val="22"/>
        </w:rPr>
        <w:t>Some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Lead</w:t>
      </w:r>
      <w:r>
        <w:rPr>
          <w:spacing w:val="-4"/>
          <w:sz w:val="22"/>
        </w:rPr>
        <w:t> </w:t>
      </w:r>
      <w:r>
        <w:rPr>
          <w:sz w:val="22"/>
        </w:rPr>
        <w:t>DS</w:t>
      </w:r>
      <w:r>
        <w:rPr>
          <w:spacing w:val="-4"/>
          <w:sz w:val="22"/>
        </w:rPr>
        <w:t> </w:t>
      </w:r>
      <w:r>
        <w:rPr>
          <w:sz w:val="22"/>
        </w:rPr>
        <w:t>/</w:t>
      </w:r>
      <w:r>
        <w:rPr>
          <w:spacing w:val="-4"/>
          <w:sz w:val="22"/>
        </w:rPr>
        <w:t> </w:t>
      </w:r>
      <w:r>
        <w:rPr>
          <w:sz w:val="22"/>
        </w:rPr>
        <w:t>MW responsibilities</w:t>
      </w:r>
      <w:r>
        <w:rPr>
          <w:spacing w:val="-7"/>
          <w:sz w:val="22"/>
        </w:rPr>
        <w:t> </w:t>
      </w:r>
      <w:r>
        <w:rPr>
          <w:sz w:val="22"/>
        </w:rPr>
        <w:t>during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Project</w:t>
      </w:r>
      <w:r>
        <w:rPr>
          <w:spacing w:val="-4"/>
          <w:sz w:val="22"/>
        </w:rPr>
        <w:t> </w:t>
      </w:r>
      <w:r>
        <w:rPr>
          <w:sz w:val="22"/>
        </w:rPr>
        <w:t>Award</w:t>
      </w:r>
      <w:r>
        <w:rPr>
          <w:spacing w:val="-4"/>
          <w:sz w:val="22"/>
        </w:rPr>
        <w:t> </w:t>
      </w:r>
      <w:r>
        <w:rPr>
          <w:sz w:val="22"/>
        </w:rPr>
        <w:t>/</w:t>
      </w:r>
      <w:r>
        <w:rPr>
          <w:spacing w:val="-4"/>
          <w:sz w:val="22"/>
        </w:rPr>
        <w:t> </w:t>
      </w:r>
      <w:r>
        <w:rPr>
          <w:sz w:val="22"/>
        </w:rPr>
        <w:t>Setup</w:t>
      </w:r>
      <w:r>
        <w:rPr>
          <w:spacing w:val="-4"/>
          <w:sz w:val="22"/>
        </w:rPr>
        <w:t> </w:t>
      </w:r>
      <w:r>
        <w:rPr>
          <w:sz w:val="22"/>
        </w:rPr>
        <w:t>stage may be performed by their LM or other functional lead.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DEFINITIONS</w:t>
      </w:r>
    </w:p>
    <w:p>
      <w:pPr>
        <w:pStyle w:val="BodyText"/>
        <w:spacing w:line="244" w:lineRule="auto" w:before="122"/>
        <w:ind w:left="1260" w:right="986"/>
      </w:pPr>
      <w:r>
        <w:rPr>
          <w:b/>
        </w:rPr>
        <w:t>Disclosure</w:t>
      </w:r>
      <w:r>
        <w:rPr>
          <w:b/>
          <w:spacing w:val="-4"/>
        </w:rPr>
        <w:t> </w:t>
      </w:r>
      <w:r>
        <w:rPr>
          <w:b/>
        </w:rPr>
        <w:t>Software:</w:t>
      </w:r>
      <w:r>
        <w:rPr>
          <w:b/>
          <w:spacing w:val="40"/>
        </w:rPr>
        <w:t> </w:t>
      </w:r>
      <w:r>
        <w:rPr/>
        <w:t>In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WI,</w:t>
      </w:r>
      <w:r>
        <w:rPr>
          <w:spacing w:val="-4"/>
        </w:rPr>
        <w:t> </w:t>
      </w:r>
      <w:r>
        <w:rPr/>
        <w:t>reference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term</w:t>
      </w:r>
      <w:r>
        <w:rPr>
          <w:spacing w:val="-4"/>
        </w:rPr>
        <w:t> </w:t>
      </w:r>
      <w:r>
        <w:rPr/>
        <w:t>‘Disclosure</w:t>
      </w:r>
      <w:r>
        <w:rPr>
          <w:spacing w:val="-4"/>
        </w:rPr>
        <w:t> </w:t>
      </w:r>
      <w:r>
        <w:rPr/>
        <w:t>Software’ encompasses both of the following:</w:t>
      </w:r>
    </w:p>
    <w:p>
      <w:pPr>
        <w:pStyle w:val="ListParagraph"/>
        <w:numPr>
          <w:ilvl w:val="0"/>
          <w:numId w:val="3"/>
        </w:numPr>
        <w:tabs>
          <w:tab w:pos="1619" w:val="left" w:leader="none"/>
          <w:tab w:pos="1620" w:val="left" w:leader="none"/>
        </w:tabs>
        <w:spacing w:line="240" w:lineRule="auto" w:before="112" w:after="0"/>
        <w:ind w:left="1620" w:right="1298" w:hanging="360"/>
        <w:jc w:val="left"/>
        <w:rPr>
          <w:sz w:val="22"/>
        </w:rPr>
      </w:pPr>
      <w:r>
        <w:rPr>
          <w:sz w:val="22"/>
        </w:rPr>
        <w:t>Use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specialized</w:t>
      </w:r>
      <w:r>
        <w:rPr>
          <w:spacing w:val="-4"/>
          <w:sz w:val="22"/>
        </w:rPr>
        <w:t> </w:t>
      </w:r>
      <w:r>
        <w:rPr>
          <w:sz w:val="22"/>
        </w:rPr>
        <w:t>software</w:t>
      </w:r>
      <w:r>
        <w:rPr>
          <w:spacing w:val="-4"/>
          <w:sz w:val="22"/>
        </w:rPr>
        <w:t> </w:t>
      </w:r>
      <w:r>
        <w:rPr>
          <w:sz w:val="22"/>
        </w:rPr>
        <w:t>platform</w:t>
      </w:r>
      <w:r>
        <w:rPr>
          <w:spacing w:val="-4"/>
          <w:sz w:val="22"/>
        </w:rPr>
        <w:t> </w:t>
      </w:r>
      <w:r>
        <w:rPr>
          <w:sz w:val="22"/>
        </w:rPr>
        <w:t>(e.g.</w:t>
      </w:r>
      <w:r>
        <w:rPr>
          <w:spacing w:val="-2"/>
          <w:sz w:val="22"/>
        </w:rPr>
        <w:t> </w:t>
      </w:r>
      <w:r>
        <w:rPr>
          <w:sz w:val="22"/>
        </w:rPr>
        <w:t>TrialScope</w:t>
      </w:r>
      <w:r>
        <w:rPr>
          <w:spacing w:val="-4"/>
          <w:sz w:val="22"/>
        </w:rPr>
        <w:t> </w:t>
      </w:r>
      <w:r>
        <w:rPr>
          <w:sz w:val="22"/>
        </w:rPr>
        <w:t>Disclose™)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facilitate</w:t>
      </w:r>
      <w:r>
        <w:rPr>
          <w:spacing w:val="-4"/>
          <w:sz w:val="22"/>
        </w:rPr>
        <w:t> </w:t>
      </w:r>
      <w:r>
        <w:rPr>
          <w:sz w:val="22"/>
        </w:rPr>
        <w:t>the compilation and uploading of results posting information to the applicable registry (e.g. ClinicalTrials.gov and/or EudraCT).</w:t>
      </w:r>
    </w:p>
    <w:p>
      <w:pPr>
        <w:spacing w:after="0" w:line="240" w:lineRule="auto"/>
        <w:jc w:val="left"/>
        <w:rPr>
          <w:sz w:val="22"/>
        </w:rPr>
        <w:sectPr>
          <w:footerReference w:type="default" r:id="rId5"/>
          <w:type w:val="continuous"/>
          <w:pgSz w:w="12240" w:h="15840"/>
          <w:pgMar w:footer="957" w:header="0" w:top="700" w:bottom="1140" w:left="900" w:right="420"/>
          <w:pgNumType w:start="1"/>
        </w:sectPr>
      </w:pPr>
    </w:p>
    <w:p>
      <w:pPr>
        <w:pStyle w:val="BodyText"/>
        <w:spacing w:before="8"/>
        <w:rPr>
          <w:sz w:val="13"/>
        </w:rPr>
      </w:pPr>
    </w:p>
    <w:p>
      <w:pPr>
        <w:pStyle w:val="ListParagraph"/>
        <w:numPr>
          <w:ilvl w:val="0"/>
          <w:numId w:val="3"/>
        </w:numPr>
        <w:tabs>
          <w:tab w:pos="1619" w:val="left" w:leader="none"/>
          <w:tab w:pos="1620" w:val="left" w:leader="none"/>
        </w:tabs>
        <w:spacing w:line="240" w:lineRule="auto" w:before="101" w:after="0"/>
        <w:ind w:left="1620" w:right="1066" w:hanging="360"/>
        <w:jc w:val="left"/>
        <w:rPr>
          <w:sz w:val="22"/>
        </w:rPr>
      </w:pPr>
      <w:r>
        <w:rPr>
          <w:sz w:val="22"/>
        </w:rPr>
        <w:t>Use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registry</w:t>
      </w:r>
      <w:r>
        <w:rPr>
          <w:spacing w:val="-3"/>
          <w:sz w:val="22"/>
        </w:rPr>
        <w:t> </w:t>
      </w:r>
      <w:r>
        <w:rPr>
          <w:sz w:val="22"/>
        </w:rPr>
        <w:t>software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direct</w:t>
      </w:r>
      <w:r>
        <w:rPr>
          <w:spacing w:val="-3"/>
          <w:sz w:val="22"/>
        </w:rPr>
        <w:t> </w:t>
      </w:r>
      <w:r>
        <w:rPr>
          <w:sz w:val="22"/>
        </w:rPr>
        <w:t>entry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results</w:t>
      </w:r>
      <w:r>
        <w:rPr>
          <w:spacing w:val="-3"/>
          <w:sz w:val="22"/>
        </w:rPr>
        <w:t> </w:t>
      </w:r>
      <w:r>
        <w:rPr>
          <w:sz w:val="22"/>
        </w:rPr>
        <w:t>posting information</w:t>
      </w:r>
      <w:r>
        <w:rPr>
          <w:spacing w:val="-3"/>
          <w:sz w:val="22"/>
        </w:rPr>
        <w:t> </w:t>
      </w:r>
      <w:r>
        <w:rPr>
          <w:sz w:val="22"/>
        </w:rPr>
        <w:t>into</w:t>
      </w:r>
      <w:r>
        <w:rPr>
          <w:spacing w:val="-3"/>
          <w:sz w:val="22"/>
        </w:rPr>
        <w:t> </w:t>
      </w:r>
      <w:r>
        <w:rPr>
          <w:sz w:val="22"/>
        </w:rPr>
        <w:t>that particular system (e.g. Protocol Registration and Results System [PRS] for direct entry into ClinicalTrials.gov or EudraCT / Clinical Trial Information System (CTIS) Portal for direct entry into EudraCT / CTIS).</w:t>
      </w:r>
    </w:p>
    <w:p>
      <w:pPr>
        <w:pStyle w:val="BodyText"/>
        <w:spacing w:before="11"/>
        <w:rPr>
          <w:sz w:val="19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>
          <w:spacing w:val="-2"/>
        </w:rPr>
        <w:t>PROCEDURE</w:t>
      </w:r>
    </w:p>
    <w:p>
      <w:pPr>
        <w:pStyle w:val="BodyText"/>
        <w:spacing w:before="126"/>
        <w:ind w:left="1259"/>
      </w:pPr>
      <w:r>
        <w:rPr/>
        <w:t>A</w:t>
      </w:r>
      <w:r>
        <w:rPr>
          <w:spacing w:val="-8"/>
        </w:rPr>
        <w:t> </w:t>
      </w:r>
      <w:r>
        <w:rPr/>
        <w:t>typical</w:t>
      </w:r>
      <w:r>
        <w:rPr>
          <w:spacing w:val="-5"/>
        </w:rPr>
        <w:t> </w:t>
      </w:r>
      <w:r>
        <w:rPr/>
        <w:t>results</w:t>
      </w:r>
      <w:r>
        <w:rPr>
          <w:spacing w:val="-5"/>
        </w:rPr>
        <w:t> </w:t>
      </w:r>
      <w:r>
        <w:rPr/>
        <w:t>posting</w:t>
      </w:r>
      <w:r>
        <w:rPr>
          <w:spacing w:val="-5"/>
        </w:rPr>
        <w:t> </w:t>
      </w:r>
      <w:r>
        <w:rPr/>
        <w:t>workflow</w:t>
      </w:r>
      <w:r>
        <w:rPr>
          <w:spacing w:val="-6"/>
        </w:rPr>
        <w:t> </w:t>
      </w:r>
      <w:r>
        <w:rPr/>
        <w:t>is</w:t>
      </w:r>
      <w:r>
        <w:rPr>
          <w:spacing w:val="-5"/>
        </w:rPr>
        <w:t> </w:t>
      </w:r>
      <w:r>
        <w:rPr/>
        <w:t>shown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Appendix</w:t>
      </w:r>
      <w:r>
        <w:rPr>
          <w:spacing w:val="-5"/>
        </w:rPr>
        <w:t> A.</w:t>
      </w:r>
    </w:p>
    <w:p>
      <w:pPr>
        <w:pStyle w:val="BodyText"/>
        <w:spacing w:before="7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1"/>
        <w:jc w:val="left"/>
        <w:rPr>
          <w:b/>
          <w:sz w:val="22"/>
        </w:rPr>
      </w:pPr>
      <w:r>
        <w:rPr>
          <w:b/>
          <w:sz w:val="22"/>
        </w:rPr>
        <w:t>Preliminary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Work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Project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Oversight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commitment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award the work and that appropriate budget for all contributing functions is confirmed before work starts.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Award</w:t>
            </w:r>
          </w:p>
        </w:tc>
      </w:tr>
      <w:tr>
        <w:trPr>
          <w:trHeight w:val="135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ind w:left="110" w:right="112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/ MW</w:t>
            </w:r>
            <w:r>
              <w:rPr>
                <w:spacing w:val="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32" w:lineRule="auto" w:before="64" w:after="0"/>
              <w:ind w:left="469" w:right="153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(SoW),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budgeted and confirms all details with the Customer.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37" w:lineRule="auto" w:before="68" w:after="0"/>
              <w:ind w:left="469" w:right="233" w:hanging="360"/>
              <w:jc w:val="left"/>
              <w:rPr>
                <w:sz w:val="20"/>
              </w:rPr>
            </w:pPr>
            <w:r>
              <w:rPr>
                <w:sz w:val="20"/>
              </w:rPr>
              <w:t>Raises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covered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 the SoW and budget for follow up as per CS_WI_PL0018, Project Scope and Customer Contract Management.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Award</w:t>
            </w:r>
          </w:p>
        </w:tc>
      </w:tr>
      <w:tr>
        <w:trPr>
          <w:trHeight w:val="347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/>
              <w:ind w:left="110" w:right="111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/ MW</w:t>
            </w:r>
            <w:r>
              <w:rPr>
                <w:spacing w:val="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left="109" w:right="328"/>
              <w:jc w:val="both"/>
              <w:rPr>
                <w:sz w:val="20"/>
              </w:rPr>
            </w:pP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determine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(through initiating and leading a Kick-Off meeting, if applicable):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70" w:val="left" w:leader="none"/>
              </w:tabs>
              <w:spacing w:line="232" w:lineRule="auto" w:before="70" w:after="0"/>
              <w:ind w:left="469" w:right="146" w:hanging="360"/>
              <w:jc w:val="both"/>
              <w:rPr>
                <w:sz w:val="20"/>
              </w:rPr>
            </w:pPr>
            <w:r>
              <w:rPr>
                <w:sz w:val="20"/>
              </w:rPr>
              <w:t>Confirmation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(i.e. to ClinicalTrials.gov and/or EudraCT / CTIS).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70" w:val="left" w:leader="none"/>
              </w:tabs>
              <w:spacing w:line="240" w:lineRule="auto" w:before="61" w:after="0"/>
              <w:ind w:left="469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Disclosure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Software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posting.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70" w:val="left" w:leader="none"/>
              </w:tabs>
              <w:spacing w:line="232" w:lineRule="auto" w:before="68" w:after="0"/>
              <w:ind w:left="469" w:right="149" w:hanging="360"/>
              <w:jc w:val="both"/>
              <w:rPr>
                <w:sz w:val="20"/>
              </w:rPr>
            </w:pPr>
            <w:r>
              <w:rPr>
                <w:sz w:val="20"/>
              </w:rPr>
              <w:t>Registry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granted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direct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entry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upload of results, if applicable.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70" w:val="left" w:leader="none"/>
              </w:tabs>
              <w:spacing w:line="237" w:lineRule="auto" w:before="68" w:after="0"/>
              <w:ind w:left="469" w:right="171" w:hanging="360"/>
              <w:jc w:val="both"/>
              <w:rPr>
                <w:sz w:val="20"/>
              </w:rPr>
            </w:pPr>
            <w:r>
              <w:rPr>
                <w:sz w:val="20"/>
              </w:rPr>
              <w:t>Timelines and reviewers, including review process and number 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cycles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expected,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taking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account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budgeted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cycles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highlighting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rounds as out-of-scope.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70" w:val="left" w:leader="none"/>
              </w:tabs>
              <w:spacing w:line="232" w:lineRule="auto" w:before="72" w:after="0"/>
              <w:ind w:left="469" w:right="638" w:hanging="360"/>
              <w:jc w:val="both"/>
              <w:rPr>
                <w:sz w:val="20"/>
              </w:rPr>
            </w:pPr>
            <w:r>
              <w:rPr>
                <w:sz w:val="20"/>
              </w:rPr>
              <w:t>Schedule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 any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necessary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meetings,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comments resolution meetings (CRMs).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Setup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ind w:left="109" w:right="202"/>
              <w:jc w:val="both"/>
              <w:rPr>
                <w:sz w:val="20"/>
              </w:rPr>
            </w:pPr>
            <w:r>
              <w:rPr>
                <w:sz w:val="20"/>
              </w:rPr>
              <w:t>Grants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facilitates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granting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appropriate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areas (for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multi-service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contracts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inclusive of Project Leadership).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Setup</w:t>
            </w:r>
          </w:p>
        </w:tc>
      </w:tr>
      <w:tr>
        <w:trPr>
          <w:trHeight w:val="10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ind w:left="109" w:right="122"/>
              <w:rPr>
                <w:sz w:val="20"/>
              </w:rPr>
            </w:pPr>
            <w:r>
              <w:rPr>
                <w:sz w:val="20"/>
              </w:rPr>
              <w:t>Requests access to (or initiates set up of) appropriate filing areas 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maintains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CS_WI_MW0233, Management and Filing of Medical Writing Documentation.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Setup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957" w:top="2520" w:bottom="1140" w:left="900" w:right="4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1670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9" w:right="122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Initiating set up is only applicable for stand-alone results posting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contracts.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also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preparing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CSR under the same contract and project code (multi-service contracts as well as stand-alone Medical Writing contracts), the Customer project space will already be set up. Refer to CS_WI_MW001, Producing a Clinical Study Report (Integrated Clinical / Statistical Report) for responsibilities.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392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58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Oversees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tracks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overall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progress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project.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37" w:lineRule="auto" w:before="59" w:after="0"/>
              <w:ind w:left="469" w:right="162" w:hanging="360"/>
              <w:jc w:val="left"/>
              <w:rPr>
                <w:sz w:val="20"/>
              </w:rPr>
            </w:pPr>
            <w:r>
              <w:rPr>
                <w:sz w:val="20"/>
              </w:rPr>
              <w:t>Involves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potential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changes to project schedule and any necessary adjustments to results posting timelines.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37" w:lineRule="auto" w:before="65" w:after="0"/>
              <w:ind w:left="469" w:right="579" w:hanging="360"/>
              <w:jc w:val="left"/>
              <w:rPr>
                <w:sz w:val="20"/>
              </w:rPr>
            </w:pPr>
            <w:r>
              <w:rPr>
                <w:sz w:val="20"/>
              </w:rPr>
              <w:t>Assists the Lead DS / MW in obtaining information for the 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from internal project team members).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32" w:lineRule="auto" w:before="70" w:after="0"/>
              <w:ind w:left="469" w:right="234" w:hanging="360"/>
              <w:jc w:val="left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seek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prompt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budget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change order execution for any out-of-scope work.</w:t>
            </w:r>
          </w:p>
          <w:p>
            <w:pPr>
              <w:pStyle w:val="TableParagraph"/>
              <w:spacing w:before="8"/>
              <w:rPr>
                <w:b/>
                <w:sz w:val="30"/>
              </w:rPr>
            </w:pPr>
          </w:p>
          <w:p>
            <w:pPr>
              <w:pStyle w:val="TableParagraph"/>
              <w:spacing w:before="0"/>
              <w:ind w:left="109" w:right="122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management processes in accordance with CS_WI_PL0018, Project Scope and Customer Contract Management, CS_WI_PL0029, Project Management, Communications, and Reporting, and CS_WI_PL0060, Project Resource Management.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Conduct</w:t>
            </w:r>
          </w:p>
        </w:tc>
      </w:tr>
    </w:tbl>
    <w:p>
      <w:pPr>
        <w:pStyle w:val="BodyText"/>
        <w:spacing w:before="3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Preparation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Draft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Results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Posting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86"/>
        <w:gridCol w:w="6240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6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40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9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86" w:type="dxa"/>
            <w:tcBorders>
              <w:bottom w:val="nil"/>
            </w:tcBorders>
          </w:tcPr>
          <w:p>
            <w:pPr>
              <w:pStyle w:val="TableParagraph"/>
              <w:ind w:left="105" w:right="142"/>
              <w:rPr>
                <w:sz w:val="20"/>
              </w:rPr>
            </w:pPr>
            <w:r>
              <w:rPr>
                <w:sz w:val="20"/>
              </w:rPr>
              <w:t>CSR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Lead MW</w:t>
            </w:r>
            <w:r>
              <w:rPr>
                <w:spacing w:val="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STL</w:t>
            </w:r>
          </w:p>
          <w:p>
            <w:pPr>
              <w:pStyle w:val="TableParagraph"/>
              <w:spacing w:before="0"/>
              <w:ind w:left="105"/>
              <w:rPr>
                <w:sz w:val="20"/>
              </w:rPr>
            </w:pPr>
            <w:r>
              <w:rPr>
                <w:sz w:val="20"/>
              </w:rPr>
              <w:t>/</w:t>
            </w:r>
            <w:r>
              <w:rPr>
                <w:spacing w:val="2"/>
                <w:sz w:val="20"/>
              </w:rPr>
              <w:t> </w:t>
            </w: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40" w:type="dxa"/>
            <w:tcBorders>
              <w:bottom w:val="nil"/>
            </w:tcBorders>
          </w:tcPr>
          <w:p>
            <w:pPr>
              <w:pStyle w:val="TableParagraph"/>
              <w:spacing w:before="57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CSR,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tables,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listings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figures</w:t>
            </w:r>
          </w:p>
          <w:p>
            <w:pPr>
              <w:pStyle w:val="TableParagraph"/>
              <w:spacing w:line="230" w:lineRule="exact" w:before="3"/>
              <w:ind w:left="104" w:right="203"/>
              <w:rPr>
                <w:sz w:val="20"/>
              </w:rPr>
            </w:pPr>
            <w:r>
              <w:rPr>
                <w:sz w:val="22"/>
              </w:rPr>
              <w:t>(</w:t>
            </w:r>
            <w:r>
              <w:rPr>
                <w:sz w:val="20"/>
              </w:rPr>
              <w:t>TLFs)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protocol 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amendments,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> MW.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 </w:t>
            </w:r>
            <w:r>
              <w:rPr>
                <w:spacing w:val="-2"/>
                <w:sz w:val="20"/>
              </w:rPr>
              <w:t>development</w:t>
            </w:r>
          </w:p>
        </w:tc>
      </w:tr>
      <w:tr>
        <w:trPr>
          <w:trHeight w:val="606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(as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6240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9"/>
              <w:rPr>
                <w:b/>
                <w:sz w:val="29"/>
              </w:rPr>
            </w:pPr>
          </w:p>
          <w:p>
            <w:pPr>
              <w:pStyle w:val="TableParagraph"/>
              <w:spacing w:before="0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765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40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37" w:lineRule="auto" w:before="37" w:after="0"/>
              <w:ind w:left="464" w:right="118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 MW or by the PL. The STL may provide the TLFs separately if not already provided together with the CSR.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564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40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32" w:lineRule="auto" w:before="38" w:after="0"/>
              <w:ind w:left="464" w:right="171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prepared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IQVIA,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 should be requested from the Customer.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186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86" w:type="dxa"/>
          </w:tcPr>
          <w:p>
            <w:pPr>
              <w:pStyle w:val="TableParagraph"/>
              <w:spacing w:line="244" w:lineRule="auto"/>
              <w:ind w:left="105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40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464" w:val="left" w:leader="none"/>
                <w:tab w:pos="465" w:val="left" w:leader="none"/>
              </w:tabs>
              <w:spacing w:line="240" w:lineRule="auto" w:before="58" w:after="0"/>
              <w:ind w:left="464" w:right="537" w:hanging="360"/>
              <w:jc w:val="left"/>
              <w:rPr>
                <w:sz w:val="20"/>
              </w:rPr>
            </w:pPr>
            <w:r>
              <w:rPr>
                <w:sz w:val="20"/>
              </w:rPr>
              <w:t>Performs a review of the documentation to ensure all 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sourced.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146" w:val="left" w:leader="none"/>
                <w:tab w:pos="1147" w:val="left" w:leader="none"/>
              </w:tabs>
              <w:spacing w:line="218" w:lineRule="auto" w:before="77" w:after="0"/>
              <w:ind w:left="1146" w:right="243" w:hanging="423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adverse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event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[AE]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data) should be requested from the STL or the Customer.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146" w:val="left" w:leader="none"/>
                <w:tab w:pos="1147" w:val="left" w:leader="none"/>
              </w:tabs>
              <w:spacing w:line="228" w:lineRule="auto" w:before="75" w:after="0"/>
              <w:ind w:left="1146" w:right="123" w:hanging="423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above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early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stage as possible to allow time for generating any additional tables, if required.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 </w:t>
            </w:r>
            <w:r>
              <w:rPr>
                <w:spacing w:val="-2"/>
                <w:sz w:val="20"/>
              </w:rPr>
              <w:t>development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725" w:footer="957" w:top="2520" w:bottom="1140" w:left="900" w:right="4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86"/>
        <w:gridCol w:w="6240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6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40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40" w:type="dxa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464" w:val="left" w:leader="none"/>
                <w:tab w:pos="465" w:val="left" w:leader="none"/>
              </w:tabs>
              <w:spacing w:line="232" w:lineRule="auto" w:before="6" w:after="0"/>
              <w:ind w:left="464" w:right="247" w:hanging="360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timelines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seeks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 </w:t>
            </w:r>
            <w:r>
              <w:rPr>
                <w:spacing w:val="-2"/>
                <w:sz w:val="20"/>
              </w:rPr>
              <w:t>confirmation.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86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STL (if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6240" w:type="dxa"/>
          </w:tcPr>
          <w:p>
            <w:pPr>
              <w:pStyle w:val="TableParagraph"/>
              <w:spacing w:line="237" w:lineRule="auto" w:before="59"/>
              <w:ind w:left="104" w:right="203"/>
              <w:rPr>
                <w:sz w:val="20"/>
              </w:rPr>
            </w:pPr>
            <w:r>
              <w:rPr>
                <w:sz w:val="20"/>
              </w:rPr>
              <w:t>Provides, if required, additional statistical outputs for the results posting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public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registry.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 the case if certain results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data are not already present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within the CSR or TLFs, (e.g. AE summaries).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22"/>
              <w:rPr>
                <w:sz w:val="20"/>
              </w:rPr>
            </w:pPr>
            <w:r>
              <w:rPr>
                <w:sz w:val="20"/>
              </w:rPr>
              <w:t>Prior to or during Draft 1 preparation and prior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sending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to </w:t>
            </w:r>
            <w:r>
              <w:rPr>
                <w:spacing w:val="-2"/>
                <w:sz w:val="20"/>
              </w:rPr>
              <w:t>Customer</w:t>
            </w:r>
          </w:p>
        </w:tc>
      </w:tr>
      <w:tr>
        <w:trPr>
          <w:trHeight w:val="181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86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40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37" w:lineRule="auto" w:before="60" w:after="0"/>
              <w:ind w:left="464" w:right="340" w:hanging="360"/>
              <w:jc w:val="left"/>
              <w:rPr>
                <w:sz w:val="20"/>
              </w:rPr>
            </w:pPr>
            <w:r>
              <w:rPr>
                <w:sz w:val="20"/>
              </w:rPr>
              <w:t>Drafts the results posting (within the agreed Disclosure Software,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inputs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CSR, TLFs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sources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registration entry) as appropriate.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5" w:val="left" w:leader="none"/>
              </w:tabs>
              <w:spacing w:line="237" w:lineRule="auto" w:before="68" w:after="0"/>
              <w:ind w:left="464" w:right="627" w:hanging="360"/>
              <w:jc w:val="both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undergoes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 internal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(refer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6.3)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before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sending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310"/>
              <w:rPr>
                <w:sz w:val="20"/>
              </w:rPr>
            </w:pPr>
            <w:r>
              <w:rPr>
                <w:sz w:val="20"/>
              </w:rPr>
              <w:t>During Draft 1 preparation (or any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subsequent draft, as </w:t>
            </w:r>
            <w:r>
              <w:rPr>
                <w:spacing w:val="-2"/>
                <w:sz w:val="20"/>
              </w:rPr>
              <w:t>applicable)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Internal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Results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Posting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464" w:val="left" w:leader="none"/>
                <w:tab w:pos="465" w:val="left" w:leader="none"/>
              </w:tabs>
              <w:spacing w:line="232" w:lineRule="auto" w:before="64" w:after="0"/>
              <w:ind w:left="464" w:right="180" w:hanging="360"/>
              <w:jc w:val="left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internally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Senior Medical Writing review, as applicable.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22"/>
              <w:rPr>
                <w:sz w:val="20"/>
              </w:rPr>
            </w:pPr>
            <w:r>
              <w:rPr>
                <w:sz w:val="20"/>
              </w:rPr>
              <w:t>Before issue of Draft 1 to 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any subsequent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draft, as applicable)</w:t>
            </w:r>
          </w:p>
        </w:tc>
      </w:tr>
      <w:tr>
        <w:trPr>
          <w:trHeight w:val="212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  <w:p>
            <w:pPr>
              <w:pStyle w:val="TableParagraph"/>
              <w:spacing w:before="5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464" w:val="left" w:leader="none"/>
                <w:tab w:pos="465" w:val="left" w:leader="none"/>
              </w:tabs>
              <w:spacing w:line="237" w:lineRule="auto" w:before="60" w:after="0"/>
              <w:ind w:left="464" w:right="242" w:hanging="360"/>
              <w:jc w:val="left"/>
              <w:rPr>
                <w:sz w:val="20"/>
              </w:rPr>
            </w:pPr>
            <w:r>
              <w:rPr>
                <w:sz w:val="20"/>
              </w:rPr>
              <w:t>Checks the accuracy and internal consistency of the results posting in line with CS_OP_MW005, Quality Control (QC) 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Deliverables.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 be performed by another DS or MW.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65" w:val="left" w:leader="none"/>
              </w:tabs>
              <w:spacing w:line="240" w:lineRule="auto" w:before="66" w:after="0"/>
              <w:ind w:left="464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MW.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65" w:val="left" w:leader="none"/>
              </w:tabs>
              <w:spacing w:line="237" w:lineRule="auto" w:before="64" w:after="0"/>
              <w:ind w:left="464" w:right="459" w:hanging="360"/>
              <w:jc w:val="both"/>
              <w:rPr>
                <w:sz w:val="20"/>
              </w:rPr>
            </w:pPr>
            <w:r>
              <w:rPr>
                <w:sz w:val="20"/>
              </w:rPr>
              <w:t>Signs CS_FM_MW007, Internal Signature Page for Medical Writing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wet-ink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confirm completion of their review.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22"/>
              <w:rPr>
                <w:sz w:val="20"/>
              </w:rPr>
            </w:pPr>
            <w:r>
              <w:rPr>
                <w:sz w:val="20"/>
              </w:rPr>
              <w:t>Upon receipt of proposed Draft 1 results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(or any subsequent draft, as </w:t>
            </w:r>
            <w:r>
              <w:rPr>
                <w:spacing w:val="-2"/>
                <w:sz w:val="20"/>
              </w:rPr>
              <w:t>applicable)</w:t>
            </w:r>
          </w:p>
        </w:tc>
      </w:tr>
      <w:tr>
        <w:trPr>
          <w:trHeight w:val="1707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ind w:left="110" w:right="204"/>
              <w:rPr>
                <w:sz w:val="20"/>
              </w:rPr>
            </w:pPr>
            <w:r>
              <w:rPr>
                <w:spacing w:val="-2"/>
                <w:sz w:val="20"/>
              </w:rPr>
              <w:t>Senior Medical Writing Reviewer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40" w:lineRule="auto" w:before="58" w:after="0"/>
              <w:ind w:left="464" w:right="128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 the results posting to ensure it is complete and meets the Customer's and/or applicable registry’s requirements for content in line with CS_WI_MW0221, Senior Medical Writing Review of Medical Writing Deliverables. The senior review should be performed by a DS or MW who has the relevant experience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person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QC review).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ind w:left="109" w:right="122"/>
              <w:rPr>
                <w:sz w:val="20"/>
              </w:rPr>
            </w:pPr>
            <w:r>
              <w:rPr>
                <w:sz w:val="20"/>
              </w:rPr>
              <w:t>Upon receipt of proposed Draft 1 results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(or any subsequent draft, as </w:t>
            </w:r>
            <w:r>
              <w:rPr>
                <w:spacing w:val="-2"/>
                <w:sz w:val="20"/>
              </w:rPr>
              <w:t>applicable)</w:t>
            </w:r>
          </w:p>
        </w:tc>
      </w:tr>
      <w:tr>
        <w:trPr>
          <w:trHeight w:val="305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5"/>
              </w:numPr>
              <w:tabs>
                <w:tab w:pos="464" w:val="left" w:leader="none"/>
                <w:tab w:pos="465" w:val="left" w:leader="none"/>
              </w:tabs>
              <w:spacing w:line="240" w:lineRule="auto" w:before="3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MW.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798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465" w:val="left" w:leader="none"/>
              </w:tabs>
              <w:spacing w:line="237" w:lineRule="auto" w:before="33" w:after="0"/>
              <w:ind w:left="464" w:right="459" w:hanging="360"/>
              <w:jc w:val="both"/>
              <w:rPr>
                <w:sz w:val="20"/>
              </w:rPr>
            </w:pPr>
            <w:r>
              <w:rPr>
                <w:sz w:val="20"/>
              </w:rPr>
              <w:t>Signs CS_FM_MW007, Internal Signature Page for Medical Writing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wet-ink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confirm completion of their review.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>
      <w:pPr>
        <w:spacing w:after="0"/>
        <w:rPr>
          <w:rFonts w:ascii="Times New Roman"/>
          <w:sz w:val="18"/>
        </w:rPr>
        <w:sectPr>
          <w:pgSz w:w="12240" w:h="15840"/>
          <w:pgMar w:header="725" w:footer="957" w:top="2520" w:bottom="1140" w:left="900" w:right="4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85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32" w:lineRule="auto" w:before="68" w:after="0"/>
              <w:ind w:left="464" w:right="381" w:hanging="360"/>
              <w:jc w:val="left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 the Medical Writer Response document(s).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9" w:val="left" w:leader="none"/>
                <w:tab w:pos="470" w:val="left" w:leader="none"/>
              </w:tabs>
              <w:spacing w:line="232" w:lineRule="auto" w:before="73" w:after="0"/>
              <w:ind w:left="469" w:right="529" w:hanging="365"/>
              <w:jc w:val="left"/>
              <w:rPr>
                <w:sz w:val="20"/>
              </w:rPr>
            </w:pPr>
            <w:r>
              <w:rPr>
                <w:sz w:val="20"/>
              </w:rPr>
              <w:t>Incorporates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makes appropriate revisions to the draft results posting.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9" w:val="left" w:leader="none"/>
                <w:tab w:pos="470" w:val="left" w:leader="none"/>
              </w:tabs>
              <w:spacing w:line="237" w:lineRule="auto" w:before="68" w:after="0"/>
              <w:ind w:left="469" w:right="131" w:hanging="365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due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new data added or major updates), repeating Section 6.3 steps above, as appropriate.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09" w:right="122"/>
              <w:rPr>
                <w:sz w:val="20"/>
              </w:rPr>
            </w:pPr>
            <w:r>
              <w:rPr>
                <w:sz w:val="20"/>
              </w:rPr>
              <w:t>Upon receipt of internal review comments and prior to issue of Draft 1 to 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any subsequent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draft,</w:t>
            </w:r>
          </w:p>
          <w:p>
            <w:pPr>
              <w:pStyle w:val="TableParagraph"/>
              <w:spacing w:line="213" w:lineRule="exact" w:before="0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</w:tc>
      </w:tr>
      <w:tr>
        <w:trPr>
          <w:trHeight w:val="506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8"/>
              </w:numPr>
              <w:tabs>
                <w:tab w:pos="469" w:val="left" w:leader="none"/>
                <w:tab w:pos="470" w:val="left" w:leader="none"/>
              </w:tabs>
              <w:spacing w:line="232" w:lineRule="auto" w:before="12" w:after="0"/>
              <w:ind w:left="469" w:right="301" w:hanging="365"/>
              <w:jc w:val="left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comment(s)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has/have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been incorporated and the rationale.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763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9"/>
              </w:numPr>
              <w:tabs>
                <w:tab w:pos="464" w:val="left" w:leader="none"/>
                <w:tab w:pos="465" w:val="left" w:leader="none"/>
              </w:tabs>
              <w:spacing w:line="237" w:lineRule="auto" w:before="34" w:after="0"/>
              <w:ind w:left="464" w:right="380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 signatures from all internal reviewers on CS_FM_MW007,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Writing </w:t>
            </w:r>
            <w:r>
              <w:rPr>
                <w:spacing w:val="-2"/>
                <w:sz w:val="20"/>
              </w:rPr>
              <w:t>Deliverables.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799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20"/>
              </w:numPr>
              <w:tabs>
                <w:tab w:pos="464" w:val="left" w:leader="none"/>
                <w:tab w:pos="465" w:val="left" w:leader="none"/>
              </w:tabs>
              <w:spacing w:line="237" w:lineRule="auto" w:before="34" w:after="0"/>
              <w:ind w:left="464" w:right="157" w:hanging="360"/>
              <w:jc w:val="left"/>
              <w:rPr>
                <w:sz w:val="20"/>
              </w:rPr>
            </w:pPr>
            <w:r>
              <w:rPr>
                <w:sz w:val="20"/>
              </w:rPr>
              <w:t>Signs CS_FM_MW007 as Author electronically or via wet-ink signature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addressed, as appropriate.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Issuing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Draft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Results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Posting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Customer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ind w:left="104" w:right="166"/>
              <w:rPr>
                <w:sz w:val="20"/>
              </w:rPr>
            </w:pPr>
            <w:r>
              <w:rPr>
                <w:sz w:val="20"/>
              </w:rPr>
              <w:t>Informs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drafts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more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 the contract and if so, if a change order is required (to be handled as per Section 6.1.6).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During project conduct,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before starting any additional work</w:t>
            </w:r>
          </w:p>
        </w:tc>
      </w:tr>
      <w:tr>
        <w:trPr>
          <w:trHeight w:val="1782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21"/>
              </w:numPr>
              <w:tabs>
                <w:tab w:pos="464" w:val="left" w:leader="none"/>
                <w:tab w:pos="465" w:val="left" w:leader="none"/>
              </w:tabs>
              <w:spacing w:line="237" w:lineRule="auto" w:before="64" w:after="0"/>
              <w:ind w:left="464" w:right="387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agreed method. This may be within the review workflow of the Customer’s Disclosure Software, if applicable, and in accordance with CS_WI_MW0201, Sending Medical Writing Deliverables to Customers Securely. Includes an email </w:t>
            </w:r>
            <w:r>
              <w:rPr>
                <w:spacing w:val="-2"/>
                <w:sz w:val="20"/>
              </w:rPr>
              <w:t>detailing:</w:t>
            </w:r>
          </w:p>
          <w:p>
            <w:pPr>
              <w:pStyle w:val="TableParagraph"/>
              <w:numPr>
                <w:ilvl w:val="1"/>
                <w:numId w:val="21"/>
              </w:numPr>
              <w:tabs>
                <w:tab w:pos="1146" w:val="left" w:leader="none"/>
                <w:tab w:pos="1147" w:val="left" w:leader="none"/>
              </w:tabs>
              <w:spacing w:line="240" w:lineRule="auto" w:before="66" w:after="0"/>
              <w:ind w:left="1146" w:right="0" w:hanging="424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document.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09" w:right="161"/>
              <w:rPr>
                <w:sz w:val="20"/>
              </w:rPr>
            </w:pPr>
            <w:r>
              <w:rPr>
                <w:sz w:val="20"/>
              </w:rPr>
              <w:t>After Draft 1 (or any subsequent draft, as applicable) is prepared and updated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following internal review</w:t>
            </w:r>
          </w:p>
        </w:tc>
      </w:tr>
      <w:tr>
        <w:trPr>
          <w:trHeight w:val="290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22"/>
              </w:numPr>
              <w:tabs>
                <w:tab w:pos="1146" w:val="left" w:leader="none"/>
                <w:tab w:pos="1147" w:val="left" w:leader="none"/>
              </w:tabs>
              <w:spacing w:line="240" w:lineRule="auto" w:before="17" w:after="0"/>
              <w:ind w:left="1146" w:right="0" w:hanging="424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questions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clarification.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289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23"/>
              </w:numPr>
              <w:tabs>
                <w:tab w:pos="1146" w:val="left" w:leader="none"/>
                <w:tab w:pos="1147" w:val="left" w:leader="none"/>
              </w:tabs>
              <w:spacing w:line="240" w:lineRule="auto" w:before="19" w:after="0"/>
              <w:ind w:left="1146" w:right="0" w:hanging="424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expected.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>
        <w:trPr>
          <w:trHeight w:val="555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24"/>
              </w:numPr>
              <w:tabs>
                <w:tab w:pos="464" w:val="left" w:leader="none"/>
                <w:tab w:pos="465" w:val="left" w:leader="none"/>
              </w:tabs>
              <w:spacing w:line="232" w:lineRule="auto" w:before="29" w:after="0"/>
              <w:ind w:left="464" w:right="1025" w:hanging="360"/>
              <w:jc w:val="left"/>
              <w:rPr>
                <w:sz w:val="20"/>
              </w:rPr>
            </w:pPr>
            <w:r>
              <w:rPr>
                <w:sz w:val="20"/>
              </w:rPr>
              <w:t>Copies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key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members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above communication, as appropriate.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Handling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Customer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Comments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2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5"/>
              </w:numPr>
              <w:tabs>
                <w:tab w:pos="464" w:val="left" w:leader="none"/>
                <w:tab w:pos="465" w:val="left" w:leader="none"/>
              </w:tabs>
              <w:spacing w:line="232" w:lineRule="auto" w:before="64" w:after="0"/>
              <w:ind w:left="464" w:right="921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clarifies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unclear comments with the Customer.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464" w:val="left" w:leader="none"/>
                <w:tab w:pos="465" w:val="left" w:leader="none"/>
              </w:tabs>
              <w:spacing w:line="237" w:lineRule="auto" w:before="68" w:after="0"/>
              <w:ind w:left="464" w:right="128" w:hanging="360"/>
              <w:jc w:val="left"/>
              <w:rPr>
                <w:sz w:val="20"/>
              </w:rPr>
            </w:pPr>
            <w:r>
              <w:rPr>
                <w:sz w:val="20"/>
              </w:rPr>
              <w:t>May plan a CRM with the Customer to discuss what changes 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CS_OP_MW0203,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Preparation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Medical Writing Deliverables.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22"/>
              <w:rPr>
                <w:sz w:val="20"/>
              </w:rPr>
            </w:pPr>
            <w:r>
              <w:rPr>
                <w:spacing w:val="-2"/>
                <w:sz w:val="20"/>
              </w:rPr>
              <w:t>Following </w:t>
            </w:r>
            <w:r>
              <w:rPr>
                <w:sz w:val="20"/>
              </w:rPr>
              <w:t>Customer review and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depending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on the scope and</w:t>
            </w:r>
          </w:p>
          <w:p>
            <w:pPr>
              <w:pStyle w:val="TableParagraph"/>
              <w:spacing w:line="226" w:lineRule="exact" w:before="0"/>
              <w:ind w:left="109" w:right="350"/>
              <w:rPr>
                <w:sz w:val="20"/>
              </w:rPr>
            </w:pPr>
            <w:r>
              <w:rPr>
                <w:sz w:val="20"/>
              </w:rPr>
              <w:t>nature of the comments,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</w:t>
            </w:r>
          </w:p>
        </w:tc>
      </w:tr>
    </w:tbl>
    <w:p>
      <w:pPr>
        <w:spacing w:after="0" w:line="226" w:lineRule="exact"/>
        <w:rPr>
          <w:sz w:val="20"/>
        </w:rPr>
        <w:sectPr>
          <w:pgSz w:w="12240" w:h="15840"/>
          <w:pgMar w:header="725" w:footer="957" w:top="2520" w:bottom="1140" w:left="900" w:right="4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03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contractual </w:t>
            </w:r>
            <w:r>
              <w:rPr>
                <w:spacing w:val="-2"/>
                <w:sz w:val="20"/>
              </w:rPr>
              <w:t>requirements</w:t>
            </w:r>
          </w:p>
        </w:tc>
      </w:tr>
      <w:tr>
        <w:trPr>
          <w:trHeight w:val="265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6"/>
              </w:numPr>
              <w:tabs>
                <w:tab w:pos="464" w:val="left" w:leader="none"/>
                <w:tab w:pos="465" w:val="left" w:leader="none"/>
              </w:tabs>
              <w:spacing w:line="232" w:lineRule="auto" w:before="64" w:after="0"/>
              <w:ind w:left="464" w:right="392" w:hanging="360"/>
              <w:jc w:val="left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address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 review comments.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464" w:val="left" w:leader="none"/>
                <w:tab w:pos="465" w:val="left" w:leader="none"/>
              </w:tabs>
              <w:spacing w:line="232" w:lineRule="auto" w:before="72" w:after="0"/>
              <w:ind w:left="464" w:right="229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arranges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incorporation of Customer review comments. Refer to Section 6.3.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464" w:val="left" w:leader="none"/>
                <w:tab w:pos="465" w:val="left" w:leader="none"/>
              </w:tabs>
              <w:spacing w:line="237" w:lineRule="auto" w:before="68" w:after="0"/>
              <w:ind w:left="464" w:right="138" w:hanging="360"/>
              <w:jc w:val="left"/>
              <w:rPr>
                <w:sz w:val="20"/>
              </w:rPr>
            </w:pPr>
            <w:r>
              <w:rPr>
                <w:sz w:val="20"/>
              </w:rPr>
              <w:t>If applicable, addresses additional internal QC review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accordingly.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Section 6.3.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464" w:val="left" w:leader="none"/>
                <w:tab w:pos="465" w:val="left" w:leader="none"/>
              </w:tabs>
              <w:spacing w:line="237" w:lineRule="auto" w:before="65" w:after="0"/>
              <w:ind w:left="464" w:right="247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 any Customer comment(s) which has/have not been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incorporated,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rationale,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shares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17"/>
              <w:rPr>
                <w:sz w:val="20"/>
              </w:rPr>
            </w:pPr>
            <w:r>
              <w:rPr>
                <w:spacing w:val="-2"/>
                <w:sz w:val="20"/>
              </w:rPr>
              <w:t>Following </w:t>
            </w:r>
            <w:r>
              <w:rPr>
                <w:sz w:val="20"/>
              </w:rPr>
              <w:t>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Issuing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Final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Results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Posting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Customer</w:t>
      </w:r>
    </w:p>
    <w:p>
      <w:pPr>
        <w:pStyle w:val="BodyText"/>
        <w:spacing w:before="121"/>
        <w:ind w:left="1980" w:right="986"/>
      </w:pPr>
      <w:r>
        <w:rPr/>
        <w:t>If</w:t>
      </w:r>
      <w:r>
        <w:rPr>
          <w:spacing w:val="-3"/>
        </w:rPr>
        <w:t> </w:t>
      </w:r>
      <w:r>
        <w:rPr/>
        <w:t>more</w:t>
      </w:r>
      <w:r>
        <w:rPr>
          <w:spacing w:val="-3"/>
        </w:rPr>
        <w:t> </w:t>
      </w:r>
      <w:r>
        <w:rPr/>
        <w:t>than</w:t>
      </w:r>
      <w:r>
        <w:rPr>
          <w:spacing w:val="-3"/>
        </w:rPr>
        <w:t> </w:t>
      </w:r>
      <w:r>
        <w:rPr/>
        <w:t>one</w:t>
      </w:r>
      <w:r>
        <w:rPr>
          <w:spacing w:val="-3"/>
        </w:rPr>
        <w:t> </w:t>
      </w:r>
      <w:r>
        <w:rPr/>
        <w:t>draft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results</w:t>
      </w:r>
      <w:r>
        <w:rPr>
          <w:spacing w:val="-3"/>
        </w:rPr>
        <w:t> </w:t>
      </w:r>
      <w:r>
        <w:rPr/>
        <w:t>posting</w:t>
      </w:r>
      <w:r>
        <w:rPr>
          <w:spacing w:val="-4"/>
        </w:rPr>
        <w:t> </w:t>
      </w:r>
      <w:r>
        <w:rPr/>
        <w:t>is</w:t>
      </w:r>
      <w:r>
        <w:rPr>
          <w:spacing w:val="-2"/>
        </w:rPr>
        <w:t> </w:t>
      </w:r>
      <w:r>
        <w:rPr/>
        <w:t>required,</w:t>
      </w:r>
      <w:r>
        <w:rPr>
          <w:spacing w:val="-2"/>
        </w:rPr>
        <w:t> </w:t>
      </w:r>
      <w:r>
        <w:rPr/>
        <w:t>the</w:t>
      </w:r>
      <w:r>
        <w:rPr>
          <w:spacing w:val="-6"/>
        </w:rPr>
        <w:t> </w:t>
      </w:r>
      <w:r>
        <w:rPr/>
        <w:t>appropriate</w:t>
      </w:r>
      <w:r>
        <w:rPr>
          <w:spacing w:val="-1"/>
        </w:rPr>
        <w:t> </w:t>
      </w:r>
      <w:r>
        <w:rPr/>
        <w:t>steps</w:t>
      </w:r>
      <w:r>
        <w:rPr>
          <w:spacing w:val="-3"/>
        </w:rPr>
        <w:t> </w:t>
      </w:r>
      <w:r>
        <w:rPr/>
        <w:t>in Sections 6.2, 6.3, 6.4 and 6.5 must be repeated for each subsequent draft.</w:t>
      </w:r>
    </w:p>
    <w:p>
      <w:pPr>
        <w:pStyle w:val="BodyText"/>
        <w:spacing w:before="8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415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7"/>
              </w:numPr>
              <w:tabs>
                <w:tab w:pos="464" w:val="left" w:leader="none"/>
                <w:tab w:pos="465" w:val="left" w:leader="none"/>
              </w:tabs>
              <w:spacing w:line="232" w:lineRule="auto" w:before="68" w:after="0"/>
              <w:ind w:left="464" w:right="617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anticipated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 according to the agreed timelines.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464" w:val="left" w:leader="none"/>
                <w:tab w:pos="465" w:val="left" w:leader="none"/>
              </w:tabs>
              <w:spacing w:line="240" w:lineRule="auto" w:before="66" w:after="0"/>
              <w:ind w:left="464" w:right="300" w:hanging="360"/>
              <w:jc w:val="left"/>
              <w:rPr>
                <w:sz w:val="20"/>
              </w:rPr>
            </w:pPr>
            <w:r>
              <w:rPr>
                <w:sz w:val="20"/>
              </w:rPr>
              <w:t>Asks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posting is final and approved. If no response has been received after</w:t>
            </w:r>
          </w:p>
          <w:p>
            <w:pPr>
              <w:pStyle w:val="TableParagraph"/>
              <w:spacing w:line="237" w:lineRule="auto" w:before="2"/>
              <w:ind w:left="464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business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days,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considered complete. Refer to CS_OP_MW0203, Preparation of Medical Writing Deliverables.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464" w:val="left" w:leader="none"/>
                <w:tab w:pos="465" w:val="left" w:leader="none"/>
              </w:tabs>
              <w:spacing w:line="237" w:lineRule="auto" w:before="66" w:after="0"/>
              <w:ind w:left="464" w:right="344" w:hanging="360"/>
              <w:jc w:val="left"/>
              <w:rPr>
                <w:sz w:val="20"/>
              </w:rPr>
            </w:pPr>
            <w:r>
              <w:rPr>
                <w:color w:val="020202"/>
                <w:sz w:val="20"/>
              </w:rPr>
              <w:t>If submitting the final version for electronic approval directly within a Customer’s Disclosure Software (e.g. TrialScope Disclose™),</w:t>
            </w:r>
            <w:r>
              <w:rPr>
                <w:color w:val="020202"/>
                <w:spacing w:val="-5"/>
                <w:sz w:val="20"/>
              </w:rPr>
              <w:t> </w:t>
            </w:r>
            <w:r>
              <w:rPr>
                <w:color w:val="020202"/>
                <w:sz w:val="20"/>
              </w:rPr>
              <w:t>the</w:t>
            </w:r>
            <w:r>
              <w:rPr>
                <w:color w:val="020202"/>
                <w:spacing w:val="-5"/>
                <w:sz w:val="20"/>
              </w:rPr>
              <w:t> </w:t>
            </w:r>
            <w:r>
              <w:rPr>
                <w:color w:val="020202"/>
                <w:sz w:val="20"/>
              </w:rPr>
              <w:t>email</w:t>
            </w:r>
            <w:r>
              <w:rPr>
                <w:color w:val="020202"/>
                <w:spacing w:val="-6"/>
                <w:sz w:val="20"/>
              </w:rPr>
              <w:t> </w:t>
            </w:r>
            <w:r>
              <w:rPr>
                <w:color w:val="020202"/>
                <w:sz w:val="20"/>
              </w:rPr>
              <w:t>requirement</w:t>
            </w:r>
            <w:r>
              <w:rPr>
                <w:color w:val="020202"/>
                <w:spacing w:val="-5"/>
                <w:sz w:val="20"/>
              </w:rPr>
              <w:t> </w:t>
            </w:r>
            <w:r>
              <w:rPr>
                <w:color w:val="020202"/>
                <w:sz w:val="20"/>
              </w:rPr>
              <w:t>in</w:t>
            </w:r>
            <w:r>
              <w:rPr>
                <w:color w:val="020202"/>
                <w:spacing w:val="-6"/>
                <w:sz w:val="20"/>
              </w:rPr>
              <w:t> </w:t>
            </w:r>
            <w:r>
              <w:rPr>
                <w:color w:val="020202"/>
                <w:sz w:val="20"/>
              </w:rPr>
              <w:t>previous</w:t>
            </w:r>
            <w:r>
              <w:rPr>
                <w:color w:val="020202"/>
                <w:spacing w:val="-6"/>
                <w:sz w:val="20"/>
              </w:rPr>
              <w:t> </w:t>
            </w:r>
            <w:r>
              <w:rPr>
                <w:color w:val="020202"/>
                <w:sz w:val="20"/>
              </w:rPr>
              <w:t>bullet</w:t>
            </w:r>
            <w:r>
              <w:rPr>
                <w:color w:val="020202"/>
                <w:spacing w:val="-6"/>
                <w:sz w:val="20"/>
              </w:rPr>
              <w:t> </w:t>
            </w:r>
            <w:r>
              <w:rPr>
                <w:color w:val="020202"/>
                <w:sz w:val="20"/>
              </w:rPr>
              <w:t>does</w:t>
            </w:r>
            <w:r>
              <w:rPr>
                <w:color w:val="020202"/>
                <w:spacing w:val="-6"/>
                <w:sz w:val="20"/>
              </w:rPr>
              <w:t> </w:t>
            </w:r>
            <w:r>
              <w:rPr>
                <w:color w:val="020202"/>
                <w:sz w:val="20"/>
              </w:rPr>
              <w:t>not </w:t>
            </w:r>
            <w:r>
              <w:rPr>
                <w:color w:val="020202"/>
                <w:spacing w:val="-2"/>
                <w:sz w:val="20"/>
              </w:rPr>
              <w:t>apply.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464" w:val="left" w:leader="none"/>
                <w:tab w:pos="465" w:val="left" w:leader="none"/>
              </w:tabs>
              <w:spacing w:line="232" w:lineRule="auto" w:before="72" w:after="0"/>
              <w:ind w:left="464" w:right="732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scope,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submits/uploads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applicable registry(s).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464" w:val="left" w:leader="none"/>
                <w:tab w:pos="465" w:val="left" w:leader="none"/>
              </w:tabs>
              <w:spacing w:line="232" w:lineRule="auto" w:before="73" w:after="0"/>
              <w:ind w:left="464" w:right="1116" w:hanging="360"/>
              <w:jc w:val="left"/>
              <w:rPr>
                <w:sz w:val="20"/>
              </w:rPr>
            </w:pPr>
            <w:r>
              <w:rPr>
                <w:sz w:val="20"/>
              </w:rPr>
              <w:t>Escalates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 </w:t>
            </w:r>
            <w:r>
              <w:rPr>
                <w:spacing w:val="-2"/>
                <w:sz w:val="20"/>
              </w:rPr>
              <w:t>completion.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464" w:val="left" w:leader="none"/>
                <w:tab w:pos="465" w:val="left" w:leader="none"/>
              </w:tabs>
              <w:spacing w:line="232" w:lineRule="auto" w:before="72" w:after="0"/>
              <w:ind w:left="464" w:right="866" w:hanging="360"/>
              <w:jc w:val="left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make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orders affecting Medical Writing have been approved.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310"/>
              <w:rPr>
                <w:sz w:val="20"/>
              </w:rPr>
            </w:pPr>
            <w:r>
              <w:rPr>
                <w:spacing w:val="-2"/>
                <w:sz w:val="20"/>
              </w:rPr>
              <w:t>Following </w:t>
            </w:r>
            <w:r>
              <w:rPr>
                <w:sz w:val="20"/>
              </w:rPr>
              <w:t>preparation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final results </w:t>
            </w:r>
            <w:r>
              <w:rPr>
                <w:spacing w:val="-2"/>
                <w:sz w:val="20"/>
              </w:rPr>
              <w:t>posting</w:t>
            </w: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Revision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Final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Version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Following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Authority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Comments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5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8"/>
              </w:numPr>
              <w:tabs>
                <w:tab w:pos="464" w:val="left" w:leader="none"/>
                <w:tab w:pos="465" w:val="left" w:leader="none"/>
              </w:tabs>
              <w:spacing w:line="237" w:lineRule="auto" w:before="60" w:after="0"/>
              <w:ind w:left="464" w:right="329" w:hanging="360"/>
              <w:jc w:val="left"/>
              <w:rPr>
                <w:sz w:val="20"/>
              </w:rPr>
            </w:pPr>
            <w:r>
              <w:rPr>
                <w:sz w:val="20"/>
              </w:rPr>
              <w:t>If within scope, addresses regulatory authority comments following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registry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(e.g. PRS review comments received for ClinicalTrials.gov </w:t>
            </w:r>
            <w:r>
              <w:rPr>
                <w:spacing w:val="-2"/>
                <w:sz w:val="20"/>
              </w:rPr>
              <w:t>submissions).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72"/>
              <w:rPr>
                <w:sz w:val="20"/>
              </w:rPr>
            </w:pPr>
            <w:r>
              <w:rPr>
                <w:sz w:val="20"/>
              </w:rPr>
              <w:t>Post-final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version and after </w:t>
            </w:r>
            <w:r>
              <w:rPr>
                <w:spacing w:val="-2"/>
                <w:sz w:val="20"/>
              </w:rPr>
              <w:t>receiving Regulatory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957" w:top="2520" w:bottom="1140" w:left="900" w:right="4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401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9"/>
              </w:numPr>
              <w:tabs>
                <w:tab w:pos="464" w:val="left" w:leader="none"/>
                <w:tab w:pos="465" w:val="left" w:leader="none"/>
              </w:tabs>
              <w:spacing w:line="232" w:lineRule="auto" w:before="6" w:after="0"/>
              <w:ind w:left="464" w:right="411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authority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incorporates updates as appropriate.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464" w:val="left" w:leader="none"/>
                <w:tab w:pos="465" w:val="left" w:leader="none"/>
              </w:tabs>
              <w:spacing w:line="237" w:lineRule="auto" w:before="68" w:after="0"/>
              <w:ind w:left="464" w:right="142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agreed method (refer to Section 6.4.2). Indicates timelines for returning review comments and if appropriate, provides separate documentation of any updates applied or rationale for not incorporating an update.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464" w:val="left" w:leader="none"/>
                <w:tab w:pos="465" w:val="left" w:leader="none"/>
              </w:tabs>
              <w:spacing w:line="232" w:lineRule="auto" w:before="75" w:after="0"/>
              <w:ind w:left="464" w:right="575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incorporates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further updates as appropriate.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464" w:val="left" w:leader="none"/>
                <w:tab w:pos="465" w:val="left" w:leader="none"/>
              </w:tabs>
              <w:spacing w:line="232" w:lineRule="auto" w:before="72" w:after="0"/>
              <w:ind w:left="464" w:right="896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 </w:t>
            </w:r>
            <w:r>
              <w:rPr>
                <w:spacing w:val="-2"/>
                <w:sz w:val="20"/>
              </w:rPr>
              <w:t>applicable.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464" w:val="left" w:leader="none"/>
                <w:tab w:pos="465" w:val="left" w:leader="none"/>
              </w:tabs>
              <w:spacing w:line="232" w:lineRule="auto" w:before="77" w:after="0"/>
              <w:ind w:left="464" w:right="540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scope,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re-submits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applicable registry.</w:t>
            </w:r>
          </w:p>
          <w:p>
            <w:pPr>
              <w:pStyle w:val="TableParagraph"/>
              <w:spacing w:before="3"/>
              <w:rPr>
                <w:b/>
                <w:sz w:val="30"/>
              </w:rPr>
            </w:pPr>
          </w:p>
          <w:p>
            <w:pPr>
              <w:pStyle w:val="TableParagraph"/>
              <w:spacing w:before="0"/>
              <w:ind w:left="104" w:right="122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Any revised versions of the results posting should undergo 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applicable, before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Section 6.3.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122"/>
              <w:rPr>
                <w:sz w:val="20"/>
              </w:rPr>
            </w:pPr>
            <w:r>
              <w:rPr>
                <w:spacing w:val="-2"/>
                <w:sz w:val="20"/>
              </w:rPr>
              <w:t>Authority Comments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Filing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42"/>
              <w:jc w:val="both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activities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emails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described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CS_WI_MW0233,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Medical Writing Documentation.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8"/>
              <w:rPr>
                <w:sz w:val="20"/>
              </w:rPr>
            </w:pPr>
            <w:r>
              <w:rPr>
                <w:spacing w:val="-2"/>
                <w:sz w:val="20"/>
              </w:rPr>
              <w:t>Throughout </w:t>
            </w:r>
            <w:r>
              <w:rPr>
                <w:sz w:val="20"/>
              </w:rPr>
              <w:t>duration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SUPPORTING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ind w:right="495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CS_WI_MW0233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CS_WI_MW001</w:t>
            </w:r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Producing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(Integrated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/ Statistical Report)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CS_OP_MW005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(QC)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spacing w:before="43"/>
              <w:ind w:right="495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CS_WI_MW0221</w:t>
            </w:r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9"/>
              <w:ind w:left="109" w:right="212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Writing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CS_FM_MW007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Internal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Signature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Page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556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ind w:right="495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CS_WI_MW0201</w:t>
            </w:r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4"/>
              <w:ind w:left="109" w:right="212"/>
              <w:rPr>
                <w:sz w:val="22"/>
              </w:rPr>
            </w:pPr>
            <w:r>
              <w:rPr>
                <w:sz w:val="22"/>
              </w:rPr>
              <w:t>Sending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Deliverables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Customers </w:t>
            </w:r>
            <w:r>
              <w:rPr>
                <w:spacing w:val="-2"/>
                <w:sz w:val="22"/>
              </w:rPr>
              <w:t>Securely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547" w:val="left" w:leader="none"/>
              </w:tabs>
              <w:spacing w:before="43"/>
              <w:ind w:right="44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CS_OP_MW0203</w:t>
            </w:r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Preparation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CS_WI_PL0018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Customer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Contract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7.9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CS_WI_PL0029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Management,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Communications,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Reporting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957" w:top="2520" w:bottom="1140" w:left="900" w:right="4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7.10</w:t>
            </w:r>
            <w:r>
              <w:rPr>
                <w:b/>
                <w:spacing w:val="56"/>
                <w:sz w:val="22"/>
              </w:rPr>
              <w:t> </w:t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CS_WI_PL0060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Resource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6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18"/>
        <w:gridCol w:w="3600"/>
        <w:gridCol w:w="2899"/>
      </w:tblGrid>
      <w:tr>
        <w:trPr>
          <w:trHeight w:val="287" w:hRule="atLeast"/>
        </w:trPr>
        <w:tc>
          <w:tcPr>
            <w:tcW w:w="341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600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899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758" w:hRule="atLeast"/>
        </w:trPr>
        <w:tc>
          <w:tcPr>
            <w:tcW w:w="3418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CS_WI_MW0222</w:t>
            </w:r>
          </w:p>
        </w:tc>
        <w:tc>
          <w:tcPr>
            <w:tcW w:w="3600" w:type="dxa"/>
          </w:tcPr>
          <w:p>
            <w:pPr>
              <w:pStyle w:val="TableParagraph"/>
              <w:spacing w:line="237" w:lineRule="auto" w:before="2"/>
              <w:ind w:left="105"/>
              <w:rPr>
                <w:sz w:val="22"/>
              </w:rPr>
            </w:pPr>
            <w:r>
              <w:rPr>
                <w:sz w:val="22"/>
              </w:rPr>
              <w:t>Producing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Results Posting for Submission to Public</w:t>
            </w:r>
          </w:p>
          <w:p>
            <w:pPr>
              <w:pStyle w:val="TableParagraph"/>
              <w:spacing w:line="234" w:lineRule="exact" w:before="1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Registries</w:t>
            </w:r>
          </w:p>
        </w:tc>
        <w:tc>
          <w:tcPr>
            <w:tcW w:w="2899" w:type="dxa"/>
          </w:tcPr>
          <w:p>
            <w:pPr>
              <w:pStyle w:val="TableParagraph"/>
              <w:spacing w:before="0"/>
              <w:ind w:left="105"/>
              <w:rPr>
                <w:sz w:val="22"/>
              </w:rPr>
            </w:pPr>
            <w:r>
              <w:rPr>
                <w:w w:val="100"/>
                <w:sz w:val="22"/>
              </w:rPr>
              <w:t>5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7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18"/>
        <w:gridCol w:w="2880"/>
        <w:gridCol w:w="3600"/>
      </w:tblGrid>
      <w:tr>
        <w:trPr>
          <w:trHeight w:val="321" w:hRule="atLeast"/>
        </w:trPr>
        <w:tc>
          <w:tcPr>
            <w:tcW w:w="341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2880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600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41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owner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author</w:t>
            </w:r>
          </w:p>
        </w:tc>
        <w:tc>
          <w:tcPr>
            <w:tcW w:w="2880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Title</w:t>
            </w:r>
          </w:p>
        </w:tc>
        <w:tc>
          <w:tcPr>
            <w:tcW w:w="3600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z w:val="22"/>
              </w:rPr>
              <w:t>Change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owner</w:t>
            </w:r>
          </w:p>
        </w:tc>
      </w:tr>
      <w:tr>
        <w:trPr>
          <w:trHeight w:val="561" w:hRule="atLeast"/>
        </w:trPr>
        <w:tc>
          <w:tcPr>
            <w:tcW w:w="341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CTIS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Disclosure </w:t>
            </w:r>
            <w:r>
              <w:rPr>
                <w:spacing w:val="-2"/>
                <w:sz w:val="22"/>
              </w:rPr>
              <w:t>Software</w:t>
            </w:r>
          </w:p>
        </w:tc>
        <w:tc>
          <w:tcPr>
            <w:tcW w:w="2880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z w:val="22"/>
              </w:rPr>
              <w:t>4.0,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6.1.3</w:t>
            </w:r>
          </w:p>
        </w:tc>
        <w:tc>
          <w:tcPr>
            <w:tcW w:w="3600" w:type="dxa"/>
          </w:tcPr>
          <w:p>
            <w:pPr>
              <w:pStyle w:val="TableParagraph"/>
              <w:spacing w:line="228" w:lineRule="auto" w:before="34"/>
              <w:ind w:left="104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since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IQVIA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now uses CTIS</w:t>
            </w:r>
          </w:p>
        </w:tc>
      </w:tr>
      <w:tr>
        <w:trPr>
          <w:trHeight w:val="561" w:hRule="atLeast"/>
        </w:trPr>
        <w:tc>
          <w:tcPr>
            <w:tcW w:w="341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Amended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‘EudraCT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and/or CT.gov’ to ‘applicable’</w:t>
            </w:r>
          </w:p>
        </w:tc>
        <w:tc>
          <w:tcPr>
            <w:tcW w:w="2880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z w:val="22"/>
              </w:rPr>
              <w:t>Appendix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10"/>
                <w:sz w:val="22"/>
              </w:rPr>
              <w:t>A</w:t>
            </w:r>
          </w:p>
        </w:tc>
        <w:tc>
          <w:tcPr>
            <w:tcW w:w="3600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z w:val="22"/>
              </w:rPr>
              <w:t>Improve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general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clarity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Typical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Results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Posting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957" w:top="2520" w:bottom="1140" w:left="900" w:right="420"/>
        </w:sectPr>
      </w:pPr>
    </w:p>
    <w:p>
      <w:pPr>
        <w:pStyle w:val="BodyText"/>
        <w:spacing w:before="11"/>
        <w:rPr>
          <w:b/>
          <w:sz w:val="13"/>
        </w:rPr>
      </w:pPr>
      <w:r>
        <w:rPr/>
        <w:pict>
          <v:group style="position:absolute;margin-left:227.97995pt;margin-top:430.779816pt;width:228.8pt;height:141.65pt;mso-position-horizontal-relative:page;mso-position-vertical-relative:page;z-index:-16359424" id="docshapegroup8" coordorigin="4560,8616" coordsize="4576,2833">
            <v:shape style="position:absolute;left:8692;top:9388;width:432;height:1090" id="docshape9" coordorigin="8693,9389" coordsize="432,1090" path="m9125,10478l9123,10380,9116,10283,9105,10190,9090,10100,9071,10014,9049,9933,9023,9858,8993,9788,8961,9725,8925,9669,8887,9622,8803,9552,8803,9610,8693,9470,8803,9389,8803,9446,8846,9476,8925,9561,8961,9616,8993,9679,9023,9748,9049,9824,9071,9905,9090,9991,9105,10082,9116,10176,9123,10273,9125,10373,9125,10478xe" filled="true" fillcolor="#e7e6e6" stroked="false">
              <v:path arrowok="t"/>
              <v:fill type="solid"/>
            </v:shape>
            <v:shape style="position:absolute;left:8692;top:10425;width:433;height:1013" id="docshape10" coordorigin="8693,10426" coordsize="433,1013" path="m8707,11438l8693,11438,8693,11328,8738,11323,8783,11308,8866,11249,8942,11157,8976,11099,9007,11034,9035,10963,9060,10886,9081,10803,9098,10715,9112,10622,9120,10526,9125,10426,9125,10524,9121,10619,9113,10712,9101,10802,9085,10888,9065,10969,9042,11046,9016,11117,8987,11182,8955,11241,8921,11293,8845,11375,8761,11423,8717,11434,8707,11438xe" filled="true" fillcolor="#b9b8b8" stroked="false">
              <v:path arrowok="t"/>
              <v:fill type="solid"/>
            </v:shape>
            <v:shape style="position:absolute;left:8692;top:9388;width:432;height:2050" id="docshape11" coordorigin="8693,9389" coordsize="432,2050" path="m9125,10478l9123,10380,9116,10283,9105,10190,9090,10100,9071,10014,9049,9933,9023,9858,8993,9788,8961,9725,8925,9669,8887,9622,8803,9552,8803,9610,8693,9470,8803,9389,8803,9446,8846,9476,8925,9561,8961,9616,8993,9679,9023,9748,9049,9824,9071,9905,9090,9991,9105,10082,9116,10176,9123,10273,9125,10373,9125,10478,9123,10577,9116,10673,9105,10765,9091,10853,9073,10937,9051,11016,9027,11090,8999,11158,8968,11220,8935,11275,8862,11363,8780,11419,8693,11438,8693,11328,8738,11323,8783,11308,8866,11249,8942,11157,8976,11099,9007,11034,9035,10963,9060,10886,9081,10803,9098,10715,9112,10622,9120,10526,9125,10426e" filled="false" stroked="true" strokeweight="1.000082pt" strokecolor="#41709c">
              <v:path arrowok="t"/>
              <v:stroke dashstyle="solid"/>
            </v:shape>
            <v:shape style="position:absolute;left:6465;top:8625;width:452;height:284" id="docshape12" coordorigin="6466,8626" coordsize="452,284" path="m6691,8909l6466,8770,6581,8770,6581,8626,6802,8626,6802,8770,6917,8770,6691,8909xe" filled="true" fillcolor="#e7e6e6" stroked="false">
              <v:path arrowok="t"/>
              <v:fill type="solid"/>
            </v:shape>
            <v:shape style="position:absolute;left:6465;top:8625;width:452;height:284" id="docshape13" coordorigin="6466,8626" coordsize="452,284" path="m6802,8626l6802,8770,6917,8770,6691,8909,6466,8770,6581,8770,6581,8626,6802,8626xe" filled="false" stroked="true" strokeweight="1.000320pt" strokecolor="#41709c">
              <v:path arrowok="t"/>
              <v:stroke dashstyle="solid"/>
            </v:shape>
            <v:shape style="position:absolute;left:4569;top:8899;width:4080;height:840" type="#_x0000_t202" id="docshape14" filled="true" fillcolor="#5b9bd4" stroked="true" strokeweight="1.000082pt" strokecolor="#41709c">
              <v:textbox inset="0,0,0,0">
                <w:txbxContent>
                  <w:p>
                    <w:pPr>
                      <w:spacing w:before="164"/>
                      <w:ind w:left="534" w:right="0" w:hanging="169"/>
                      <w:jc w:val="left"/>
                      <w:rPr>
                        <w:rFonts w:ascii="Calibri"/>
                        <w:color w:val="000000"/>
                        <w:sz w:val="20"/>
                      </w:rPr>
                    </w:pPr>
                    <w:r>
                      <w:rPr>
                        <w:rFonts w:ascii="Calibri"/>
                        <w:color w:val="000000"/>
                        <w:sz w:val="20"/>
                      </w:rPr>
                      <w:t>IQVIA</w:t>
                    </w:r>
                    <w:r>
                      <w:rPr>
                        <w:rFonts w:ascii="Calibri"/>
                        <w:color w:val="000000"/>
                        <w:spacing w:val="-9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finalises</w:t>
                    </w:r>
                    <w:r>
                      <w:rPr>
                        <w:rFonts w:ascii="Calibri"/>
                        <w:color w:val="000000"/>
                        <w:spacing w:val="-8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posting</w:t>
                    </w:r>
                    <w:r>
                      <w:rPr>
                        <w:rFonts w:ascii="Calibri"/>
                        <w:color w:val="000000"/>
                        <w:spacing w:val="-9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content,</w:t>
                    </w:r>
                    <w:r>
                      <w:rPr>
                        <w:rFonts w:ascii="Calibri"/>
                        <w:color w:val="000000"/>
                        <w:spacing w:val="-8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including further QC and validation, as needed</w:t>
                    </w:r>
                  </w:p>
                </w:txbxContent>
              </v:textbox>
              <v:fill type="solid"/>
              <v:stroke dashstyle="solid"/>
              <w10:wrap type="none"/>
            </v:shape>
            <v:shape style="position:absolute;left:6480;top:9777;width:452;height:288" id="docshape15" coordorigin="6480,9778" coordsize="452,288" path="m6706,10066l6480,9922,6590,9922,6590,9778,6816,9778,6816,9922,6931,9922,6706,10066xe" filled="true" fillcolor="#e7e6e6" stroked="false">
              <v:path arrowok="t"/>
              <v:fill type="solid"/>
            </v:shape>
            <v:shape style="position:absolute;left:6480;top:9777;width:452;height:288" id="docshape16" coordorigin="6480,9778" coordsize="452,288" path="m6816,9778l6816,9922,6931,9922,6706,10066,6480,9922,6590,9922,6590,9778,6816,9778xe" filled="false" stroked="true" strokeweight="1.000320pt" strokecolor="#41709c">
              <v:path arrowok="t"/>
              <v:stroke dashstyle="solid"/>
            </v:shape>
            <v:shape style="position:absolute;left:5332;top:10036;width:2669;height:644" type="#_x0000_t202" id="docshape17" filled="true" fillcolor="#ffd965" stroked="true" strokeweight="1.000082pt" strokecolor="#41709c">
              <v:textbox inset="0,0,0,0">
                <w:txbxContent>
                  <w:p>
                    <w:pPr>
                      <w:spacing w:line="240" w:lineRule="auto" w:before="4"/>
                      <w:rPr>
                        <w:color w:val="000000"/>
                        <w:sz w:val="16"/>
                      </w:rPr>
                    </w:pPr>
                  </w:p>
                  <w:p>
                    <w:pPr>
                      <w:spacing w:before="0"/>
                      <w:ind w:left="193" w:right="0" w:firstLine="0"/>
                      <w:jc w:val="left"/>
                      <w:rPr>
                        <w:rFonts w:ascii="Calibri"/>
                        <w:color w:val="000000"/>
                        <w:sz w:val="20"/>
                      </w:rPr>
                    </w:pPr>
                    <w:r>
                      <w:rPr>
                        <w:rFonts w:ascii="Calibri"/>
                        <w:color w:val="000000"/>
                        <w:sz w:val="20"/>
                      </w:rPr>
                      <w:t>Customer</w:t>
                    </w:r>
                    <w:r>
                      <w:rPr>
                        <w:rFonts w:ascii="Calibri"/>
                        <w:color w:val="000000"/>
                        <w:spacing w:val="-8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approves</w:t>
                    </w:r>
                    <w:r>
                      <w:rPr>
                        <w:rFonts w:ascii="Calibri"/>
                        <w:color w:val="000000"/>
                        <w:spacing w:val="-8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pacing w:val="-2"/>
                        <w:sz w:val="20"/>
                      </w:rPr>
                      <w:t>content</w:t>
                    </w:r>
                  </w:p>
                </w:txbxContent>
              </v:textbox>
              <v:fill type="solid"/>
              <v:stroke dashstyle="solid"/>
              <w10:wrap type="none"/>
            </v:shape>
            <w10:wrap type="none"/>
          </v:group>
        </w:pict>
      </w:r>
    </w:p>
    <w:p>
      <w:pPr>
        <w:spacing w:before="94"/>
        <w:ind w:left="1260" w:right="0" w:firstLine="0"/>
        <w:jc w:val="left"/>
        <w:rPr>
          <w:b/>
          <w:sz w:val="22"/>
        </w:rPr>
      </w:pPr>
      <w:r>
        <w:rPr/>
        <w:pict>
          <v:shape style="position:absolute;margin-left:386.640015pt;margin-top:71.177849pt;width:72.25pt;height:6pt;mso-position-horizontal-relative:page;mso-position-vertical-relative:paragraph;z-index:15733760" id="docshape18" coordorigin="7733,1424" coordsize="1445,120" path="m9058,1544l9058,1424,9159,1476,9082,1476,9082,1496,9158,1496,9058,1544xm9058,1496l7733,1496,7733,1476,9058,1476,9058,1496xm9158,1496l9082,1496,9082,1476,9159,1476,9178,1486,9158,1496xe" filled="true" fillcolor="#5b9bd4" stroked="false">
            <v:path arrowok="t"/>
            <v:fill type="solid"/>
            <w10:wrap type="none"/>
          </v:shape>
        </w:pict>
      </w:r>
      <w:r>
        <w:rPr/>
        <w:pict>
          <v:group style="position:absolute;margin-left:315.339844pt;margin-top:99.477676pt;width:23.6pt;height:15.4pt;mso-position-horizontal-relative:page;mso-position-vertical-relative:paragraph;z-index:15734784" id="docshapegroup19" coordorigin="6307,1990" coordsize="472,308">
            <v:shape style="position:absolute;left:6316;top:1999;width:452;height:288" id="docshape20" coordorigin="6317,2000" coordsize="452,288" path="m6542,2288l6317,2144,6427,2144,6427,2000,6653,2000,6653,2144,6768,2144,6542,2288xe" filled="true" fillcolor="#e7e6e6" stroked="false">
              <v:path arrowok="t"/>
              <v:fill type="solid"/>
            </v:shape>
            <v:shape style="position:absolute;left:6316;top:1999;width:452;height:288" id="docshape21" coordorigin="6317,2000" coordsize="452,288" path="m6653,2000l6653,2144,6768,2144,6542,2288,6317,2144,6427,2144,6427,2000,6653,2000xe" filled="false" stroked="true" strokeweight="1.000320pt" strokecolor="#41709c">
              <v:path arrowok="t"/>
              <v:stroke dashstyle="solid"/>
            </v:shape>
            <w10:wrap type="none"/>
          </v:group>
        </w:pict>
      </w:r>
      <w:r>
        <w:rPr/>
        <w:pict>
          <v:shape style="position:absolute;margin-left:255.839996pt;margin-top:115.577835pt;width:149.050pt;height:53.05pt;mso-position-horizontal-relative:page;mso-position-vertical-relative:paragraph;z-index:15735296" type="#_x0000_t202" id="docshape22" filled="true" fillcolor="#ffd965" stroked="true" strokeweight="1.000082pt" strokecolor="#41709c">
            <v:textbox inset="0,0,0,0">
              <w:txbxContent>
                <w:p>
                  <w:pPr>
                    <w:pStyle w:val="BodyText"/>
                    <w:spacing w:before="10"/>
                    <w:rPr>
                      <w:color w:val="000000"/>
                      <w:sz w:val="23"/>
                    </w:rPr>
                  </w:pPr>
                </w:p>
                <w:p>
                  <w:pPr>
                    <w:spacing w:before="0"/>
                    <w:ind w:left="496" w:right="0" w:hanging="226"/>
                    <w:jc w:val="left"/>
                    <w:rPr>
                      <w:rFonts w:ascii="Calibri"/>
                      <w:color w:val="000000"/>
                      <w:sz w:val="20"/>
                    </w:rPr>
                  </w:pPr>
                  <w:r>
                    <w:rPr>
                      <w:rFonts w:ascii="Calibri"/>
                      <w:color w:val="000000"/>
                      <w:sz w:val="20"/>
                    </w:rPr>
                    <w:t>Customer</w:t>
                  </w:r>
                  <w:r>
                    <w:rPr>
                      <w:rFonts w:ascii="Calibri"/>
                      <w:color w:val="000000"/>
                      <w:spacing w:val="-12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arranges</w:t>
                  </w:r>
                  <w:r>
                    <w:rPr>
                      <w:rFonts w:ascii="Calibri"/>
                      <w:color w:val="000000"/>
                      <w:spacing w:val="-11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applicable registry access for IQVIA</w:t>
                  </w:r>
                </w:p>
              </w:txbxContent>
            </v:textbox>
            <v:fill type="solid"/>
            <v:stroke dashstyle="solid"/>
            <w10:wrap type="none"/>
          </v:shape>
        </w:pict>
      </w:r>
      <w:r>
        <w:rPr/>
        <w:pict>
          <v:shape style="position:absolute;margin-left:460.079987pt;margin-top:53.897839pt;width:98.4pt;height:117.15pt;mso-position-horizontal-relative:page;mso-position-vertical-relative:paragraph;z-index:15735808" type="#_x0000_t202" id="docshape23" filled="true" fillcolor="#ebb9fd" stroked="true" strokeweight=".75pt" strokecolor="#41709c">
            <v:textbox inset="0,0,0,0">
              <w:txbxContent>
                <w:p>
                  <w:pPr>
                    <w:spacing w:before="75"/>
                    <w:ind w:left="149" w:right="0" w:firstLine="0"/>
                    <w:jc w:val="left"/>
                    <w:rPr>
                      <w:rFonts w:ascii="Calibri"/>
                      <w:color w:val="000000"/>
                      <w:sz w:val="18"/>
                    </w:rPr>
                  </w:pP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Confirm:</w:t>
                  </w:r>
                </w:p>
                <w:p>
                  <w:pPr>
                    <w:numPr>
                      <w:ilvl w:val="0"/>
                      <w:numId w:val="30"/>
                    </w:numPr>
                    <w:tabs>
                      <w:tab w:pos="290" w:val="left" w:leader="none"/>
                    </w:tabs>
                    <w:spacing w:before="16"/>
                    <w:ind w:left="289" w:right="0" w:hanging="141"/>
                    <w:jc w:val="left"/>
                    <w:rPr>
                      <w:rFonts w:ascii="Calibri"/>
                      <w:color w:val="000000"/>
                      <w:sz w:val="18"/>
                    </w:rPr>
                  </w:pPr>
                  <w:r>
                    <w:rPr>
                      <w:rFonts w:ascii="Calibri"/>
                      <w:color w:val="000000"/>
                      <w:sz w:val="18"/>
                    </w:rPr>
                    <w:t>Applicable </w:t>
                  </w: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registries</w:t>
                  </w:r>
                </w:p>
                <w:p>
                  <w:pPr>
                    <w:numPr>
                      <w:ilvl w:val="0"/>
                      <w:numId w:val="30"/>
                    </w:numPr>
                    <w:tabs>
                      <w:tab w:pos="290" w:val="left" w:leader="none"/>
                    </w:tabs>
                    <w:spacing w:before="20"/>
                    <w:ind w:left="289" w:right="0" w:hanging="141"/>
                    <w:jc w:val="left"/>
                    <w:rPr>
                      <w:rFonts w:ascii="Calibri"/>
                      <w:color w:val="000000"/>
                      <w:sz w:val="18"/>
                    </w:rPr>
                  </w:pP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Timelines</w:t>
                  </w:r>
                </w:p>
                <w:p>
                  <w:pPr>
                    <w:numPr>
                      <w:ilvl w:val="0"/>
                      <w:numId w:val="30"/>
                    </w:numPr>
                    <w:tabs>
                      <w:tab w:pos="290" w:val="left" w:leader="none"/>
                    </w:tabs>
                    <w:spacing w:line="259" w:lineRule="auto" w:before="15"/>
                    <w:ind w:left="289" w:right="692" w:hanging="140"/>
                    <w:jc w:val="left"/>
                    <w:rPr>
                      <w:rFonts w:ascii="Calibri"/>
                      <w:color w:val="000000"/>
                      <w:sz w:val="18"/>
                    </w:rPr>
                  </w:pP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Contributors,</w:t>
                  </w:r>
                  <w:r>
                    <w:rPr>
                      <w:rFonts w:ascii="Calibri"/>
                      <w:color w:val="000000"/>
                      <w:sz w:val="18"/>
                    </w:rPr>
                    <w:t> reviewers</w:t>
                  </w: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&amp; </w:t>
                  </w: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approvers</w:t>
                  </w:r>
                </w:p>
                <w:p>
                  <w:pPr>
                    <w:numPr>
                      <w:ilvl w:val="0"/>
                      <w:numId w:val="30"/>
                    </w:numPr>
                    <w:tabs>
                      <w:tab w:pos="290" w:val="left" w:leader="none"/>
                    </w:tabs>
                    <w:spacing w:line="256" w:lineRule="auto" w:before="0"/>
                    <w:ind w:left="289" w:right="493" w:hanging="140"/>
                    <w:jc w:val="left"/>
                    <w:rPr>
                      <w:rFonts w:ascii="Calibri"/>
                      <w:color w:val="000000"/>
                      <w:sz w:val="18"/>
                    </w:rPr>
                  </w:pPr>
                  <w:r>
                    <w:rPr>
                      <w:rFonts w:ascii="Calibri"/>
                      <w:color w:val="000000"/>
                      <w:sz w:val="18"/>
                    </w:rPr>
                    <w:t>Process,</w:t>
                  </w:r>
                  <w:r>
                    <w:rPr>
                      <w:rFonts w:ascii="Calibri"/>
                      <w:color w:val="000000"/>
                      <w:spacing w:val="-11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roles</w:t>
                  </w:r>
                  <w:r>
                    <w:rPr>
                      <w:rFonts w:ascii="Calibri"/>
                      <w:color w:val="000000"/>
                      <w:spacing w:val="-10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&amp; </w:t>
                  </w: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responsibilities</w:t>
                  </w:r>
                </w:p>
              </w:txbxContent>
            </v:textbox>
            <v:fill type="solid"/>
            <v:stroke dashstyle="solid"/>
            <w10:wrap type="none"/>
          </v:shape>
        </w:pict>
      </w:r>
      <w:r>
        <w:rPr/>
        <w:pict>
          <v:shape style="position:absolute;margin-left:277.440002pt;margin-top:54.617836pt;width:108pt;height:40.6pt;mso-position-horizontal-relative:page;mso-position-vertical-relative:paragraph;z-index:15736320" type="#_x0000_t202" id="docshape24" filled="true" fillcolor="#c4dfb4" stroked="true" strokeweight="1.000082pt" strokecolor="#41709c">
            <v:textbox inset="0,0,0,0">
              <w:txbxContent>
                <w:p>
                  <w:pPr>
                    <w:spacing w:before="92"/>
                    <w:ind w:left="614" w:right="37" w:hanging="442"/>
                    <w:jc w:val="left"/>
                    <w:rPr>
                      <w:rFonts w:ascii="Calibri"/>
                      <w:color w:val="000000"/>
                      <w:sz w:val="20"/>
                    </w:rPr>
                  </w:pPr>
                  <w:r>
                    <w:rPr>
                      <w:rFonts w:ascii="Calibri"/>
                      <w:color w:val="000000"/>
                      <w:sz w:val="20"/>
                    </w:rPr>
                    <w:t>Joint</w:t>
                  </w:r>
                  <w:r>
                    <w:rPr>
                      <w:rFonts w:ascii="Calibri"/>
                      <w:color w:val="000000"/>
                      <w:spacing w:val="-12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kick-off</w:t>
                  </w:r>
                  <w:r>
                    <w:rPr>
                      <w:rFonts w:ascii="Calibri"/>
                      <w:color w:val="000000"/>
                      <w:spacing w:val="-11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meeting, as required</w:t>
                  </w:r>
                </w:p>
              </w:txbxContent>
            </v:textbox>
            <v:fill type="solid"/>
            <v:stroke dashstyle="solid"/>
            <w10:wrap type="none"/>
          </v:shape>
        </w:pict>
      </w:r>
      <w:r>
        <w:rPr>
          <w:b/>
          <w:sz w:val="22"/>
        </w:rPr>
        <w:t>Appendix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Typical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Results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Posting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0"/>
        <w:rPr>
          <w:b/>
          <w:sz w:val="28"/>
        </w:rPr>
      </w:pPr>
      <w:r>
        <w:rPr/>
        <w:pict>
          <v:group style="position:absolute;margin-left:107.499954pt;margin-top:17.818260pt;width:292.150pt;height:88.15pt;mso-position-horizontal-relative:page;mso-position-vertical-relative:paragraph;z-index:-15727616;mso-wrap-distance-left:0;mso-wrap-distance-right:0" id="docshapegroup25" coordorigin="2150,356" coordsize="5843,1763">
            <v:rect style="position:absolute;left:2160;top:582;width:2232;height:1412" id="docshape26" filled="true" fillcolor="#ffd965" stroked="false">
              <v:fill type="solid"/>
            </v:rect>
            <v:rect style="position:absolute;left:2160;top:582;width:2232;height:1412" id="docshape27" filled="false" stroked="true" strokeweight="1.000082pt" strokecolor="#41709c">
              <v:stroke dashstyle="solid"/>
            </v:rect>
            <v:shape style="position:absolute;left:4401;top:1211;width:826;height:120" id="docshape28" coordorigin="4402,1211" coordsize="826,120" path="m5107,1331l5107,1211,5209,1264,5126,1264,5126,1283,5207,1283,5107,1331xm5107,1283l4402,1283,4402,1264,5107,1264,5107,1283xm5207,1283l5126,1283,5126,1264,5209,1264,5227,1274,5207,1283xe" filled="true" fillcolor="#5b9bd4" stroked="false">
              <v:path arrowok="t"/>
              <v:fill type="solid"/>
            </v:shape>
            <v:shape style="position:absolute;left:5236;top:687;width:2746;height:1095" type="#_x0000_t202" id="docshape29" filled="true" fillcolor="#5b9bd4" stroked="true" strokeweight="1.000082pt" strokecolor="#41709c">
              <v:textbox inset="0,0,0,0">
                <w:txbxContent>
                  <w:p>
                    <w:pPr>
                      <w:spacing w:line="237" w:lineRule="auto" w:before="176"/>
                      <w:ind w:left="203" w:right="208" w:firstLine="0"/>
                      <w:jc w:val="center"/>
                      <w:rPr>
                        <w:rFonts w:ascii="Calibri"/>
                        <w:color w:val="000000"/>
                        <w:sz w:val="20"/>
                      </w:rPr>
                    </w:pPr>
                    <w:r>
                      <w:rPr>
                        <w:rFonts w:ascii="Calibri"/>
                        <w:color w:val="000000"/>
                        <w:sz w:val="20"/>
                      </w:rPr>
                      <w:t>IQVIA</w:t>
                    </w:r>
                    <w:r>
                      <w:rPr>
                        <w:rFonts w:ascii="Calibri"/>
                        <w:color w:val="000000"/>
                        <w:spacing w:val="-12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drafts</w:t>
                    </w:r>
                    <w:r>
                      <w:rPr>
                        <w:rFonts w:ascii="Calibri"/>
                        <w:color w:val="000000"/>
                        <w:spacing w:val="-11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posting</w:t>
                    </w:r>
                    <w:r>
                      <w:rPr>
                        <w:rFonts w:ascii="Calibri"/>
                        <w:color w:val="000000"/>
                        <w:spacing w:val="-11"/>
                        <w:sz w:val="20"/>
                      </w:rPr>
                      <w:t> </w:t>
                    </w:r>
                    <w:r>
                      <w:rPr>
                        <w:rFonts w:ascii="Calibri"/>
                        <w:color w:val="000000"/>
                        <w:sz w:val="20"/>
                      </w:rPr>
                      <w:t>content &amp; performs QC &amp; validation </w:t>
                    </w:r>
                    <w:r>
                      <w:rPr>
                        <w:rFonts w:ascii="Calibri"/>
                        <w:color w:val="000000"/>
                        <w:spacing w:val="-2"/>
                        <w:sz w:val="20"/>
                      </w:rPr>
                      <w:t>checks</w:t>
                    </w:r>
                  </w:p>
                </w:txbxContent>
              </v:textbox>
              <v:fill type="solid"/>
              <v:stroke dashstyle="solid"/>
              <w10:wrap type="none"/>
            </v:shape>
            <v:shape style="position:absolute;left:2160;top:592;width:2222;height:1392" type="#_x0000_t202" id="docshape30" filled="false" stroked="false">
              <v:textbox inset="0,0,0,0">
                <w:txbxContent>
                  <w:p>
                    <w:pPr>
                      <w:spacing w:before="73"/>
                      <w:ind w:left="168" w:right="157" w:firstLine="2"/>
                      <w:jc w:val="center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z w:val="20"/>
                      </w:rPr>
                      <w:t>Customer or IQVIA provides</w:t>
                    </w:r>
                    <w:r>
                      <w:rPr>
                        <w:rFonts w:ascii="Calibri"/>
                        <w:spacing w:val="-12"/>
                        <w:sz w:val="20"/>
                      </w:rPr>
                      <w:t> </w:t>
                    </w:r>
                    <w:r>
                      <w:rPr>
                        <w:rFonts w:ascii="Calibri"/>
                        <w:sz w:val="20"/>
                      </w:rPr>
                      <w:t>final</w:t>
                    </w:r>
                    <w:r>
                      <w:rPr>
                        <w:rFonts w:ascii="Calibri"/>
                        <w:spacing w:val="-11"/>
                        <w:sz w:val="20"/>
                      </w:rPr>
                      <w:t> </w:t>
                    </w:r>
                    <w:r>
                      <w:rPr>
                        <w:rFonts w:ascii="Calibri"/>
                        <w:sz w:val="20"/>
                      </w:rPr>
                      <w:t>CSR,</w:t>
                    </w:r>
                    <w:r>
                      <w:rPr>
                        <w:rFonts w:ascii="Calibri"/>
                        <w:spacing w:val="-11"/>
                        <w:sz w:val="20"/>
                      </w:rPr>
                      <w:t> </w:t>
                    </w:r>
                    <w:r>
                      <w:rPr>
                        <w:rFonts w:ascii="Calibri"/>
                        <w:sz w:val="20"/>
                      </w:rPr>
                      <w:t>TLFs &amp; other study documents / data as </w:t>
                    </w:r>
                    <w:r>
                      <w:rPr>
                        <w:rFonts w:ascii="Calibri"/>
                        <w:spacing w:val="-2"/>
                        <w:sz w:val="20"/>
                      </w:rPr>
                      <w:t>required</w:t>
                    </w:r>
                  </w:p>
                </w:txbxContent>
              </v:textbox>
              <w10:wrap type="none"/>
            </v:shape>
            <v:shape style="position:absolute;left:6374;top:366;width:452;height:284" id="docshape31" coordorigin="6374,366" coordsize="452,284" path="m6600,650l6374,506,6490,506,6490,366,6715,366,6715,506,6826,506,6600,650xe" filled="true" fillcolor="#e7e6e6" stroked="false">
              <v:path arrowok="t"/>
              <v:fill type="solid"/>
            </v:shape>
            <v:shape style="position:absolute;left:6374;top:366;width:452;height:284" id="docshape32" coordorigin="6374,366" coordsize="452,284" path="m6715,366l6715,506,6826,506,6600,650,6374,506,6490,506,6490,366,6715,366xe" filled="false" stroked="true" strokeweight="1.000320pt" strokecolor="#41709c">
              <v:path arrowok="t"/>
              <v:stroke dashstyle="solid"/>
            </v:shape>
            <v:shape style="position:absolute;left:6436;top:1820;width:452;height:288" id="docshape33" coordorigin="6437,1821" coordsize="452,288" path="m6662,2109l6437,1965,6547,1965,6547,1821,6773,1821,6773,1965,6888,1965,6662,2109xe" filled="true" fillcolor="#e7e6e6" stroked="false">
              <v:path arrowok="t"/>
              <v:fill type="solid"/>
            </v:shape>
            <v:shape style="position:absolute;left:6436;top:1820;width:452;height:288" id="docshape34" coordorigin="6437,1821" coordsize="452,288" path="m6773,1821l6773,1965,6888,1965,6662,2109,6437,1965,6547,1965,6547,1821,6773,1821xe" filled="false" stroked="true" strokeweight="1.000320pt" strokecolor="#41709c">
              <v:path arrowok="t"/>
              <v:stroke dashstyle="solid"/>
            </v:shape>
            <w10:wrap type="topAndBottom"/>
          </v:group>
        </w:pict>
      </w:r>
    </w:p>
    <w:p>
      <w:pPr>
        <w:pStyle w:val="BodyText"/>
        <w:ind w:left="4394"/>
        <w:rPr>
          <w:sz w:val="20"/>
        </w:rPr>
      </w:pPr>
      <w:r>
        <w:rPr>
          <w:sz w:val="20"/>
        </w:rPr>
        <w:pict>
          <v:shape style="width:133.450pt;height:32.2pt;mso-position-horizontal-relative:char;mso-position-vertical-relative:line" type="#_x0000_t202" id="docshape35" filled="true" fillcolor="#ffd965" stroked="true" strokeweight="1.000082pt" strokecolor="#41709c">
            <w10:anchorlock/>
            <v:textbox inset="0,0,0,0">
              <w:txbxContent>
                <w:p>
                  <w:pPr>
                    <w:pStyle w:val="BodyText"/>
                    <w:spacing w:before="11"/>
                    <w:rPr>
                      <w:b/>
                      <w:color w:val="000000"/>
                      <w:sz w:val="15"/>
                    </w:rPr>
                  </w:pPr>
                </w:p>
                <w:p>
                  <w:pPr>
                    <w:spacing w:before="0"/>
                    <w:ind w:left="150" w:right="0" w:firstLine="0"/>
                    <w:jc w:val="left"/>
                    <w:rPr>
                      <w:rFonts w:ascii="Calibri"/>
                      <w:color w:val="000000"/>
                      <w:sz w:val="20"/>
                    </w:rPr>
                  </w:pPr>
                  <w:r>
                    <w:rPr>
                      <w:rFonts w:ascii="Calibri"/>
                      <w:color w:val="000000"/>
                      <w:sz w:val="20"/>
                    </w:rPr>
                    <w:t>Customer</w:t>
                  </w:r>
                  <w:r>
                    <w:rPr>
                      <w:rFonts w:ascii="Calibri"/>
                      <w:color w:val="000000"/>
                      <w:spacing w:val="-6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review</w:t>
                  </w:r>
                  <w:r>
                    <w:rPr>
                      <w:rFonts w:ascii="Calibri"/>
                      <w:color w:val="000000"/>
                      <w:spacing w:val="-5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(1-2</w:t>
                  </w:r>
                  <w:r>
                    <w:rPr>
                      <w:rFonts w:ascii="Calibri"/>
                      <w:color w:val="000000"/>
                      <w:spacing w:val="-4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pacing w:val="-2"/>
                      <w:sz w:val="20"/>
                    </w:rPr>
                    <w:t>cycles)</w:t>
                  </w:r>
                </w:p>
              </w:txbxContent>
            </v:textbox>
            <v:fill type="solid"/>
            <v:stroke dashstyle="solid"/>
          </v:shape>
        </w:pict>
      </w:r>
      <w:r>
        <w:rPr>
          <w:sz w:val="20"/>
        </w:rPr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0"/>
        <w:rPr>
          <w:b/>
          <w:sz w:val="18"/>
        </w:rPr>
      </w:pPr>
      <w:r>
        <w:rPr/>
        <w:pict>
          <v:group style="position:absolute;margin-left:323.499847pt;margin-top:72.322609pt;width:23.6pt;height:15.4pt;mso-position-horizontal-relative:page;mso-position-vertical-relative:paragraph;z-index:-15726592;mso-wrap-distance-left:0;mso-wrap-distance-right:0" id="docshapegroup36" coordorigin="6470,1446" coordsize="472,308">
            <v:shape style="position:absolute;left:6480;top:1456;width:452;height:288" id="docshape37" coordorigin="6480,1456" coordsize="452,288" path="m6706,1744l6480,1600,6595,1600,6595,1456,6816,1456,6816,1600,6931,1600,6706,1744xe" filled="true" fillcolor="#e7e6e6" stroked="false">
              <v:path arrowok="t"/>
              <v:fill type="solid"/>
            </v:shape>
            <v:shape style="position:absolute;left:6480;top:1456;width:452;height:288" id="docshape38" coordorigin="6480,1456" coordsize="452,288" path="m6816,1456l6816,1600,6931,1600,6706,1744,6480,1600,6595,1600,6595,1456,6816,1456xe" filled="false" stroked="true" strokeweight="1.000320pt" strokecolor="#41709c">
              <v:path arrowok="t"/>
              <v:stroke dashstyle="solid"/>
            </v:shape>
            <w10:wrap type="topAndBottom"/>
          </v:group>
        </w:pict>
      </w:r>
      <w:r>
        <w:rPr/>
        <w:pict>
          <v:shape style="position:absolute;margin-left:463.919983pt;margin-top:12.582767pt;width:121.7pt;height:74.2pt;mso-position-horizontal-relative:page;mso-position-vertical-relative:paragraph;z-index:-15726080;mso-wrap-distance-left:0;mso-wrap-distance-right:0" type="#_x0000_t202" id="docshape39" filled="true" fillcolor="#ebb9fd" stroked="true" strokeweight="1.000082pt" strokecolor="#41709c">
            <v:textbox inset="0,0,0,0">
              <w:txbxContent>
                <w:p>
                  <w:pPr>
                    <w:pStyle w:val="BodyText"/>
                    <w:spacing w:before="8"/>
                    <w:rPr>
                      <w:b/>
                      <w:color w:val="000000"/>
                      <w:sz w:val="14"/>
                    </w:rPr>
                  </w:pPr>
                </w:p>
                <w:p>
                  <w:pPr>
                    <w:spacing w:line="240" w:lineRule="auto" w:before="0"/>
                    <w:ind w:left="219" w:right="218" w:hanging="1"/>
                    <w:jc w:val="center"/>
                    <w:rPr>
                      <w:rFonts w:ascii="Calibri"/>
                      <w:color w:val="000000"/>
                      <w:sz w:val="18"/>
                    </w:rPr>
                  </w:pPr>
                  <w:r>
                    <w:rPr>
                      <w:rFonts w:ascii="Calibri"/>
                      <w:color w:val="000000"/>
                      <w:sz w:val="18"/>
                    </w:rPr>
                    <w:t>If any comments from registry. If no comments, posting</w:t>
                  </w:r>
                  <w:r>
                    <w:rPr>
                      <w:rFonts w:ascii="Calibri"/>
                      <w:color w:val="000000"/>
                      <w:spacing w:val="-11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is</w:t>
                  </w:r>
                  <w:r>
                    <w:rPr>
                      <w:rFonts w:ascii="Calibri"/>
                      <w:color w:val="000000"/>
                      <w:spacing w:val="-10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released</w:t>
                  </w:r>
                  <w:r>
                    <w:rPr>
                      <w:rFonts w:ascii="Calibri"/>
                      <w:color w:val="000000"/>
                      <w:spacing w:val="-10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without further</w:t>
                  </w: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action</w:t>
                  </w: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by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IQVIA</w:t>
                  </w:r>
                  <w:r>
                    <w:rPr>
                      <w:rFonts w:ascii="Calibri"/>
                      <w:color w:val="000000"/>
                      <w:spacing w:val="-3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18"/>
                    </w:rPr>
                    <w:t>or </w:t>
                  </w:r>
                  <w:r>
                    <w:rPr>
                      <w:rFonts w:ascii="Calibri"/>
                      <w:color w:val="000000"/>
                      <w:spacing w:val="-2"/>
                      <w:sz w:val="18"/>
                    </w:rPr>
                    <w:t>Customer.</w:t>
                  </w:r>
                </w:p>
              </w:txbxContent>
            </v:textbox>
            <v:fill type="solid"/>
            <v:stroke dashstyle="solid"/>
            <w10:wrap type="topAndBottom"/>
          </v:shape>
        </w:pict>
      </w:r>
    </w:p>
    <w:p>
      <w:pPr>
        <w:pStyle w:val="BodyText"/>
        <w:ind w:left="4130"/>
        <w:rPr>
          <w:sz w:val="20"/>
        </w:rPr>
      </w:pPr>
      <w:r>
        <w:rPr>
          <w:sz w:val="20"/>
        </w:rPr>
        <w:pict>
          <v:shape style="width:170.2pt;height:58.35pt;mso-position-horizontal-relative:char;mso-position-vertical-relative:line" type="#_x0000_t202" id="docshape40" filled="true" fillcolor="#c4dfb4" stroked="true" strokeweight="1.000082pt" strokecolor="#41709c">
            <w10:anchorlock/>
            <v:textbox inset="0,0,0,0">
              <w:txbxContent>
                <w:p>
                  <w:pPr>
                    <w:pStyle w:val="BodyText"/>
                    <w:spacing w:before="5"/>
                    <w:rPr>
                      <w:b/>
                      <w:color w:val="000000"/>
                      <w:sz w:val="28"/>
                    </w:rPr>
                  </w:pPr>
                </w:p>
                <w:p>
                  <w:pPr>
                    <w:spacing w:before="0"/>
                    <w:ind w:left="457" w:right="0" w:hanging="63"/>
                    <w:jc w:val="left"/>
                    <w:rPr>
                      <w:rFonts w:ascii="Calibri"/>
                      <w:color w:val="000000"/>
                      <w:sz w:val="20"/>
                    </w:rPr>
                  </w:pPr>
                  <w:r>
                    <w:rPr>
                      <w:rFonts w:ascii="Calibri"/>
                      <w:color w:val="000000"/>
                      <w:sz w:val="20"/>
                    </w:rPr>
                    <w:t>Posting</w:t>
                  </w:r>
                  <w:r>
                    <w:rPr>
                      <w:rFonts w:ascii="Calibri"/>
                      <w:color w:val="000000"/>
                      <w:spacing w:val="-9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submitted</w:t>
                  </w:r>
                  <w:r>
                    <w:rPr>
                      <w:rFonts w:ascii="Calibri"/>
                      <w:color w:val="000000"/>
                      <w:spacing w:val="-9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to</w:t>
                  </w:r>
                  <w:r>
                    <w:rPr>
                      <w:rFonts w:ascii="Calibri"/>
                      <w:color w:val="000000"/>
                      <w:spacing w:val="-9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registry</w:t>
                  </w:r>
                  <w:r>
                    <w:rPr>
                      <w:rFonts w:ascii="Calibri"/>
                      <w:color w:val="000000"/>
                      <w:spacing w:val="-9"/>
                      <w:sz w:val="20"/>
                    </w:rPr>
                    <w:t> </w:t>
                  </w:r>
                  <w:r>
                    <w:rPr>
                      <w:rFonts w:ascii="Calibri"/>
                      <w:color w:val="000000"/>
                      <w:sz w:val="20"/>
                    </w:rPr>
                    <w:t>by IQVIA or Customer (as </w:t>
                  </w:r>
                  <w:r>
                    <w:rPr>
                      <w:rFonts w:ascii="Calibri"/>
                      <w:color w:val="000000"/>
                      <w:spacing w:val="-2"/>
                      <w:sz w:val="20"/>
                    </w:rPr>
                    <w:t>agreed)</w:t>
                  </w:r>
                </w:p>
              </w:txbxContent>
            </v:textbox>
            <v:fill type="solid"/>
            <v:stroke dashstyle="solid"/>
          </v:shape>
        </w:pict>
      </w:r>
      <w:r>
        <w:rPr>
          <w:sz w:val="20"/>
        </w:rPr>
      </w:r>
    </w:p>
    <w:p>
      <w:pPr>
        <w:pStyle w:val="BodyText"/>
        <w:spacing w:before="5"/>
        <w:rPr>
          <w:b/>
          <w:sz w:val="4"/>
        </w:rPr>
      </w:pPr>
    </w:p>
    <w:p>
      <w:pPr>
        <w:pStyle w:val="BodyText"/>
        <w:ind w:left="5570"/>
        <w:rPr>
          <w:sz w:val="20"/>
        </w:rPr>
      </w:pPr>
      <w:r>
        <w:rPr>
          <w:sz w:val="20"/>
        </w:rPr>
        <w:pict>
          <v:group style="width:23.6pt;height:15.2pt;mso-position-horizontal-relative:char;mso-position-vertical-relative:line" id="docshapegroup41" coordorigin="0,0" coordsize="472,304">
            <v:shape style="position:absolute;left:10;top:10;width:452;height:284" id="docshape42" coordorigin="10,10" coordsize="452,284" path="m236,293l10,154,125,154,125,10,346,10,346,154,461,154,236,293xe" filled="true" fillcolor="#e7e6e6" stroked="false">
              <v:path arrowok="t"/>
              <v:fill type="solid"/>
            </v:shape>
            <v:shape style="position:absolute;left:10;top:10;width:452;height:284" id="docshape43" coordorigin="10,10" coordsize="452,284" path="m346,10l346,154,461,154,236,293,10,154,125,154,125,10,346,10xe" filled="false" stroked="true" strokeweight="1.000320pt" strokecolor="#41709c">
              <v:path arrowok="t"/>
              <v:stroke dashstyle="solid"/>
            </v:shape>
          </v:group>
        </w:pict>
      </w:r>
      <w:r>
        <w:rPr>
          <w:sz w:val="20"/>
        </w:rPr>
      </w:r>
    </w:p>
    <w:p>
      <w:pPr>
        <w:pStyle w:val="BodyText"/>
        <w:spacing w:before="3"/>
        <w:rPr>
          <w:b/>
          <w:sz w:val="4"/>
        </w:rPr>
      </w:pPr>
    </w:p>
    <w:p>
      <w:pPr>
        <w:pStyle w:val="BodyText"/>
        <w:ind w:left="4528"/>
        <w:rPr>
          <w:sz w:val="20"/>
        </w:rPr>
      </w:pPr>
      <w:r>
        <w:rPr>
          <w:sz w:val="20"/>
        </w:rPr>
        <w:pict>
          <v:shape style="width:121.45pt;height:35.3pt;mso-position-horizontal-relative:char;mso-position-vertical-relative:line" type="#_x0000_t202" id="docshape44" filled="true" fillcolor="#1f3863" stroked="true" strokeweight="1.000082pt" strokecolor="#41709c">
            <w10:anchorlock/>
            <v:textbox inset="0,0,0,0">
              <w:txbxContent>
                <w:p>
                  <w:pPr>
                    <w:spacing w:before="97"/>
                    <w:ind w:left="169" w:right="17" w:hanging="10"/>
                    <w:jc w:val="left"/>
                    <w:rPr>
                      <w:rFonts w:ascii="Calibri"/>
                      <w:color w:val="000000"/>
                      <w:sz w:val="20"/>
                    </w:rPr>
                  </w:pPr>
                  <w:r>
                    <w:rPr>
                      <w:rFonts w:ascii="Calibri"/>
                      <w:color w:val="FFFFFF"/>
                      <w:sz w:val="20"/>
                    </w:rPr>
                    <w:t>Posting</w:t>
                  </w:r>
                  <w:r>
                    <w:rPr>
                      <w:rFonts w:ascii="Calibri"/>
                      <w:color w:val="FFFFFF"/>
                      <w:spacing w:val="-12"/>
                      <w:sz w:val="20"/>
                    </w:rPr>
                    <w:t> </w:t>
                  </w:r>
                  <w:r>
                    <w:rPr>
                      <w:rFonts w:ascii="Calibri"/>
                      <w:color w:val="FFFFFF"/>
                      <w:sz w:val="20"/>
                    </w:rPr>
                    <w:t>released</w:t>
                  </w:r>
                  <w:r>
                    <w:rPr>
                      <w:rFonts w:ascii="Calibri"/>
                      <w:color w:val="FFFFFF"/>
                      <w:spacing w:val="-12"/>
                      <w:sz w:val="20"/>
                    </w:rPr>
                    <w:t> </w:t>
                  </w:r>
                  <w:r>
                    <w:rPr>
                      <w:rFonts w:ascii="Calibri"/>
                      <w:color w:val="FFFFFF"/>
                      <w:sz w:val="20"/>
                    </w:rPr>
                    <w:t>to</w:t>
                  </w:r>
                  <w:r>
                    <w:rPr>
                      <w:rFonts w:ascii="Calibri"/>
                      <w:color w:val="FFFFFF"/>
                      <w:spacing w:val="-11"/>
                      <w:sz w:val="20"/>
                    </w:rPr>
                    <w:t> </w:t>
                  </w:r>
                  <w:r>
                    <w:rPr>
                      <w:rFonts w:ascii="Calibri"/>
                      <w:color w:val="FFFFFF"/>
                      <w:sz w:val="20"/>
                    </w:rPr>
                    <w:t>public by</w:t>
                  </w:r>
                  <w:r>
                    <w:rPr>
                      <w:rFonts w:ascii="Calibri"/>
                      <w:color w:val="FFFFFF"/>
                      <w:spacing w:val="-4"/>
                      <w:sz w:val="20"/>
                    </w:rPr>
                    <w:t> </w:t>
                  </w:r>
                  <w:r>
                    <w:rPr>
                      <w:rFonts w:ascii="Calibri"/>
                      <w:color w:val="FFFFFF"/>
                      <w:sz w:val="20"/>
                    </w:rPr>
                    <w:t>registry</w:t>
                  </w:r>
                  <w:r>
                    <w:rPr>
                      <w:rFonts w:ascii="Calibri"/>
                      <w:color w:val="FFFFFF"/>
                      <w:spacing w:val="-3"/>
                      <w:sz w:val="20"/>
                    </w:rPr>
                    <w:t> </w:t>
                  </w:r>
                  <w:r>
                    <w:rPr>
                      <w:rFonts w:ascii="Calibri"/>
                      <w:color w:val="FFFFFF"/>
                      <w:sz w:val="20"/>
                    </w:rPr>
                    <w:t>(as</w:t>
                  </w:r>
                  <w:r>
                    <w:rPr>
                      <w:rFonts w:ascii="Calibri"/>
                      <w:color w:val="FFFFFF"/>
                      <w:spacing w:val="-4"/>
                      <w:sz w:val="20"/>
                    </w:rPr>
                    <w:t> </w:t>
                  </w:r>
                  <w:r>
                    <w:rPr>
                      <w:rFonts w:ascii="Calibri"/>
                      <w:color w:val="FFFFFF"/>
                      <w:spacing w:val="-2"/>
                      <w:sz w:val="20"/>
                    </w:rPr>
                    <w:t>applicable)</w:t>
                  </w:r>
                </w:p>
              </w:txbxContent>
            </v:textbox>
            <v:fill type="solid"/>
            <v:stroke dashstyle="solid"/>
          </v:shape>
        </w:pict>
      </w:r>
      <w:r>
        <w:rPr>
          <w:sz w:val="20"/>
        </w:rPr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6"/>
        </w:rPr>
      </w:pPr>
      <w:r>
        <w:rPr/>
        <w:pict>
          <v:rect style="position:absolute;margin-left:70.559998pt;margin-top:16.154150pt;width:470.88pt;height:.48pt;mso-position-horizontal-relative:page;mso-position-vertical-relative:paragraph;z-index:-15724032;mso-wrap-distance-left:0;mso-wrap-distance-right:0" id="docshape45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81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9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9</w:t>
      </w:r>
    </w:p>
    <w:p>
      <w:pPr>
        <w:spacing w:line="244" w:lineRule="auto" w:before="0"/>
        <w:ind w:left="539" w:right="986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2015,</w:t>
      </w:r>
      <w:r>
        <w:rPr>
          <w:spacing w:val="-3"/>
          <w:sz w:val="16"/>
        </w:rPr>
        <w:t> </w:t>
      </w:r>
      <w:r>
        <w:rPr>
          <w:sz w:val="16"/>
        </w:rPr>
        <w:t>2017,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1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2021,</w:t>
      </w:r>
      <w:r>
        <w:rPr>
          <w:spacing w:val="-2"/>
          <w:sz w:val="16"/>
        </w:rPr>
        <w:t> </w:t>
      </w:r>
      <w:r>
        <w:rPr>
          <w:sz w:val="16"/>
        </w:rPr>
        <w:t>2023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4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9"/>
          <w:footerReference w:type="default" r:id="rId10"/>
          <w:pgSz w:w="12240" w:h="15840"/>
          <w:pgMar w:header="725" w:footer="268" w:top="2520" w:bottom="460" w:left="900" w:right="420"/>
        </w:sectPr>
      </w:pPr>
    </w:p>
    <w:p>
      <w:pPr>
        <w:spacing w:line="321" w:lineRule="exact" w:before="79"/>
        <w:ind w:left="608" w:right="1055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6832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108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108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108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62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Ginzler,</w:t>
      </w:r>
      <w:r>
        <w:rPr>
          <w:spacing w:val="-10"/>
          <w:sz w:val="20"/>
        </w:rPr>
        <w:t> </w:t>
      </w:r>
      <w:r>
        <w:rPr>
          <w:sz w:val="20"/>
        </w:rPr>
        <w:t>Maria</w:t>
      </w:r>
      <w:r>
        <w:rPr>
          <w:spacing w:val="37"/>
          <w:sz w:val="20"/>
        </w:rPr>
        <w:t> </w:t>
      </w:r>
      <w:r>
        <w:rPr>
          <w:sz w:val="20"/>
        </w:rPr>
        <w:t>(q602835)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3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12:18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62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Nufer,</w:t>
      </w:r>
      <w:r>
        <w:rPr>
          <w:spacing w:val="-11"/>
          <w:sz w:val="20"/>
        </w:rPr>
        <w:t> </w:t>
      </w:r>
      <w:r>
        <w:rPr>
          <w:sz w:val="20"/>
        </w:rPr>
        <w:t>Letha</w:t>
      </w:r>
      <w:r>
        <w:rPr>
          <w:spacing w:val="37"/>
          <w:sz w:val="20"/>
        </w:rPr>
        <w:t> </w:t>
      </w:r>
      <w:r>
        <w:rPr>
          <w:sz w:val="20"/>
        </w:rPr>
        <w:t>(q012496)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3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04:23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40" w:right="662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Eason,</w:t>
      </w:r>
      <w:r>
        <w:rPr>
          <w:spacing w:val="-10"/>
          <w:sz w:val="20"/>
        </w:rPr>
        <w:t> </w:t>
      </w:r>
      <w:r>
        <w:rPr>
          <w:sz w:val="20"/>
        </w:rPr>
        <w:t>Carrie</w:t>
      </w:r>
      <w:r>
        <w:rPr>
          <w:spacing w:val="36"/>
          <w:sz w:val="20"/>
        </w:rPr>
        <w:t> </w:t>
      </w:r>
      <w:r>
        <w:rPr>
          <w:sz w:val="20"/>
        </w:rPr>
        <w:t>(q605126)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3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13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05:22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0"/>
        <w:ind w:left="740" w:right="6206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Willmott,</w:t>
      </w:r>
      <w:r>
        <w:rPr>
          <w:spacing w:val="-10"/>
          <w:sz w:val="20"/>
        </w:rPr>
        <w:t> </w:t>
      </w:r>
      <w:r>
        <w:rPr>
          <w:sz w:val="20"/>
        </w:rPr>
        <w:t>Corinne</w:t>
      </w:r>
      <w:r>
        <w:rPr>
          <w:spacing w:val="36"/>
          <w:sz w:val="20"/>
        </w:rPr>
        <w:t> </w:t>
      </w:r>
      <w:r>
        <w:rPr>
          <w:sz w:val="20"/>
        </w:rPr>
        <w:t>(q778849)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43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14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05:05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0"/>
        <w:ind w:left="740" w:right="662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Elliott,</w:t>
      </w:r>
      <w:r>
        <w:rPr>
          <w:spacing w:val="-10"/>
          <w:sz w:val="20"/>
        </w:rPr>
        <w:t> </w:t>
      </w:r>
      <w:r>
        <w:rPr>
          <w:sz w:val="20"/>
        </w:rPr>
        <w:t>Craig</w:t>
      </w:r>
      <w:r>
        <w:rPr>
          <w:spacing w:val="36"/>
          <w:sz w:val="20"/>
        </w:rPr>
        <w:t> </w:t>
      </w:r>
      <w:r>
        <w:rPr>
          <w:sz w:val="20"/>
        </w:rPr>
        <w:t>(q1024780)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43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17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06:15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1"/>
      <w:footerReference w:type="default" r:id="rId12"/>
      <w:pgSz w:w="12240" w:h="15840"/>
      <w:pgMar w:header="0" w:footer="268" w:top="1360" w:bottom="460" w:left="900" w:right="4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Calibri">
    <w:altName w:val="Calibri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34.159973pt;width:470.88pt;height:.48pt;mso-position-horizontal-relative:page;mso-position-vertical-relative:page;z-index:-16365056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34.870239pt;width:451.05pt;height:49.15pt;mso-position-horizontal-relative:page;mso-position-vertical-relative:page;z-index:-16364544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9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2015,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2017,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2021,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 proprietary to 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74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15-Mar-2023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34.159973pt;width:470.88pt;height:.48pt;mso-position-horizontal-relative:page;mso-position-vertical-relative:page;z-index:-16363520" id="docshape4" filled="true" fillcolor="#000000" stroked="false">
          <v:fill type="solid"/>
          <w10:wrap type="none"/>
        </v:rect>
      </w:pict>
    </w:r>
    <w:r>
      <w:rPr/>
      <w:pict>
        <v:shape style="position:absolute;margin-left:71pt;margin-top:734.870239pt;width:451.05pt;height:49.15pt;mso-position-horizontal-relative:page;mso-position-vertical-relative:page;z-index:-16363008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9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2015,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2017,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2021,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 proprietary to 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74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15-Mar-2023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7.01799pt;margin-top:767.575989pt;width:398pt;height:16.45pt;mso-position-horizontal-relative:page;mso-position-vertical-relative:page;z-index:-16361984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15-Mar-2023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7.01799pt;margin-top:767.575989pt;width:398pt;height:16.45pt;mso-position-horizontal-relative:page;mso-position-vertical-relative:page;z-index:-16361472" type="#_x0000_t202" id="docshape46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CS_WI_MW0222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15-Mar-2023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9.639999pt;margin-top:36pt;width:479.05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48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48" w:type="dxa"/>
                    </w:tcPr>
                    <w:p>
                      <w:pPr>
                        <w:pStyle w:val="TableParagraph"/>
                        <w:spacing w:before="124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5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Producing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Clinical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Trial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Results</w:t>
                      </w:r>
                      <w:r>
                        <w:rPr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Posting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for Submission to Public Registries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48" w:type="dxa"/>
                    </w:tcPr>
                    <w:p>
                      <w:pPr>
                        <w:pStyle w:val="TableParagraph"/>
                        <w:spacing w:before="182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CS_WI_MW0222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6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52448">
          <wp:simplePos x="0" y="0"/>
          <wp:positionH relativeFrom="page">
            <wp:posOffset>1213103</wp:posOffset>
          </wp:positionH>
          <wp:positionV relativeFrom="page">
            <wp:posOffset>874775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9.639999pt;margin-top:36pt;width:479.05pt;height:90.45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48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48" w:type="dxa"/>
                    </w:tcPr>
                    <w:p>
                      <w:pPr>
                        <w:pStyle w:val="TableParagraph"/>
                        <w:spacing w:before="124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5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Producing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Clinical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Trial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Results</w:t>
                      </w:r>
                      <w:r>
                        <w:rPr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Posting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for Submission to Public Registries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48" w:type="dxa"/>
                    </w:tcPr>
                    <w:p>
                      <w:pPr>
                        <w:pStyle w:val="TableParagraph"/>
                        <w:spacing w:before="182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CS_WI_MW0222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6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53984">
          <wp:simplePos x="0" y="0"/>
          <wp:positionH relativeFrom="page">
            <wp:posOffset>1213103</wp:posOffset>
          </wp:positionH>
          <wp:positionV relativeFrom="page">
            <wp:posOffset>874775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9">
    <w:multiLevelType w:val="hybridMultilevel"/>
    <w:lvl w:ilvl="0">
      <w:start w:val="0"/>
      <w:numFmt w:val="bullet"/>
      <w:lvlText w:val=""/>
      <w:lvlJc w:val="left"/>
      <w:pPr>
        <w:ind w:left="289" w:hanging="14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447" w:hanging="1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614" w:hanging="1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781" w:hanging="1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949" w:hanging="1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116" w:hanging="1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283" w:hanging="1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451" w:hanging="1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618" w:hanging="140"/>
      </w:pPr>
      <w:rPr>
        <w:rFonts w:hint="default"/>
        <w:lang w:val="en-US" w:eastAsia="en-US" w:bidi="ar-SA"/>
      </w:rPr>
    </w:lvl>
  </w:abstractNum>
  <w:abstractNum w:abstractNumId="28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7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5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4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3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2">
    <w:multiLevelType w:val="hybridMultilevel"/>
    <w:lvl w:ilvl="0">
      <w:start w:val="0"/>
      <w:numFmt w:val="bullet"/>
      <w:lvlText w:val="o"/>
      <w:lvlJc w:val="left"/>
      <w:pPr>
        <w:ind w:left="1146" w:hanging="423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1" w:hanging="4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2" w:hanging="4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74" w:hanging="4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85" w:hanging="4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7" w:hanging="4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08" w:hanging="4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19" w:hanging="4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31" w:hanging="423"/>
      </w:pPr>
      <w:rPr>
        <w:rFonts w:hint="default"/>
        <w:lang w:val="en-US" w:eastAsia="en-US" w:bidi="ar-SA"/>
      </w:rPr>
    </w:lvl>
  </w:abstractNum>
  <w:abstractNum w:abstractNumId="21">
    <w:multiLevelType w:val="hybridMultilevel"/>
    <w:lvl w:ilvl="0">
      <w:start w:val="0"/>
      <w:numFmt w:val="bullet"/>
      <w:lvlText w:val="o"/>
      <w:lvlJc w:val="left"/>
      <w:pPr>
        <w:ind w:left="1146" w:hanging="423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1" w:hanging="4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2" w:hanging="4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74" w:hanging="4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85" w:hanging="4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7" w:hanging="4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08" w:hanging="4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19" w:hanging="4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31" w:hanging="423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146" w:hanging="423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08" w:hanging="4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76" w:hanging="4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44" w:hanging="4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12" w:hanging="4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81" w:hanging="4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49" w:hanging="4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17" w:hanging="423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"/>
      <w:lvlJc w:val="left"/>
      <w:pPr>
        <w:ind w:left="469" w:hanging="365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5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6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4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2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6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4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2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146" w:hanging="423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05" w:hanging="4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71" w:hanging="4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36" w:hanging="4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02" w:hanging="4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67" w:hanging="4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33" w:hanging="4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8" w:hanging="423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6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4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2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6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4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2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62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5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34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7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3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0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162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5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34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7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3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7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6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6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5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4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33" w:hanging="720"/>
      </w:pPr>
      <w:rPr>
        <w:rFonts w:hint="default"/>
        <w:lang w:val="en-US" w:eastAsia="en-US" w:bidi="ar-SA"/>
      </w:rPr>
    </w:lvl>
  </w:abstract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2">
    <w:abstractNumId w:val="1"/>
  </w:num>
  <w:num w:numId="3">
    <w:abstractNumId w:val="2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eader" Target="header3.xml"/><Relationship Id="rId12" Type="http://schemas.openxmlformats.org/officeDocument/2006/relationships/footer" Target="footer4.xml"/><Relationship Id="rId13" Type="http://schemas.openxmlformats.org/officeDocument/2006/relationships/image" Target="media/image2.png"/><Relationship Id="rId14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2023-04-11T15:11:27Z</dcterms:created>
  <dcterms:modified xsi:type="dcterms:W3CDTF">2023-04-11T15:11:27Z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2023-02-07T00:00:00Z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(6.5.1.103725) OS (Windows 2012,2,0,64)</vt:lpwstr>
  </property>
</Properties>
</file>