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6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67"/>
        <w:gridCol w:w="1193"/>
        <w:gridCol w:w="3991"/>
      </w:tblGrid>
      <w:tr>
        <w:trPr>
          <w:trHeight w:val="900" w:hRule="atLeast"/>
        </w:trPr>
        <w:tc>
          <w:tcPr>
            <w:tcW w:w="3667" w:type="dxa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15"/>
              </w:rPr>
            </w:pPr>
          </w:p>
          <w:p>
            <w:pPr>
              <w:pStyle w:val="TableParagraph"/>
              <w:spacing w:before="0"/>
              <w:ind w:left="164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2010687" cy="39319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0687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184" w:type="dxa"/>
            <w:gridSpan w:val="2"/>
            <w:shd w:val="clear" w:color="auto" w:fill="E6E6E6"/>
          </w:tcPr>
          <w:p>
            <w:pPr>
              <w:pStyle w:val="TableParagraph"/>
              <w:spacing w:line="247" w:lineRule="exact" w:before="0"/>
              <w:ind w:left="605" w:right="58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z w:val="22"/>
              </w:rPr>
              <w:t>Work</w:t>
            </w:r>
            <w:r>
              <w:rPr>
                <w:b/>
                <w:spacing w:val="-2"/>
                <w:sz w:val="22"/>
              </w:rPr>
              <w:t> Instruction</w:t>
            </w:r>
          </w:p>
          <w:p>
            <w:pPr>
              <w:pStyle w:val="TableParagraph"/>
              <w:spacing w:line="237" w:lineRule="auto" w:before="22"/>
              <w:ind w:left="620" w:right="58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Global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z w:val="22"/>
              </w:rPr>
              <w:t>Regulatory</w:t>
            </w:r>
            <w:r>
              <w:rPr>
                <w:b/>
                <w:spacing w:val="-11"/>
                <w:sz w:val="22"/>
              </w:rPr>
              <w:t> </w:t>
            </w:r>
            <w:r>
              <w:rPr>
                <w:b/>
                <w:sz w:val="22"/>
              </w:rPr>
              <w:t>Affairs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z w:val="22"/>
              </w:rPr>
              <w:t>–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z w:val="22"/>
              </w:rPr>
              <w:t>Marketing Authorisation Renewal</w:t>
            </w:r>
          </w:p>
        </w:tc>
      </w:tr>
      <w:tr>
        <w:trPr>
          <w:trHeight w:val="512" w:hRule="atLeast"/>
        </w:trPr>
        <w:tc>
          <w:tcPr>
            <w:tcW w:w="486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39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4" w:lineRule="exact" w:before="0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5"/>
              <w:ind w:left="127"/>
              <w:rPr>
                <w:sz w:val="20"/>
              </w:rPr>
            </w:pPr>
            <w:r>
              <w:rPr>
                <w:sz w:val="20"/>
              </w:rPr>
              <w:t>CS_WI_RA0274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4</w:t>
            </w:r>
          </w:p>
        </w:tc>
      </w:tr>
      <w:tr>
        <w:trPr>
          <w:trHeight w:val="513" w:hRule="atLeast"/>
        </w:trPr>
        <w:tc>
          <w:tcPr>
            <w:tcW w:w="4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5" w:lineRule="exact" w:before="0"/>
              <w:ind w:left="124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5"/>
              <w:ind w:left="124"/>
              <w:rPr>
                <w:sz w:val="20"/>
              </w:rPr>
            </w:pPr>
            <w:r>
              <w:rPr>
                <w:sz w:val="20"/>
              </w:rPr>
              <w:t>Anja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Pauw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25" w:lineRule="exact" w:before="0"/>
              <w:ind w:left="1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5"/>
              <w:ind w:left="127"/>
              <w:rPr>
                <w:sz w:val="20"/>
              </w:rPr>
            </w:pPr>
            <w:r>
              <w:rPr>
                <w:sz w:val="20"/>
              </w:rPr>
              <w:t>Tamara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Lewicky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3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93" w:after="0"/>
        <w:ind w:left="13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rPr>
          <w:b/>
          <w:sz w:val="21"/>
        </w:rPr>
      </w:pPr>
    </w:p>
    <w:p>
      <w:pPr>
        <w:pStyle w:val="BodyText"/>
        <w:ind w:left="1360" w:right="853"/>
      </w:pPr>
      <w:bookmarkStart w:name="To outline the procedure for application" w:id="2"/>
      <w:bookmarkEnd w:id="2"/>
      <w:r>
        <w:rPr/>
      </w:r>
      <w:r>
        <w:rPr/>
        <w:t>To</w:t>
      </w:r>
      <w:r>
        <w:rPr>
          <w:spacing w:val="-3"/>
        </w:rPr>
        <w:t> </w:t>
      </w:r>
      <w:r>
        <w:rPr/>
        <w:t>outline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procedure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applications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Regulatory</w:t>
      </w:r>
      <w:r>
        <w:rPr>
          <w:spacing w:val="-3"/>
        </w:rPr>
        <w:t> </w:t>
      </w:r>
      <w:r>
        <w:rPr/>
        <w:t>Authority</w:t>
      </w:r>
      <w:r>
        <w:rPr>
          <w:spacing w:val="-1"/>
        </w:rPr>
        <w:t> </w:t>
      </w:r>
      <w:r>
        <w:rPr/>
        <w:t>(RA)</w:t>
      </w:r>
      <w:r>
        <w:rPr>
          <w:spacing w:val="-7"/>
        </w:rPr>
        <w:t> </w:t>
      </w:r>
      <w:r>
        <w:rPr/>
        <w:t>for</w:t>
      </w:r>
      <w:r>
        <w:rPr>
          <w:spacing w:val="-3"/>
        </w:rPr>
        <w:t> </w:t>
      </w:r>
      <w:r>
        <w:rPr/>
        <w:t>renewal of product authorisations.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0" w:after="0"/>
        <w:ind w:left="1360" w:right="0" w:hanging="720"/>
        <w:jc w:val="left"/>
      </w:pPr>
      <w:bookmarkStart w:name="SCOPE" w:id="3"/>
      <w:bookmarkEnd w:id="3"/>
      <w:r>
        <w:rPr>
          <w:spacing w:val="-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0" w:after="0"/>
        <w:ind w:left="2080" w:right="0" w:hanging="720"/>
        <w:jc w:val="left"/>
        <w:rPr>
          <w:sz w:val="22"/>
        </w:rPr>
      </w:pPr>
      <w:bookmarkStart w:name="Applies to all IQVIA Global Regulatory A" w:id="4"/>
      <w:bookmarkEnd w:id="4"/>
      <w:r>
        <w:rPr>
          <w:sz w:val="22"/>
        </w:rPr>
        <w:t>Applie</w:t>
      </w:r>
      <w:r>
        <w:rPr>
          <w:sz w:val="22"/>
        </w:rPr>
        <w:t>s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6"/>
          <w:sz w:val="22"/>
        </w:rPr>
        <w:t> </w:t>
      </w:r>
      <w:r>
        <w:rPr>
          <w:sz w:val="22"/>
        </w:rPr>
        <w:t>all</w:t>
      </w:r>
      <w:r>
        <w:rPr>
          <w:spacing w:val="-5"/>
          <w:sz w:val="22"/>
        </w:rPr>
        <w:t> </w:t>
      </w:r>
      <w:r>
        <w:rPr>
          <w:sz w:val="22"/>
        </w:rPr>
        <w:t>IQVIA</w:t>
      </w:r>
      <w:r>
        <w:rPr>
          <w:spacing w:val="-3"/>
          <w:sz w:val="22"/>
        </w:rPr>
        <w:t> </w:t>
      </w:r>
      <w:r>
        <w:rPr>
          <w:sz w:val="22"/>
        </w:rPr>
        <w:t>Global</w:t>
      </w:r>
      <w:r>
        <w:rPr>
          <w:spacing w:val="-6"/>
          <w:sz w:val="22"/>
        </w:rPr>
        <w:t> </w:t>
      </w:r>
      <w:r>
        <w:rPr>
          <w:sz w:val="22"/>
        </w:rPr>
        <w:t>Regulatory</w:t>
      </w:r>
      <w:r>
        <w:rPr>
          <w:spacing w:val="-6"/>
          <w:sz w:val="22"/>
        </w:rPr>
        <w:t> </w:t>
      </w:r>
      <w:r>
        <w:rPr>
          <w:sz w:val="22"/>
        </w:rPr>
        <w:t>Affairs</w:t>
      </w:r>
      <w:r>
        <w:rPr>
          <w:spacing w:val="-6"/>
          <w:sz w:val="22"/>
        </w:rPr>
        <w:t> </w:t>
      </w:r>
      <w:r>
        <w:rPr>
          <w:sz w:val="22"/>
        </w:rPr>
        <w:t>(GRA)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staff.</w:t>
      </w:r>
    </w:p>
    <w:p>
      <w:pPr>
        <w:pStyle w:val="BodyText"/>
        <w:spacing w:before="7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0" w:after="0"/>
        <w:ind w:left="2080" w:right="1167" w:hanging="720"/>
        <w:jc w:val="left"/>
        <w:rPr>
          <w:sz w:val="22"/>
        </w:rPr>
      </w:pPr>
      <w:bookmarkStart w:name="Applies to pharmaceutical product regist" w:id="5"/>
      <w:bookmarkEnd w:id="5"/>
      <w:r>
        <w:rPr>
          <w:sz w:val="22"/>
        </w:rPr>
        <w:t>Applie</w:t>
      </w:r>
      <w:r>
        <w:rPr>
          <w:sz w:val="22"/>
        </w:rPr>
        <w:t>s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pharmaceutical</w:t>
      </w:r>
      <w:r>
        <w:rPr>
          <w:spacing w:val="-4"/>
          <w:sz w:val="22"/>
        </w:rPr>
        <w:t> </w:t>
      </w:r>
      <w:r>
        <w:rPr>
          <w:sz w:val="22"/>
        </w:rPr>
        <w:t>product</w:t>
      </w:r>
      <w:r>
        <w:rPr>
          <w:spacing w:val="-4"/>
          <w:sz w:val="22"/>
        </w:rPr>
        <w:t> </w:t>
      </w:r>
      <w:r>
        <w:rPr>
          <w:sz w:val="22"/>
        </w:rPr>
        <w:t>registrations</w:t>
      </w:r>
      <w:r>
        <w:rPr>
          <w:spacing w:val="-4"/>
          <w:sz w:val="22"/>
        </w:rPr>
        <w:t> </w:t>
      </w:r>
      <w:r>
        <w:rPr>
          <w:sz w:val="22"/>
        </w:rPr>
        <w:t>globally</w:t>
      </w:r>
      <w:r>
        <w:rPr>
          <w:spacing w:val="-4"/>
          <w:sz w:val="22"/>
        </w:rPr>
        <w:t> </w:t>
      </w:r>
      <w:r>
        <w:rPr>
          <w:sz w:val="22"/>
        </w:rPr>
        <w:t>except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United States of America (USA) which has no renewal process.</w:t>
      </w:r>
    </w:p>
    <w:p>
      <w:pPr>
        <w:pStyle w:val="BodyText"/>
        <w:spacing w:before="1"/>
        <w:rPr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0" w:after="0"/>
        <w:ind w:left="2080" w:right="1096" w:hanging="720"/>
        <w:jc w:val="left"/>
        <w:rPr>
          <w:sz w:val="22"/>
        </w:rPr>
      </w:pPr>
      <w:bookmarkStart w:name="Does not apply to annual reassessment ap" w:id="6"/>
      <w:bookmarkEnd w:id="6"/>
      <w:r>
        <w:rPr>
          <w:sz w:val="22"/>
        </w:rPr>
        <w:t>Doe</w:t>
      </w:r>
      <w:r>
        <w:rPr>
          <w:sz w:val="22"/>
        </w:rPr>
        <w:t>s</w:t>
      </w:r>
      <w:r>
        <w:rPr>
          <w:spacing w:val="-4"/>
          <w:sz w:val="22"/>
        </w:rPr>
        <w:t> </w:t>
      </w:r>
      <w:r>
        <w:rPr>
          <w:sz w:val="22"/>
        </w:rPr>
        <w:t>not</w:t>
      </w:r>
      <w:r>
        <w:rPr>
          <w:spacing w:val="-4"/>
          <w:sz w:val="22"/>
        </w:rPr>
        <w:t> </w:t>
      </w:r>
      <w:r>
        <w:rPr>
          <w:sz w:val="22"/>
        </w:rPr>
        <w:t>apply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annual</w:t>
      </w:r>
      <w:r>
        <w:rPr>
          <w:spacing w:val="-4"/>
          <w:sz w:val="22"/>
        </w:rPr>
        <w:t> </w:t>
      </w:r>
      <w:r>
        <w:rPr>
          <w:sz w:val="22"/>
        </w:rPr>
        <w:t>reassessment</w:t>
      </w:r>
      <w:r>
        <w:rPr>
          <w:spacing w:val="-4"/>
          <w:sz w:val="22"/>
        </w:rPr>
        <w:t> </w:t>
      </w:r>
      <w:r>
        <w:rPr>
          <w:sz w:val="22"/>
        </w:rPr>
        <w:t>applications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medicinal</w:t>
      </w:r>
      <w:r>
        <w:rPr>
          <w:spacing w:val="-4"/>
          <w:sz w:val="22"/>
        </w:rPr>
        <w:t> </w:t>
      </w:r>
      <w:r>
        <w:rPr>
          <w:sz w:val="22"/>
        </w:rPr>
        <w:t>products authorized under exceptional circumstances.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0" w:after="0"/>
        <w:ind w:left="2080" w:right="1556" w:hanging="720"/>
        <w:jc w:val="left"/>
        <w:rPr>
          <w:sz w:val="22"/>
        </w:rPr>
      </w:pPr>
      <w:bookmarkStart w:name="Does not apply to annual renewal applica" w:id="7"/>
      <w:bookmarkEnd w:id="7"/>
      <w:r>
        <w:rPr>
          <w:sz w:val="22"/>
        </w:rPr>
        <w:t>Doe</w:t>
      </w:r>
      <w:r>
        <w:rPr>
          <w:sz w:val="22"/>
        </w:rPr>
        <w:t>s</w:t>
      </w:r>
      <w:r>
        <w:rPr>
          <w:spacing w:val="-4"/>
          <w:sz w:val="22"/>
        </w:rPr>
        <w:t> </w:t>
      </w:r>
      <w:r>
        <w:rPr>
          <w:sz w:val="22"/>
        </w:rPr>
        <w:t>not</w:t>
      </w:r>
      <w:r>
        <w:rPr>
          <w:spacing w:val="-4"/>
          <w:sz w:val="22"/>
        </w:rPr>
        <w:t> </w:t>
      </w:r>
      <w:r>
        <w:rPr>
          <w:sz w:val="22"/>
        </w:rPr>
        <w:t>apply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annual</w:t>
      </w:r>
      <w:r>
        <w:rPr>
          <w:spacing w:val="-4"/>
          <w:sz w:val="22"/>
        </w:rPr>
        <w:t> </w:t>
      </w:r>
      <w:r>
        <w:rPr>
          <w:sz w:val="22"/>
        </w:rPr>
        <w:t>renewal</w:t>
      </w:r>
      <w:r>
        <w:rPr>
          <w:spacing w:val="-4"/>
          <w:sz w:val="22"/>
        </w:rPr>
        <w:t> </w:t>
      </w:r>
      <w:r>
        <w:rPr>
          <w:sz w:val="22"/>
        </w:rPr>
        <w:t>application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conditional</w:t>
      </w:r>
      <w:r>
        <w:rPr>
          <w:spacing w:val="-4"/>
          <w:sz w:val="22"/>
        </w:rPr>
        <w:t> </w:t>
      </w:r>
      <w:r>
        <w:rPr>
          <w:sz w:val="22"/>
        </w:rPr>
        <w:t>marketing authorisations (CMA)</w:t>
      </w:r>
    </w:p>
    <w:p>
      <w:pPr>
        <w:pStyle w:val="BodyText"/>
        <w:spacing w:before="8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0" w:after="0"/>
        <w:ind w:left="2079" w:right="773" w:hanging="720"/>
        <w:jc w:val="left"/>
        <w:rPr>
          <w:sz w:val="22"/>
        </w:rPr>
      </w:pPr>
      <w:bookmarkStart w:name="Applies to the CMA and to marketing auth" w:id="8"/>
      <w:bookmarkEnd w:id="8"/>
      <w:r>
        <w:rPr>
          <w:sz w:val="22"/>
        </w:rPr>
        <w:t>Applie</w:t>
      </w:r>
      <w:r>
        <w:rPr>
          <w:sz w:val="22"/>
        </w:rPr>
        <w:t>s to the CMA and to marketing authorisation under exceptional circumstances once converted into a standard marketing authorisation (not subject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specific</w:t>
      </w:r>
      <w:r>
        <w:rPr>
          <w:spacing w:val="-3"/>
          <w:sz w:val="22"/>
        </w:rPr>
        <w:t> </w:t>
      </w:r>
      <w:r>
        <w:rPr>
          <w:sz w:val="22"/>
        </w:rPr>
        <w:t>obligations)</w:t>
      </w:r>
      <w:r>
        <w:rPr>
          <w:spacing w:val="-3"/>
          <w:sz w:val="22"/>
        </w:rPr>
        <w:t> </w:t>
      </w:r>
      <w:r>
        <w:rPr>
          <w:sz w:val="22"/>
        </w:rPr>
        <w:t>which</w:t>
      </w:r>
      <w:r>
        <w:rPr>
          <w:spacing w:val="-3"/>
          <w:sz w:val="22"/>
        </w:rPr>
        <w:t> </w:t>
      </w:r>
      <w:r>
        <w:rPr>
          <w:sz w:val="22"/>
        </w:rPr>
        <w:t>will</w:t>
      </w:r>
      <w:r>
        <w:rPr>
          <w:spacing w:val="-3"/>
          <w:sz w:val="22"/>
        </w:rPr>
        <w:t> </w:t>
      </w:r>
      <w:r>
        <w:rPr>
          <w:sz w:val="22"/>
        </w:rPr>
        <w:t>initially</w:t>
      </w:r>
      <w:r>
        <w:rPr>
          <w:spacing w:val="-3"/>
          <w:sz w:val="22"/>
        </w:rPr>
        <w:t> </w:t>
      </w:r>
      <w:r>
        <w:rPr>
          <w:sz w:val="22"/>
        </w:rPr>
        <w:t>be</w:t>
      </w:r>
      <w:r>
        <w:rPr>
          <w:spacing w:val="-3"/>
          <w:sz w:val="22"/>
        </w:rPr>
        <w:t> </w:t>
      </w:r>
      <w:r>
        <w:rPr>
          <w:sz w:val="22"/>
        </w:rPr>
        <w:t>valid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1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defined</w:t>
      </w:r>
      <w:r>
        <w:rPr>
          <w:spacing w:val="-3"/>
          <w:sz w:val="22"/>
        </w:rPr>
        <w:t> </w:t>
      </w:r>
      <w:r>
        <w:rPr>
          <w:sz w:val="22"/>
        </w:rPr>
        <w:t>number of years depending on the country, and can be renewed for unlimited validity in many of them. Applicable local Regulation is to be checked for</w:t>
      </w:r>
      <w:r>
        <w:rPr>
          <w:spacing w:val="40"/>
          <w:sz w:val="22"/>
        </w:rPr>
        <w:t> </w:t>
      </w:r>
      <w:r>
        <w:rPr>
          <w:spacing w:val="-2"/>
          <w:sz w:val="22"/>
        </w:rPr>
        <w:t>confirmation.</w:t>
      </w:r>
    </w:p>
    <w:p>
      <w:pPr>
        <w:pStyle w:val="BodyText"/>
        <w:spacing w:before="9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0" w:after="0"/>
        <w:ind w:left="1360" w:right="0" w:hanging="721"/>
        <w:jc w:val="left"/>
      </w:pPr>
      <w:bookmarkStart w:name="ROLES AND RESPONSIBILITIES" w:id="9"/>
      <w:bookmarkEnd w:id="9"/>
      <w:r>
        <w:rPr/>
        <w:t>ROLES</w:t>
      </w:r>
      <w:r>
        <w:rPr/>
        <w:t> AND</w:t>
      </w:r>
      <w:r>
        <w:rPr>
          <w:spacing w:val="-2"/>
        </w:rPr>
        <w:t> RESPONSIBILITIES</w:t>
      </w:r>
    </w:p>
    <w:p>
      <w:pPr>
        <w:pStyle w:val="BodyText"/>
        <w:spacing w:before="122"/>
        <w:ind w:left="1359"/>
      </w:pPr>
      <w:r>
        <w:rPr/>
        <w:t>The</w:t>
      </w:r>
      <w:r>
        <w:rPr>
          <w:spacing w:val="-8"/>
        </w:rPr>
        <w:t> </w:t>
      </w:r>
      <w:r>
        <w:rPr/>
        <w:t>following</w:t>
      </w:r>
      <w:r>
        <w:rPr>
          <w:spacing w:val="-5"/>
        </w:rPr>
        <w:t> </w:t>
      </w:r>
      <w:r>
        <w:rPr/>
        <w:t>roles</w:t>
      </w:r>
      <w:r>
        <w:rPr>
          <w:spacing w:val="-5"/>
        </w:rPr>
        <w:t> </w:t>
      </w:r>
      <w:r>
        <w:rPr/>
        <w:t>perform</w:t>
      </w:r>
      <w:r>
        <w:rPr>
          <w:spacing w:val="-5"/>
        </w:rPr>
        <w:t> </w:t>
      </w:r>
      <w:r>
        <w:rPr/>
        <w:t>tasks</w:t>
      </w:r>
      <w:r>
        <w:rPr>
          <w:spacing w:val="-5"/>
        </w:rPr>
        <w:t> </w:t>
      </w:r>
      <w:r>
        <w:rPr/>
        <w:t>described</w:t>
      </w:r>
      <w:r>
        <w:rPr>
          <w:spacing w:val="-5"/>
        </w:rPr>
        <w:t> </w:t>
      </w:r>
      <w:r>
        <w:rPr/>
        <w:t>within</w:t>
      </w:r>
      <w:r>
        <w:rPr>
          <w:spacing w:val="-5"/>
        </w:rPr>
        <w:t> </w:t>
      </w:r>
      <w:r>
        <w:rPr/>
        <w:t>this</w:t>
      </w:r>
      <w:r>
        <w:rPr>
          <w:spacing w:val="-13"/>
        </w:rPr>
        <w:t> </w:t>
      </w:r>
      <w:r>
        <w:rPr/>
        <w:t>Work</w:t>
      </w:r>
      <w:r>
        <w:rPr>
          <w:spacing w:val="-4"/>
        </w:rPr>
        <w:t> </w:t>
      </w:r>
      <w:r>
        <w:rPr/>
        <w:t>Instruction</w:t>
      </w:r>
      <w:r>
        <w:rPr>
          <w:spacing w:val="-4"/>
        </w:rPr>
        <w:t> </w:t>
      </w:r>
      <w:r>
        <w:rPr>
          <w:spacing w:val="-2"/>
        </w:rPr>
        <w:t>(WI):</w:t>
      </w:r>
    </w:p>
    <w:tbl>
      <w:tblPr>
        <w:tblW w:w="0" w:type="auto"/>
        <w:jc w:val="left"/>
        <w:tblInd w:w="11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06"/>
        <w:gridCol w:w="3465"/>
      </w:tblGrid>
      <w:tr>
        <w:trPr>
          <w:trHeight w:val="335" w:hRule="atLeast"/>
        </w:trPr>
        <w:tc>
          <w:tcPr>
            <w:tcW w:w="5006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465" w:type="dxa"/>
            <w:shd w:val="clear" w:color="auto" w:fill="D9D9D9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006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(RPM)</w:t>
            </w:r>
          </w:p>
        </w:tc>
        <w:tc>
          <w:tcPr>
            <w:tcW w:w="3465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335" w:hRule="atLeast"/>
        </w:trPr>
        <w:tc>
          <w:tcPr>
            <w:tcW w:w="5006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Members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(RTM)</w:t>
            </w:r>
          </w:p>
        </w:tc>
        <w:tc>
          <w:tcPr>
            <w:tcW w:w="3465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  <w:tr>
        <w:trPr>
          <w:trHeight w:val="330" w:hRule="atLeast"/>
        </w:trPr>
        <w:tc>
          <w:tcPr>
            <w:tcW w:w="5006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Writer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(RAW)</w:t>
            </w:r>
          </w:p>
        </w:tc>
        <w:tc>
          <w:tcPr>
            <w:tcW w:w="3465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  <w:tr>
        <w:trPr>
          <w:trHeight w:val="585" w:hRule="atLeast"/>
        </w:trPr>
        <w:tc>
          <w:tcPr>
            <w:tcW w:w="5006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Reviewer </w:t>
            </w:r>
            <w:r>
              <w:rPr>
                <w:spacing w:val="-2"/>
                <w:sz w:val="22"/>
              </w:rPr>
              <w:t>(RAQCR)</w:t>
            </w:r>
          </w:p>
        </w:tc>
        <w:tc>
          <w:tcPr>
            <w:tcW w:w="3465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</w:tbl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1" w:after="0"/>
        <w:ind w:left="1360" w:right="0" w:hanging="720"/>
        <w:jc w:val="left"/>
      </w:pPr>
      <w:bookmarkStart w:name="DEFINITIONS" w:id="10"/>
      <w:bookmarkEnd w:id="10"/>
      <w:r>
        <w:rPr>
          <w:spacing w:val="-2"/>
        </w:rPr>
        <w:t>DEFINITIONS</w:t>
      </w:r>
    </w:p>
    <w:p>
      <w:pPr>
        <w:pStyle w:val="BodyText"/>
        <w:spacing w:before="126"/>
        <w:ind w:left="1360"/>
      </w:pPr>
      <w:bookmarkStart w:name="MATERIAL AND EQUIPMENT" w:id="11"/>
      <w:bookmarkEnd w:id="11"/>
      <w:r>
        <w:rPr/>
      </w: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0" w:after="0"/>
        <w:ind w:left="1360" w:right="0" w:hanging="720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7"/>
        <w:ind w:left="13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spacing w:after="0"/>
        <w:sectPr>
          <w:footerReference w:type="default" r:id="rId5"/>
          <w:type w:val="continuous"/>
          <w:pgSz w:w="11910" w:h="16840"/>
          <w:pgMar w:footer="952" w:header="0" w:top="940" w:bottom="1140" w:left="800" w:right="700"/>
          <w:pgNumType w:start="1"/>
        </w:sectPr>
      </w:pPr>
    </w:p>
    <w:p>
      <w:pPr>
        <w:pStyle w:val="BodyText"/>
        <w:spacing w:before="5"/>
        <w:rPr>
          <w:sz w:val="14"/>
        </w:rPr>
      </w:pPr>
    </w:p>
    <w:p>
      <w:pPr>
        <w:pStyle w:val="Heading1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93" w:after="0"/>
        <w:ind w:left="1360" w:right="0" w:hanging="720"/>
        <w:jc w:val="left"/>
      </w:pPr>
      <w:bookmarkStart w:name="PROCEDURE" w:id="12"/>
      <w:bookmarkEnd w:id="12"/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0" w:after="0"/>
        <w:ind w:left="2080" w:right="0" w:hanging="720"/>
        <w:jc w:val="left"/>
        <w:rPr>
          <w:b/>
          <w:sz w:val="22"/>
        </w:rPr>
      </w:pPr>
      <w:bookmarkStart w:name="Project Management Planning" w:id="13"/>
      <w:bookmarkEnd w:id="13"/>
      <w:r>
        <w:rPr>
          <w:b/>
          <w:sz w:val="22"/>
        </w:rPr>
        <w:t>Projec</w:t>
      </w:r>
      <w:r>
        <w:rPr>
          <w:b/>
          <w:sz w:val="22"/>
        </w:rPr>
        <w:t>t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Management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Planning</w:t>
      </w:r>
    </w:p>
    <w:p>
      <w:pPr>
        <w:pStyle w:val="BodyText"/>
        <w:spacing w:before="122"/>
        <w:ind w:left="2080" w:right="748"/>
      </w:pPr>
      <w:r>
        <w:rPr/>
        <w:t>Preparation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/>
        <w:t>Project</w:t>
      </w:r>
      <w:r>
        <w:rPr>
          <w:spacing w:val="-4"/>
        </w:rPr>
        <w:t> </w:t>
      </w:r>
      <w:r>
        <w:rPr/>
        <w:t>Plan</w:t>
      </w:r>
      <w:r>
        <w:rPr>
          <w:spacing w:val="-4"/>
        </w:rPr>
        <w:t> </w:t>
      </w:r>
      <w:r>
        <w:rPr/>
        <w:t>(PP)</w:t>
      </w:r>
      <w:r>
        <w:rPr>
          <w:spacing w:val="-4"/>
        </w:rPr>
        <w:t> </w:t>
      </w:r>
      <w:r>
        <w:rPr/>
        <w:t>may</w:t>
      </w:r>
      <w:r>
        <w:rPr>
          <w:spacing w:val="-4"/>
        </w:rPr>
        <w:t> </w:t>
      </w:r>
      <w:r>
        <w:rPr/>
        <w:t>not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required</w:t>
      </w:r>
      <w:r>
        <w:rPr>
          <w:spacing w:val="-4"/>
        </w:rPr>
        <w:t> </w:t>
      </w:r>
      <w:r>
        <w:rPr/>
        <w:t>where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Customer is responsible for preparing and maintaining the PP.</w:t>
      </w:r>
    </w:p>
    <w:p>
      <w:pPr>
        <w:pStyle w:val="BodyText"/>
        <w:spacing w:before="7" w:after="1"/>
        <w:rPr>
          <w:sz w:val="10"/>
        </w:rPr>
      </w:pPr>
    </w:p>
    <w:tbl>
      <w:tblPr>
        <w:tblW w:w="0" w:type="auto"/>
        <w:jc w:val="left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64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46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general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concerned products that may impact the Renewal timeline, such as but 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limited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registration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expiration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deadlines, and ongoing or planned variations, in each country involved.</w:t>
            </w:r>
          </w:p>
          <w:p>
            <w:pPr>
              <w:pStyle w:val="TableParagraph"/>
              <w:spacing w:before="2"/>
              <w:ind w:right="192"/>
              <w:rPr>
                <w:sz w:val="20"/>
              </w:rPr>
            </w:pP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Renewal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timeline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tracker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 prepared as a part of the PP, and any other additional information, as applicable.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right="217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490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before="28"/>
              <w:rPr>
                <w:sz w:val="20"/>
              </w:rPr>
            </w:pPr>
            <w:r>
              <w:rPr>
                <w:sz w:val="20"/>
              </w:rPr>
              <w:t>Develops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Renewals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Customer, with the following minimum required information: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deliverables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(products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country)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0" w:lineRule="auto" w:before="4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Key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timelines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milestones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various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tasks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7" w:lineRule="auto" w:before="10" w:after="0"/>
              <w:ind w:left="824" w:right="113" w:hanging="360"/>
              <w:jc w:val="left"/>
              <w:rPr>
                <w:sz w:val="20"/>
              </w:rPr>
            </w:pPr>
            <w:r>
              <w:rPr>
                <w:sz w:val="20"/>
              </w:rPr>
              <w:t>Responsibility of preparing submission-ready dossiers, whether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RTM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Department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IQVIA,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 a third party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4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Format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dossier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52" w:lineRule="auto" w:before="4" w:after="0"/>
              <w:ind w:left="824" w:right="176" w:hanging="360"/>
              <w:jc w:val="left"/>
              <w:rPr>
                <w:sz w:val="20"/>
              </w:rPr>
            </w:pPr>
            <w:r>
              <w:rPr>
                <w:sz w:val="20"/>
              </w:rPr>
              <w:t>Customer’s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renewal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dossier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its </w:t>
            </w:r>
            <w:r>
              <w:rPr>
                <w:spacing w:val="-2"/>
                <w:sz w:val="20"/>
              </w:rPr>
              <w:t>documentation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7" w:lineRule="auto" w:before="0" w:after="0"/>
              <w:ind w:left="824" w:right="757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frequency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updating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Customer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9" w:lineRule="auto" w:before="0" w:after="0"/>
              <w:ind w:left="824" w:right="118" w:hanging="360"/>
              <w:jc w:val="left"/>
              <w:rPr>
                <w:sz w:val="20"/>
              </w:rPr>
            </w:pPr>
            <w:r>
              <w:rPr>
                <w:sz w:val="20"/>
              </w:rPr>
              <w:t>Method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delivering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Renewal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dossiers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final dossiers throughout the project, e.g. email or shared </w:t>
            </w:r>
            <w:r>
              <w:rPr>
                <w:spacing w:val="-2"/>
                <w:sz w:val="20"/>
              </w:rPr>
              <w:t>drive/folder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101" w:hanging="360"/>
              <w:jc w:val="left"/>
              <w:rPr>
                <w:sz w:val="20"/>
              </w:rPr>
            </w:pPr>
            <w:r>
              <w:rPr>
                <w:sz w:val="20"/>
              </w:rPr>
              <w:t>Issues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impacting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deliverables,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identification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risks,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severity and mitigation/ action plan, as well as any other information required by the Customer, as applicable.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2" w:lineRule="auto" w:before="0" w:after="0"/>
              <w:ind w:left="824" w:right="368" w:hanging="360"/>
              <w:jc w:val="left"/>
              <w:rPr>
                <w:sz w:val="20"/>
              </w:rPr>
            </w:pPr>
            <w:r>
              <w:rPr>
                <w:sz w:val="20"/>
              </w:rPr>
              <w:t>Method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PP,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i.e.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 hard copy.</w:t>
            </w:r>
          </w:p>
        </w:tc>
        <w:tc>
          <w:tcPr>
            <w:tcW w:w="1843" w:type="dxa"/>
          </w:tcPr>
          <w:p>
            <w:pPr>
              <w:pStyle w:val="TableParagraph"/>
              <w:ind w:right="217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82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before="28"/>
              <w:ind w:right="192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Updates the PP as needed and obtains the Customer’s final approval</w:t>
            </w:r>
          </w:p>
        </w:tc>
        <w:tc>
          <w:tcPr>
            <w:tcW w:w="1843" w:type="dxa"/>
          </w:tcPr>
          <w:p>
            <w:pPr>
              <w:pStyle w:val="TableParagraph"/>
              <w:ind w:right="217"/>
              <w:rPr>
                <w:sz w:val="20"/>
              </w:rPr>
            </w:pPr>
            <w:r>
              <w:rPr>
                <w:sz w:val="20"/>
              </w:rPr>
              <w:t>Before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starting with project </w:t>
            </w:r>
            <w:r>
              <w:rPr>
                <w:spacing w:val="-2"/>
                <w:sz w:val="20"/>
              </w:rPr>
              <w:t>activities</w:t>
            </w:r>
          </w:p>
        </w:tc>
      </w:tr>
      <w:tr>
        <w:trPr>
          <w:trHeight w:val="82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28"/>
              <w:ind w:right="569"/>
              <w:jc w:val="both"/>
              <w:rPr>
                <w:sz w:val="20"/>
              </w:rPr>
            </w:pPr>
            <w:r>
              <w:rPr>
                <w:sz w:val="20"/>
              </w:rPr>
              <w:t>Distributes the final PP to the RTM and provides training to the RTMs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tasks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timelines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deliverables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maintains a record of the same.</w:t>
            </w:r>
          </w:p>
        </w:tc>
        <w:tc>
          <w:tcPr>
            <w:tcW w:w="1843" w:type="dxa"/>
          </w:tcPr>
          <w:p>
            <w:pPr>
              <w:pStyle w:val="TableParagraph"/>
              <w:ind w:right="77"/>
              <w:rPr>
                <w:sz w:val="20"/>
              </w:rPr>
            </w:pPr>
            <w:r>
              <w:rPr>
                <w:sz w:val="20"/>
              </w:rPr>
              <w:t>After receipt of customer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approval of the PP</w:t>
            </w:r>
          </w:p>
        </w:tc>
      </w:tr>
      <w:tr>
        <w:trPr>
          <w:trHeight w:val="1746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line="247" w:lineRule="auto" w:before="28"/>
              <w:rPr>
                <w:sz w:val="20"/>
              </w:rPr>
            </w:pPr>
            <w:r>
              <w:rPr>
                <w:sz w:val="20"/>
              </w:rPr>
              <w:t>Tracks the Renewal requests received from the Customer in a Renewal timeline tracker (or report from a Regulatory Information Management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(RIM)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system) and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alerts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RTM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advance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submission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due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Renewal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country.</w:t>
            </w:r>
          </w:p>
        </w:tc>
        <w:tc>
          <w:tcPr>
            <w:tcW w:w="1843" w:type="dxa"/>
          </w:tcPr>
          <w:p>
            <w:pPr>
              <w:pStyle w:val="TableParagraph"/>
              <w:ind w:right="77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least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6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months before the submission due date,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earlier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as per country- </w:t>
            </w:r>
            <w:r>
              <w:rPr>
                <w:spacing w:val="-2"/>
                <w:sz w:val="20"/>
              </w:rPr>
              <w:t>specific requirements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1910" w:h="16840"/>
          <w:pgMar w:header="978" w:footer="952" w:top="1660" w:bottom="1140" w:left="800" w:right="700"/>
        </w:sectPr>
      </w:pPr>
    </w:p>
    <w:p>
      <w:pPr>
        <w:pStyle w:val="BodyText"/>
        <w:spacing w:before="5"/>
        <w:rPr>
          <w:sz w:val="14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93" w:after="0"/>
        <w:ind w:left="2080" w:right="0" w:hanging="720"/>
        <w:jc w:val="left"/>
        <w:rPr>
          <w:b/>
          <w:sz w:val="22"/>
        </w:rPr>
      </w:pPr>
      <w:bookmarkStart w:name="Project Execution" w:id="14"/>
      <w:bookmarkEnd w:id="14"/>
      <w:r>
        <w:rPr>
          <w:b/>
          <w:sz w:val="22"/>
        </w:rPr>
        <w:t>Projec</w:t>
      </w:r>
      <w:r>
        <w:rPr>
          <w:b/>
          <w:sz w:val="22"/>
        </w:rPr>
        <w:t>t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Execution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64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5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Documents and reports deviations from the agreed PP to the Customer, as well as the rationale and remediation action, in accordance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CS_WI_RA0270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(Global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Affairs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Quality </w:t>
            </w:r>
            <w:r>
              <w:rPr>
                <w:spacing w:val="-2"/>
                <w:sz w:val="20"/>
              </w:rPr>
              <w:t>Oversight)</w:t>
            </w:r>
          </w:p>
        </w:tc>
        <w:tc>
          <w:tcPr>
            <w:tcW w:w="1843" w:type="dxa"/>
          </w:tcPr>
          <w:p>
            <w:pPr>
              <w:pStyle w:val="TableParagraph"/>
              <w:ind w:right="166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execution, as applicable</w:t>
            </w:r>
          </w:p>
        </w:tc>
      </w:tr>
      <w:tr>
        <w:trPr>
          <w:trHeight w:val="599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ind w:left="105" w:right="231"/>
              <w:rPr>
                <w:sz w:val="20"/>
              </w:rPr>
            </w:pPr>
            <w:r>
              <w:rPr>
                <w:sz w:val="20"/>
              </w:rPr>
              <w:t>RPM or </w:t>
            </w:r>
            <w:r>
              <w:rPr>
                <w:spacing w:val="-2"/>
                <w:sz w:val="20"/>
              </w:rPr>
              <w:t>designee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Maintains the Renewal timeline tracker and reviews the tracker to keep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Renewal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due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take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necessary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actions.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71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least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monthly</w:t>
            </w:r>
          </w:p>
        </w:tc>
      </w:tr>
      <w:tr>
        <w:trPr>
          <w:trHeight w:val="594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62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Renewals,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where </w:t>
            </w:r>
            <w:r>
              <w:rPr>
                <w:spacing w:val="-2"/>
                <w:sz w:val="20"/>
              </w:rPr>
              <w:t>required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62"/>
              <w:ind w:right="813"/>
              <w:rPr>
                <w:sz w:val="20"/>
              </w:rPr>
            </w:pPr>
            <w:r>
              <w:rPr>
                <w:spacing w:val="-2"/>
                <w:sz w:val="20"/>
              </w:rPr>
              <w:t>Whenever requested</w:t>
            </w:r>
          </w:p>
        </w:tc>
      </w:tr>
      <w:tr>
        <w:trPr>
          <w:trHeight w:val="1516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Reviews and assesses the progress of the project, in particular upcoming submission deadlines, and takes appropriate action on observing any major deviations from the PP, thereby providing the necessary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oversight,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identify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upcoming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renewals.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exception would be where the Customer’s system is being used for tracking </w:t>
            </w:r>
            <w:r>
              <w:rPr>
                <w:spacing w:val="-2"/>
                <w:sz w:val="20"/>
              </w:rPr>
              <w:t>renewals.</w:t>
            </w:r>
          </w:p>
        </w:tc>
        <w:tc>
          <w:tcPr>
            <w:tcW w:w="1843" w:type="dxa"/>
          </w:tcPr>
          <w:p>
            <w:pPr>
              <w:pStyle w:val="TableParagraph"/>
              <w:ind w:right="77"/>
              <w:rPr>
                <w:sz w:val="20"/>
              </w:rPr>
            </w:pPr>
            <w:r>
              <w:rPr>
                <w:sz w:val="20"/>
              </w:rPr>
              <w:t>At least monthly 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course of the project</w:t>
            </w:r>
          </w:p>
        </w:tc>
      </w:tr>
      <w:tr>
        <w:trPr>
          <w:trHeight w:val="82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Updates the renewal as per the requirements 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RIM system or Renewal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timeline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tracker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current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prevailing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respective country.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71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execution</w:t>
            </w:r>
          </w:p>
        </w:tc>
      </w:tr>
      <w:tr>
        <w:trPr>
          <w:trHeight w:val="82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checklist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performs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gap analysis of which documents are required for preparation of the Renewal dossiers for the countries specified.</w:t>
            </w:r>
          </w:p>
        </w:tc>
        <w:tc>
          <w:tcPr>
            <w:tcW w:w="1843" w:type="dxa"/>
          </w:tcPr>
          <w:p>
            <w:pPr>
              <w:pStyle w:val="TableParagraph"/>
              <w:ind w:right="77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planning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phase of renewal for a </w:t>
            </w:r>
            <w:r>
              <w:rPr>
                <w:spacing w:val="-2"/>
                <w:sz w:val="20"/>
              </w:rPr>
              <w:t>country</w:t>
            </w:r>
          </w:p>
        </w:tc>
      </w:tr>
      <w:tr>
        <w:trPr>
          <w:trHeight w:val="3244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Customer, highlighting those that may take a longer time to be obtained. Examples include: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87" w:val="left" w:leader="none"/>
                <w:tab w:pos="888" w:val="left" w:leader="none"/>
              </w:tabs>
              <w:spacing w:line="245" w:lineRule="exact" w:before="41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Local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Pharmacovigilance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responsible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2"/>
                <w:sz w:val="20"/>
              </w:rPr>
              <w:t>person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87" w:val="left" w:leader="none"/>
                <w:tab w:pos="888" w:val="left" w:leader="none"/>
              </w:tabs>
              <w:spacing w:line="242" w:lineRule="exact" w:before="0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Specimens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Labels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87" w:val="left" w:leader="none"/>
                <w:tab w:pos="888" w:val="left" w:leader="none"/>
              </w:tabs>
              <w:spacing w:line="242" w:lineRule="exact" w:before="0" w:after="0"/>
              <w:ind w:left="887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Overview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Overview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addendum,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87" w:val="left" w:leader="none"/>
                <w:tab w:pos="888" w:val="left" w:leader="none"/>
              </w:tabs>
              <w:spacing w:line="240" w:lineRule="auto" w:before="0" w:after="0"/>
              <w:ind w:left="887" w:right="464" w:hanging="360"/>
              <w:jc w:val="left"/>
              <w:rPr>
                <w:sz w:val="20"/>
              </w:rPr>
            </w:pPr>
            <w:r>
              <w:rPr>
                <w:sz w:val="20"/>
              </w:rPr>
              <w:t>Certificate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Pharmaceutical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(CPP)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may need to be legalized/notarized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88" w:val="left" w:leader="none"/>
              </w:tabs>
              <w:spacing w:line="240" w:lineRule="auto" w:before="0" w:after="0"/>
              <w:ind w:left="887" w:right="161" w:hanging="360"/>
              <w:jc w:val="both"/>
              <w:rPr>
                <w:sz w:val="20"/>
              </w:rPr>
            </w:pPr>
            <w:r>
              <w:rPr>
                <w:sz w:val="20"/>
              </w:rPr>
              <w:t>Good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Manufacturing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Practice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(GMP)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certificate,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may need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legalized/notarized,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issued by the Health Authority for the specific renewal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88" w:val="left" w:leader="none"/>
              </w:tabs>
              <w:spacing w:line="240" w:lineRule="auto" w:before="0" w:after="0"/>
              <w:ind w:left="887" w:right="636" w:hanging="360"/>
              <w:jc w:val="both"/>
              <w:rPr>
                <w:sz w:val="20"/>
              </w:rPr>
            </w:pPr>
            <w:r>
              <w:rPr>
                <w:sz w:val="20"/>
              </w:rPr>
              <w:t>Samples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timelines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obtaining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them including customs clearance and processing</w:t>
            </w:r>
          </w:p>
        </w:tc>
        <w:tc>
          <w:tcPr>
            <w:tcW w:w="1843" w:type="dxa"/>
          </w:tcPr>
          <w:p>
            <w:pPr>
              <w:pStyle w:val="TableParagraph"/>
              <w:ind w:right="156"/>
              <w:rPr>
                <w:sz w:val="20"/>
              </w:rPr>
            </w:pPr>
            <w:r>
              <w:rPr>
                <w:sz w:val="20"/>
              </w:rPr>
              <w:t>Approx.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6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months prior to the planned renewal submission date</w:t>
            </w:r>
          </w:p>
        </w:tc>
      </w:tr>
      <w:tr>
        <w:trPr>
          <w:trHeight w:val="1098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6.2.8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directly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Customer, as agreed with the Customer.</w:t>
            </w:r>
          </w:p>
          <w:p>
            <w:pPr>
              <w:pStyle w:val="TableParagraph"/>
              <w:spacing w:line="244" w:lineRule="auto" w:before="30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also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Customer’s templates and letterhead paper, as appropriate.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/>
              <w:ind w:right="156"/>
              <w:rPr>
                <w:sz w:val="20"/>
              </w:rPr>
            </w:pPr>
            <w:r>
              <w:rPr>
                <w:spacing w:val="-2"/>
                <w:sz w:val="20"/>
              </w:rPr>
              <w:t>During </w:t>
            </w:r>
            <w:r>
              <w:rPr>
                <w:sz w:val="20"/>
              </w:rPr>
              <w:t>preparation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dossier</w:t>
            </w:r>
          </w:p>
        </w:tc>
      </w:tr>
      <w:tr>
        <w:trPr>
          <w:trHeight w:val="105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6.2.9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ind w:right="192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documents/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Customer and keeps the Customer alerted on delays that may impact IQVIA’s deliverables, unless otherwise agreed and documented in the PP.</w:t>
            </w:r>
          </w:p>
        </w:tc>
        <w:tc>
          <w:tcPr>
            <w:tcW w:w="1843" w:type="dxa"/>
          </w:tcPr>
          <w:p>
            <w:pPr>
              <w:pStyle w:val="TableParagraph"/>
              <w:ind w:right="156"/>
              <w:rPr>
                <w:sz w:val="20"/>
              </w:rPr>
            </w:pPr>
            <w:r>
              <w:rPr>
                <w:spacing w:val="-2"/>
                <w:sz w:val="20"/>
              </w:rPr>
              <w:t>During </w:t>
            </w:r>
            <w:r>
              <w:rPr>
                <w:sz w:val="20"/>
              </w:rPr>
              <w:t>preparation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dossier</w:t>
            </w:r>
          </w:p>
        </w:tc>
      </w:tr>
    </w:tbl>
    <w:p>
      <w:pPr>
        <w:pStyle w:val="BodyText"/>
        <w:spacing w:before="9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1" w:after="0"/>
        <w:ind w:left="2080" w:right="0" w:hanging="720"/>
        <w:jc w:val="left"/>
        <w:rPr>
          <w:b/>
          <w:sz w:val="22"/>
        </w:rPr>
      </w:pPr>
      <w:bookmarkStart w:name="Dossier Preparation and Review" w:id="15"/>
      <w:bookmarkEnd w:id="15"/>
      <w:r>
        <w:rPr>
          <w:b/>
          <w:sz w:val="22"/>
        </w:rPr>
        <w:t>Dossie</w:t>
      </w:r>
      <w:r>
        <w:rPr>
          <w:b/>
          <w:sz w:val="22"/>
        </w:rPr>
        <w:t>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Preparation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Review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64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86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RAW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Follows CS_WI_RA032 (Global Regulatory Affairs - Preparation, 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Affairs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Deliverables)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prepare the Renewal dossier based on the country’s regulatory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17"/>
              <w:rPr>
                <w:sz w:val="20"/>
              </w:rPr>
            </w:pPr>
            <w:r>
              <w:rPr>
                <w:sz w:val="20"/>
              </w:rPr>
              <w:t>Initial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documents </w:t>
            </w:r>
            <w:r>
              <w:rPr>
                <w:spacing w:val="-2"/>
                <w:sz w:val="20"/>
              </w:rPr>
              <w:t>received</w:t>
            </w:r>
          </w:p>
        </w:tc>
      </w:tr>
    </w:tbl>
    <w:p>
      <w:pPr>
        <w:spacing w:after="0"/>
        <w:rPr>
          <w:sz w:val="20"/>
        </w:rPr>
        <w:sectPr>
          <w:pgSz w:w="11910" w:h="16840"/>
          <w:pgMar w:header="978" w:footer="952" w:top="1660" w:bottom="1140" w:left="800" w:right="700"/>
        </w:sectPr>
      </w:pPr>
    </w:p>
    <w:p>
      <w:pPr>
        <w:pStyle w:val="BodyText"/>
        <w:rPr>
          <w:b/>
          <w:sz w:val="23"/>
        </w:rPr>
      </w:pPr>
    </w:p>
    <w:tbl>
      <w:tblPr>
        <w:tblW w:w="0" w:type="auto"/>
        <w:jc w:val="left"/>
        <w:tblInd w:w="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69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51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23"/>
              <w:rPr>
                <w:sz w:val="20"/>
              </w:rPr>
            </w:pPr>
            <w:r>
              <w:rPr>
                <w:sz w:val="20"/>
              </w:rPr>
              <w:t>requirements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documents/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 by the Customer.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830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RAQCR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/>
              <w:ind w:right="192"/>
              <w:rPr>
                <w:sz w:val="20"/>
              </w:rPr>
            </w:pPr>
            <w:r>
              <w:rPr>
                <w:sz w:val="20"/>
              </w:rPr>
              <w:t>Performs the QC review of a Renewal dossier as per CS_WI_RA032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(Global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Affairs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Preparation,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Quality Control and Provision of Regulatory Affairs Deliverables).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9" w:right="217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preparation of the dossier</w:t>
            </w:r>
          </w:p>
        </w:tc>
      </w:tr>
      <w:tr>
        <w:trPr>
          <w:trHeight w:val="743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RAW</w:t>
            </w:r>
          </w:p>
        </w:tc>
        <w:tc>
          <w:tcPr>
            <w:tcW w:w="6264" w:type="dxa"/>
          </w:tcPr>
          <w:p>
            <w:pPr>
              <w:pStyle w:val="TableParagraph"/>
              <w:spacing w:before="23"/>
              <w:rPr>
                <w:sz w:val="20"/>
              </w:rPr>
            </w:pPr>
            <w:r>
              <w:rPr>
                <w:sz w:val="20"/>
              </w:rPr>
              <w:t>Requests translation following CS_WI_RA0262 (Global Regulatory Affairs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Translation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documents)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and/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legalisation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 to the Customer or to IQVIA’s vendors, if required.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After QC review and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update,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any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94" w:after="0"/>
        <w:ind w:left="2080" w:right="0" w:hanging="720"/>
        <w:jc w:val="left"/>
        <w:rPr>
          <w:b/>
          <w:sz w:val="22"/>
        </w:rPr>
      </w:pPr>
      <w:bookmarkStart w:name="Renewal Dossier Submission" w:id="16"/>
      <w:bookmarkEnd w:id="16"/>
      <w:r>
        <w:rPr>
          <w:b/>
          <w:sz w:val="22"/>
        </w:rPr>
        <w:t>Renewa</w:t>
      </w:r>
      <w:r>
        <w:rPr>
          <w:b/>
          <w:sz w:val="22"/>
        </w:rPr>
        <w:t>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Dossier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Submission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64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82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ind w:left="110" w:right="226"/>
              <w:rPr>
                <w:sz w:val="20"/>
              </w:rPr>
            </w:pPr>
            <w:r>
              <w:rPr>
                <w:sz w:val="20"/>
              </w:rPr>
              <w:t>RTM or </w:t>
            </w:r>
            <w:r>
              <w:rPr>
                <w:spacing w:val="-2"/>
                <w:sz w:val="20"/>
              </w:rPr>
              <w:t>designee</w:t>
            </w:r>
          </w:p>
        </w:tc>
        <w:tc>
          <w:tcPr>
            <w:tcW w:w="6264" w:type="dxa"/>
          </w:tcPr>
          <w:p>
            <w:pPr>
              <w:pStyle w:val="TableParagraph"/>
              <w:spacing w:before="71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dossier,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PP.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95"/>
              <w:jc w:val="both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finalization 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approved renewal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dossier</w:t>
            </w:r>
          </w:p>
        </w:tc>
      </w:tr>
      <w:tr>
        <w:trPr>
          <w:trHeight w:val="128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line="244" w:lineRule="auto"/>
              <w:ind w:left="110" w:right="226"/>
              <w:rPr>
                <w:sz w:val="20"/>
              </w:rPr>
            </w:pPr>
            <w:r>
              <w:rPr>
                <w:sz w:val="20"/>
              </w:rPr>
              <w:t>RPM or </w:t>
            </w:r>
            <w:r>
              <w:rPr>
                <w:spacing w:val="-2"/>
                <w:sz w:val="20"/>
              </w:rPr>
              <w:t>designee</w:t>
            </w:r>
          </w:p>
        </w:tc>
        <w:tc>
          <w:tcPr>
            <w:tcW w:w="6264" w:type="dxa"/>
          </w:tcPr>
          <w:p>
            <w:pPr>
              <w:pStyle w:val="TableParagraph"/>
              <w:ind w:right="192"/>
              <w:rPr>
                <w:sz w:val="20"/>
              </w:rPr>
            </w:pPr>
            <w:r>
              <w:rPr>
                <w:sz w:val="20"/>
              </w:rPr>
              <w:t>Finalizes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dossier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paper,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electronic Common Technical Document (eCTD), Non-eCTD electronic Submissions (NeeS)), discusses any observations with the Customer to seek clarification or acceptance, and documents discussions as agreed in the Project Instruction.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9" w:right="217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QC</w:t>
            </w:r>
          </w:p>
        </w:tc>
      </w:tr>
      <w:tr>
        <w:trPr>
          <w:trHeight w:val="599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right="192"/>
              <w:rPr>
                <w:sz w:val="20"/>
              </w:rPr>
            </w:pPr>
            <w:r>
              <w:rPr>
                <w:sz w:val="20"/>
              </w:rPr>
              <w:t>Files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dossier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folder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 the Customer, in the Customer’s systems.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9" w:right="217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finalization of the dossier</w:t>
            </w:r>
          </w:p>
        </w:tc>
      </w:tr>
      <w:tr>
        <w:trPr>
          <w:trHeight w:val="1094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62" w:type="dxa"/>
          </w:tcPr>
          <w:p>
            <w:pPr>
              <w:pStyle w:val="TableParagraph"/>
              <w:ind w:left="110" w:right="231"/>
              <w:rPr>
                <w:sz w:val="20"/>
              </w:rPr>
            </w:pPr>
            <w:r>
              <w:rPr>
                <w:spacing w:val="-4"/>
                <w:sz w:val="20"/>
              </w:rPr>
              <w:t>RPM/ RTM</w:t>
            </w:r>
          </w:p>
        </w:tc>
        <w:tc>
          <w:tcPr>
            <w:tcW w:w="6264" w:type="dxa"/>
          </w:tcPr>
          <w:p>
            <w:pPr>
              <w:pStyle w:val="TableParagraph"/>
              <w:ind w:right="192"/>
              <w:rPr>
                <w:sz w:val="20"/>
              </w:rPr>
            </w:pPr>
            <w:r>
              <w:rPr>
                <w:sz w:val="20"/>
              </w:rPr>
              <w:t>Submits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Submission-ready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dossier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either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the RA.</w:t>
            </w:r>
          </w:p>
          <w:p>
            <w:pPr>
              <w:pStyle w:val="TableParagraph"/>
              <w:spacing w:line="244" w:lineRule="auto" w:before="35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Distribution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responsibility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RPM, while distribution to the RA is the responsibility of the RTM.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dossiers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submission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ready</w:t>
            </w:r>
          </w:p>
        </w:tc>
      </w:tr>
      <w:tr>
        <w:trPr>
          <w:trHeight w:val="82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ind w:right="192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the RA is performed by IQVIA.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Files a copy of the proof of submission on the project folder.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3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submission to the RA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0" w:after="0"/>
        <w:ind w:left="2080" w:right="0" w:hanging="720"/>
        <w:jc w:val="left"/>
        <w:rPr>
          <w:b/>
          <w:sz w:val="22"/>
        </w:rPr>
      </w:pPr>
      <w:bookmarkStart w:name="Post-submission follow-up with Regulator" w:id="17"/>
      <w:bookmarkEnd w:id="17"/>
      <w:r>
        <w:rPr/>
      </w:r>
      <w:bookmarkStart w:name="The actions in this section only apply i" w:id="18"/>
      <w:bookmarkEnd w:id="18"/>
      <w:r>
        <w:rPr>
          <w:b/>
          <w:sz w:val="22"/>
        </w:rPr>
        <w:t>Pos</w:t>
      </w:r>
      <w:r>
        <w:rPr>
          <w:b/>
          <w:sz w:val="22"/>
        </w:rPr>
        <w:t>t-submission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follow-up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with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Regulatory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Authority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BodyText"/>
        <w:ind w:left="1350" w:right="853"/>
      </w:pPr>
      <w:r>
        <w:rPr/>
        <w:t>The</w:t>
      </w:r>
      <w:r>
        <w:rPr>
          <w:spacing w:val="-3"/>
        </w:rPr>
        <w:t> </w:t>
      </w:r>
      <w:r>
        <w:rPr/>
        <w:t>actions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section</w:t>
      </w:r>
      <w:r>
        <w:rPr>
          <w:spacing w:val="-3"/>
        </w:rPr>
        <w:t> </w:t>
      </w:r>
      <w:r>
        <w:rPr/>
        <w:t>only</w:t>
      </w:r>
      <w:r>
        <w:rPr>
          <w:spacing w:val="-3"/>
        </w:rPr>
        <w:t> </w:t>
      </w:r>
      <w:r>
        <w:rPr/>
        <w:t>apply</w:t>
      </w:r>
      <w:r>
        <w:rPr>
          <w:spacing w:val="-3"/>
        </w:rPr>
        <w:t> </w:t>
      </w:r>
      <w:r>
        <w:rPr/>
        <w:t>if</w:t>
      </w:r>
      <w:r>
        <w:rPr>
          <w:spacing w:val="-1"/>
        </w:rPr>
        <w:t> </w:t>
      </w:r>
      <w:r>
        <w:rPr/>
        <w:t>IQVIA is</w:t>
      </w:r>
      <w:r>
        <w:rPr>
          <w:spacing w:val="-4"/>
        </w:rPr>
        <w:t> </w:t>
      </w:r>
      <w:r>
        <w:rPr/>
        <w:t>contracted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provide</w:t>
      </w:r>
      <w:r>
        <w:rPr>
          <w:spacing w:val="-3"/>
        </w:rPr>
        <w:t> </w:t>
      </w:r>
      <w:r>
        <w:rPr/>
        <w:t>post- submission follow up with the RA.</w:t>
      </w:r>
    </w:p>
    <w:p>
      <w:pPr>
        <w:pStyle w:val="BodyText"/>
        <w:spacing w:before="3"/>
        <w:rPr>
          <w:sz w:val="10"/>
        </w:rPr>
      </w:pPr>
    </w:p>
    <w:tbl>
      <w:tblPr>
        <w:tblW w:w="0" w:type="auto"/>
        <w:jc w:val="left"/>
        <w:tblInd w:w="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69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82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RA,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country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procedures,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status of the submitted dossier (e.g. review ongoing, questions, renewed) and keeps the Customer informed.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17"/>
              <w:rPr>
                <w:sz w:val="20"/>
              </w:rPr>
            </w:pPr>
            <w:r>
              <w:rPr>
                <w:spacing w:val="-2"/>
                <w:sz w:val="20"/>
              </w:rPr>
              <w:t>Post-submission </w:t>
            </w:r>
            <w:r>
              <w:rPr>
                <w:sz w:val="20"/>
              </w:rPr>
              <w:t>to RA</w:t>
            </w:r>
          </w:p>
        </w:tc>
      </w:tr>
      <w:tr>
        <w:trPr>
          <w:trHeight w:val="825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28"/>
              <w:ind w:right="192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preparation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responses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questions/ additional information requested by the RA.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66"/>
              <w:rPr>
                <w:sz w:val="20"/>
              </w:rPr>
            </w:pPr>
            <w:r>
              <w:rPr>
                <w:spacing w:val="-2"/>
                <w:sz w:val="20"/>
              </w:rPr>
              <w:t>Post-submission, </w:t>
            </w:r>
            <w:r>
              <w:rPr>
                <w:sz w:val="20"/>
              </w:rPr>
              <w:t>if queries raised by RA</w:t>
            </w:r>
          </w:p>
        </w:tc>
      </w:tr>
      <w:tr>
        <w:trPr>
          <w:trHeight w:val="594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spacing w:before="71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renewal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outcome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applicable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17"/>
              <w:rPr>
                <w:sz w:val="20"/>
              </w:rPr>
            </w:pPr>
            <w:r>
              <w:rPr>
                <w:spacing w:val="-2"/>
                <w:sz w:val="20"/>
              </w:rPr>
              <w:t>Post-submission </w:t>
            </w:r>
            <w:r>
              <w:rPr>
                <w:sz w:val="20"/>
              </w:rPr>
              <w:t>to RA</w:t>
            </w:r>
          </w:p>
        </w:tc>
      </w:tr>
      <w:tr>
        <w:trPr>
          <w:trHeight w:val="599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Informs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Renewal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communication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 </w:t>
            </w:r>
            <w:r>
              <w:rPr>
                <w:spacing w:val="-2"/>
                <w:sz w:val="20"/>
              </w:rPr>
              <w:t>received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71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Post-approval</w:t>
            </w:r>
          </w:p>
        </w:tc>
      </w:tr>
    </w:tbl>
    <w:p>
      <w:pPr>
        <w:spacing w:after="0"/>
        <w:rPr>
          <w:sz w:val="20"/>
        </w:rPr>
        <w:sectPr>
          <w:pgSz w:w="11910" w:h="16840"/>
          <w:pgMar w:header="978" w:footer="952" w:top="1660" w:bottom="1140" w:left="800" w:right="700"/>
        </w:sectPr>
      </w:pPr>
    </w:p>
    <w:p>
      <w:pPr>
        <w:pStyle w:val="BodyText"/>
        <w:spacing w:before="5"/>
        <w:rPr>
          <w:sz w:val="14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93" w:after="0"/>
        <w:ind w:left="2080" w:right="0" w:hanging="720"/>
        <w:jc w:val="left"/>
        <w:rPr>
          <w:b/>
          <w:sz w:val="22"/>
        </w:rPr>
      </w:pPr>
      <w:bookmarkStart w:name="Lessons Learned" w:id="19"/>
      <w:bookmarkEnd w:id="19"/>
      <w:r>
        <w:rPr>
          <w:b/>
          <w:sz w:val="22"/>
        </w:rPr>
        <w:t>Lessons</w:t>
      </w:r>
      <w:r>
        <w:rPr>
          <w:b/>
          <w:sz w:val="22"/>
        </w:rPr>
        <w:t> </w:t>
      </w:r>
      <w:r>
        <w:rPr>
          <w:b/>
          <w:spacing w:val="-2"/>
          <w:sz w:val="22"/>
        </w:rPr>
        <w:t>Learned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64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16" w:hRule="atLeast"/>
        </w:trPr>
        <w:tc>
          <w:tcPr>
            <w:tcW w:w="797" w:type="dxa"/>
          </w:tcPr>
          <w:p>
            <w:pPr>
              <w:pStyle w:val="TableParagraph"/>
              <w:spacing w:before="71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71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ind w:right="192"/>
              <w:rPr>
                <w:sz w:val="20"/>
              </w:rPr>
            </w:pPr>
            <w:r>
              <w:rPr>
                <w:sz w:val="20"/>
              </w:rPr>
              <w:t>May organize a ‘lessons learned’ meeting with internal and/or Customer project teams (refer to CS_WI_RA0273 Global Regulatory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Affairs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Standalone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Projects)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85"/>
              <w:rPr>
                <w:sz w:val="20"/>
              </w:rPr>
            </w:pPr>
            <w:r>
              <w:rPr>
                <w:sz w:val="20"/>
              </w:rPr>
              <w:t>At appropriate </w:t>
            </w:r>
            <w:r>
              <w:rPr>
                <w:spacing w:val="-2"/>
                <w:sz w:val="20"/>
              </w:rPr>
              <w:t>intervals </w:t>
            </w:r>
            <w:r>
              <w:rPr>
                <w:sz w:val="20"/>
              </w:rPr>
              <w:t>throughout the Renewal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process or at project </w:t>
            </w:r>
            <w:r>
              <w:rPr>
                <w:spacing w:val="-2"/>
                <w:sz w:val="20"/>
              </w:rPr>
              <w:t>close-out</w:t>
            </w:r>
          </w:p>
        </w:tc>
      </w:tr>
    </w:tbl>
    <w:p>
      <w:pPr>
        <w:pStyle w:val="BodyText"/>
        <w:rPr>
          <w:b/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214" w:after="0"/>
        <w:ind w:left="1360" w:right="0" w:hanging="720"/>
        <w:jc w:val="left"/>
        <w:rPr>
          <w:b/>
          <w:sz w:val="22"/>
        </w:rPr>
      </w:pPr>
      <w:bookmarkStart w:name="SUPPORTING DOCUMENTATION" w:id="20"/>
      <w:bookmarkEnd w:id="20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2" w:after="1"/>
        <w:rPr>
          <w:b/>
        </w:rPr>
      </w:pPr>
    </w:p>
    <w:tbl>
      <w:tblPr>
        <w:tblW w:w="0" w:type="auto"/>
        <w:jc w:val="left"/>
        <w:tblInd w:w="2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0"/>
        <w:gridCol w:w="6302"/>
      </w:tblGrid>
      <w:tr>
        <w:trPr>
          <w:trHeight w:val="321" w:hRule="atLeast"/>
        </w:trPr>
        <w:tc>
          <w:tcPr>
            <w:tcW w:w="3600" w:type="dxa"/>
            <w:shd w:val="clear" w:color="auto" w:fill="D9D9D9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302" w:type="dxa"/>
            <w:shd w:val="clear" w:color="auto" w:fill="D9D9D9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600" w:type="dxa"/>
            <w:shd w:val="clear" w:color="auto" w:fill="D9D9D9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302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61" w:hRule="atLeast"/>
        </w:trPr>
        <w:tc>
          <w:tcPr>
            <w:tcW w:w="3600" w:type="dxa"/>
          </w:tcPr>
          <w:p>
            <w:pPr>
              <w:pStyle w:val="TableParagraph"/>
              <w:tabs>
                <w:tab w:pos="1156" w:val="left" w:leader="none"/>
              </w:tabs>
              <w:spacing w:before="187"/>
              <w:ind w:left="614"/>
              <w:rPr>
                <w:sz w:val="22"/>
              </w:rPr>
            </w:pPr>
            <w:bookmarkStart w:name="CS_WI_RA032" w:id="21"/>
            <w:bookmarkEnd w:id="21"/>
            <w:r>
              <w:rPr/>
            </w: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CS_WI_RA032</w:t>
              </w:r>
            </w:hyperlink>
          </w:p>
        </w:tc>
        <w:tc>
          <w:tcPr>
            <w:tcW w:w="6302" w:type="dxa"/>
          </w:tcPr>
          <w:p>
            <w:pPr>
              <w:pStyle w:val="TableParagraph"/>
              <w:spacing w:line="228" w:lineRule="auto" w:before="34"/>
              <w:ind w:left="105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Preparation,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 Provision of Regulatory Affairs Deliverables</w:t>
            </w:r>
          </w:p>
        </w:tc>
      </w:tr>
      <w:tr>
        <w:trPr>
          <w:trHeight w:val="489" w:hRule="atLeast"/>
        </w:trPr>
        <w:tc>
          <w:tcPr>
            <w:tcW w:w="3600" w:type="dxa"/>
          </w:tcPr>
          <w:p>
            <w:pPr>
              <w:pStyle w:val="TableParagraph"/>
              <w:tabs>
                <w:tab w:pos="542" w:val="left" w:leader="none"/>
              </w:tabs>
              <w:spacing w:before="120"/>
              <w:ind w:left="0" w:right="816"/>
              <w:jc w:val="right"/>
              <w:rPr>
                <w:sz w:val="22"/>
              </w:rPr>
            </w:pPr>
            <w:bookmarkStart w:name="CS_WI_RA0270" w:id="22"/>
            <w:bookmarkEnd w:id="22"/>
            <w:r>
              <w:rPr/>
            </w: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CS_WI_RA0270</w:t>
              </w:r>
            </w:hyperlink>
          </w:p>
        </w:tc>
        <w:tc>
          <w:tcPr>
            <w:tcW w:w="6302" w:type="dxa"/>
          </w:tcPr>
          <w:p>
            <w:pPr>
              <w:pStyle w:val="TableParagraph"/>
              <w:spacing w:before="115"/>
              <w:ind w:left="105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Oversight</w:t>
            </w:r>
          </w:p>
        </w:tc>
      </w:tr>
      <w:tr>
        <w:trPr>
          <w:trHeight w:val="561" w:hRule="atLeast"/>
        </w:trPr>
        <w:tc>
          <w:tcPr>
            <w:tcW w:w="3600" w:type="dxa"/>
          </w:tcPr>
          <w:p>
            <w:pPr>
              <w:pStyle w:val="TableParagraph"/>
              <w:tabs>
                <w:tab w:pos="542" w:val="left" w:leader="none"/>
              </w:tabs>
              <w:spacing w:before="187"/>
              <w:ind w:left="0" w:right="816"/>
              <w:jc w:val="right"/>
              <w:rPr>
                <w:sz w:val="22"/>
              </w:rPr>
            </w:pPr>
            <w:bookmarkStart w:name="CS_WI_RA0273" w:id="23"/>
            <w:bookmarkEnd w:id="23"/>
            <w:r>
              <w:rPr/>
            </w: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CS_WI_RA0273</w:t>
              </w:r>
            </w:hyperlink>
          </w:p>
        </w:tc>
        <w:tc>
          <w:tcPr>
            <w:tcW w:w="6302" w:type="dxa"/>
          </w:tcPr>
          <w:p>
            <w:pPr>
              <w:pStyle w:val="TableParagraph"/>
              <w:spacing w:line="232" w:lineRule="auto" w:before="30"/>
              <w:ind w:left="105" w:right="219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 Standalone Projects</w:t>
            </w:r>
          </w:p>
        </w:tc>
      </w:tr>
      <w:tr>
        <w:trPr>
          <w:trHeight w:val="493" w:hRule="atLeast"/>
        </w:trPr>
        <w:tc>
          <w:tcPr>
            <w:tcW w:w="3600" w:type="dxa"/>
          </w:tcPr>
          <w:p>
            <w:pPr>
              <w:pStyle w:val="TableParagraph"/>
              <w:tabs>
                <w:tab w:pos="542" w:val="left" w:leader="none"/>
              </w:tabs>
              <w:spacing w:before="120"/>
              <w:ind w:left="0" w:right="817"/>
              <w:jc w:val="right"/>
              <w:rPr>
                <w:sz w:val="22"/>
              </w:rPr>
            </w:pPr>
            <w:bookmarkStart w:name="CS_WI_RA0262" w:id="24"/>
            <w:bookmarkEnd w:id="24"/>
            <w:r>
              <w:rPr/>
            </w: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CS_WI_RA0262</w:t>
              </w:r>
            </w:hyperlink>
          </w:p>
        </w:tc>
        <w:tc>
          <w:tcPr>
            <w:tcW w:w="6302" w:type="dxa"/>
          </w:tcPr>
          <w:p>
            <w:pPr>
              <w:pStyle w:val="TableParagraph"/>
              <w:spacing w:before="115"/>
              <w:ind w:left="105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Translation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documents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1" w:after="0"/>
        <w:ind w:left="1360" w:right="0" w:hanging="720"/>
        <w:jc w:val="left"/>
        <w:rPr>
          <w:b/>
          <w:sz w:val="22"/>
        </w:rPr>
      </w:pPr>
      <w:bookmarkStart w:name="SUPERSEDES" w:id="25"/>
      <w:bookmarkEnd w:id="25"/>
      <w:r>
        <w:rPr>
          <w:b/>
          <w:spacing w:val="-2"/>
          <w:sz w:val="22"/>
        </w:rPr>
        <w:t>SUPERSEDES</w:t>
      </w:r>
    </w:p>
    <w:p>
      <w:pPr>
        <w:pStyle w:val="BodyText"/>
        <w:spacing w:before="2"/>
        <w:rPr>
          <w:b/>
        </w:rPr>
      </w:pPr>
    </w:p>
    <w:tbl>
      <w:tblPr>
        <w:tblW w:w="0" w:type="auto"/>
        <w:jc w:val="left"/>
        <w:tblInd w:w="2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68"/>
        <w:gridCol w:w="3667"/>
        <w:gridCol w:w="3081"/>
      </w:tblGrid>
      <w:tr>
        <w:trPr>
          <w:trHeight w:val="287" w:hRule="atLeast"/>
        </w:trPr>
        <w:tc>
          <w:tcPr>
            <w:tcW w:w="316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667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3081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08" w:hRule="atLeast"/>
        </w:trPr>
        <w:tc>
          <w:tcPr>
            <w:tcW w:w="3168" w:type="dxa"/>
          </w:tcPr>
          <w:p>
            <w:pPr>
              <w:pStyle w:val="TableParagraph"/>
              <w:spacing w:before="124"/>
              <w:ind w:left="551"/>
              <w:rPr>
                <w:sz w:val="22"/>
              </w:rPr>
            </w:pPr>
            <w:bookmarkStart w:name="8.1   CS_WI_RA0274" w:id="26"/>
            <w:bookmarkEnd w:id="26"/>
            <w:r>
              <w:rPr/>
            </w:r>
            <w:r>
              <w:rPr>
                <w:b/>
                <w:sz w:val="22"/>
              </w:rPr>
              <w:t>8.1</w:t>
            </w:r>
            <w:r>
              <w:rPr>
                <w:b/>
                <w:spacing w:val="32"/>
                <w:sz w:val="22"/>
              </w:rPr>
              <w:t>  </w:t>
            </w:r>
            <w:r>
              <w:rPr>
                <w:spacing w:val="-2"/>
                <w:sz w:val="22"/>
              </w:rPr>
              <w:t>CS_WI_RA0274</w:t>
            </w:r>
          </w:p>
        </w:tc>
        <w:tc>
          <w:tcPr>
            <w:tcW w:w="3667" w:type="dxa"/>
          </w:tcPr>
          <w:p>
            <w:pPr>
              <w:pStyle w:val="TableParagraph"/>
              <w:spacing w:line="254" w:lineRule="exact" w:before="0"/>
              <w:ind w:left="105" w:right="26"/>
              <w:rPr>
                <w:sz w:val="22"/>
              </w:rPr>
            </w:pPr>
            <w:r>
              <w:rPr>
                <w:sz w:val="22"/>
              </w:rPr>
              <w:t>Global Regulatory Affairs - Marketing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Authorisation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Renewal</w:t>
            </w:r>
          </w:p>
        </w:tc>
        <w:tc>
          <w:tcPr>
            <w:tcW w:w="3081" w:type="dxa"/>
          </w:tcPr>
          <w:p>
            <w:pPr>
              <w:pStyle w:val="TableParagraph"/>
              <w:spacing w:before="129"/>
              <w:ind w:left="105"/>
              <w:rPr>
                <w:sz w:val="22"/>
              </w:rPr>
            </w:pPr>
            <w:r>
              <w:rPr>
                <w:w w:val="100"/>
                <w:sz w:val="22"/>
              </w:rPr>
              <w:t>3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1" w:after="0"/>
        <w:ind w:left="1360" w:right="0" w:hanging="720"/>
        <w:jc w:val="left"/>
        <w:rPr>
          <w:b/>
          <w:sz w:val="22"/>
        </w:rPr>
      </w:pPr>
      <w:bookmarkStart w:name="MODIFICATION FROM PREVIOUS REVISION" w:id="27"/>
      <w:bookmarkEnd w:id="27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2"/>
        <w:rPr>
          <w:b/>
        </w:rPr>
      </w:pPr>
    </w:p>
    <w:tbl>
      <w:tblPr>
        <w:tblW w:w="0" w:type="auto"/>
        <w:jc w:val="left"/>
        <w:tblInd w:w="3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46"/>
        <w:gridCol w:w="3226"/>
        <w:gridCol w:w="3341"/>
      </w:tblGrid>
      <w:tr>
        <w:trPr>
          <w:trHeight w:val="325" w:hRule="atLeast"/>
        </w:trPr>
        <w:tc>
          <w:tcPr>
            <w:tcW w:w="3346" w:type="dxa"/>
            <w:shd w:val="clear" w:color="auto" w:fill="BFBFBF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26" w:type="dxa"/>
            <w:shd w:val="clear" w:color="auto" w:fill="BFBFBF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41" w:type="dxa"/>
            <w:shd w:val="clear" w:color="auto" w:fill="BFBFBF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801" w:hRule="atLeast"/>
        </w:trPr>
        <w:tc>
          <w:tcPr>
            <w:tcW w:w="3346" w:type="dxa"/>
          </w:tcPr>
          <w:p>
            <w:pPr>
              <w:pStyle w:val="TableParagraph"/>
              <w:spacing w:line="228" w:lineRule="auto" w:before="34"/>
              <w:ind w:left="105" w:right="229"/>
              <w:jc w:val="both"/>
              <w:rPr>
                <w:sz w:val="22"/>
              </w:rPr>
            </w:pPr>
            <w:r>
              <w:rPr>
                <w:sz w:val="22"/>
              </w:rPr>
              <w:t>Replaced “renewal period of 5 years”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“period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depending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on the country”.</w:t>
            </w:r>
          </w:p>
        </w:tc>
        <w:tc>
          <w:tcPr>
            <w:tcW w:w="3226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2.5</w:t>
            </w:r>
          </w:p>
        </w:tc>
        <w:tc>
          <w:tcPr>
            <w:tcW w:w="3341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ensure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local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renewal periods are applied in each </w:t>
            </w:r>
            <w:r>
              <w:rPr>
                <w:spacing w:val="-2"/>
                <w:sz w:val="22"/>
              </w:rPr>
              <w:t>region.</w:t>
            </w:r>
          </w:p>
        </w:tc>
      </w:tr>
      <w:tr>
        <w:trPr>
          <w:trHeight w:val="796" w:hRule="atLeast"/>
        </w:trPr>
        <w:tc>
          <w:tcPr>
            <w:tcW w:w="3346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z w:val="22"/>
              </w:rPr>
              <w:t>General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review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</w:tc>
        <w:tc>
          <w:tcPr>
            <w:tcW w:w="3226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  <w:tc>
          <w:tcPr>
            <w:tcW w:w="3341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Rewording and alignment of activities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redistribution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to ensure proper sequencing</w:t>
            </w:r>
          </w:p>
        </w:tc>
      </w:tr>
      <w:tr>
        <w:trPr>
          <w:trHeight w:val="561" w:hRule="atLeast"/>
        </w:trPr>
        <w:tc>
          <w:tcPr>
            <w:tcW w:w="3346" w:type="dxa"/>
          </w:tcPr>
          <w:p>
            <w:pPr>
              <w:pStyle w:val="TableParagraph"/>
              <w:spacing w:line="232" w:lineRule="auto" w:before="30"/>
              <w:ind w:left="105"/>
              <w:rPr>
                <w:sz w:val="22"/>
              </w:rPr>
            </w:pPr>
            <w:r>
              <w:rPr>
                <w:sz w:val="22"/>
              </w:rPr>
              <w:t>Removal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role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“GRA Management GRAM”</w:t>
            </w:r>
          </w:p>
        </w:tc>
        <w:tc>
          <w:tcPr>
            <w:tcW w:w="3226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3.0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6.1</w:t>
            </w:r>
          </w:p>
        </w:tc>
        <w:tc>
          <w:tcPr>
            <w:tcW w:w="3341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For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consistency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with other RA SOPs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359" w:val="left" w:leader="none"/>
          <w:tab w:pos="1360" w:val="left" w:leader="none"/>
        </w:tabs>
        <w:spacing w:line="240" w:lineRule="auto" w:before="0" w:after="0"/>
        <w:ind w:left="1360" w:right="0" w:hanging="720"/>
        <w:jc w:val="left"/>
        <w:rPr>
          <w:b/>
          <w:sz w:val="22"/>
        </w:rPr>
      </w:pPr>
      <w:bookmarkStart w:name="APPENDICES" w:id="28"/>
      <w:bookmarkEnd w:id="28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079" w:val="left" w:leader="none"/>
          <w:tab w:pos="2080" w:val="left" w:leader="none"/>
        </w:tabs>
        <w:spacing w:line="240" w:lineRule="auto" w:before="0" w:after="0"/>
        <w:ind w:left="2080" w:right="0" w:hanging="720"/>
        <w:jc w:val="left"/>
        <w:rPr>
          <w:b/>
          <w:sz w:val="22"/>
        </w:rPr>
      </w:pPr>
      <w:bookmarkStart w:name="Appendix A:  Workflow – Marketing Author" w:id="29"/>
      <w:bookmarkEnd w:id="29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0"/>
          <w:sz w:val="22"/>
        </w:rPr>
        <w:t> </w:t>
      </w:r>
      <w:r>
        <w:rPr>
          <w:b/>
          <w:sz w:val="22"/>
        </w:rPr>
        <w:t>Workflow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–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Marketing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Authorisation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Renewals</w:t>
      </w:r>
    </w:p>
    <w:p>
      <w:pPr>
        <w:spacing w:after="0" w:line="240" w:lineRule="auto"/>
        <w:jc w:val="left"/>
        <w:rPr>
          <w:sz w:val="22"/>
        </w:rPr>
        <w:sectPr>
          <w:pgSz w:w="11910" w:h="16840"/>
          <w:pgMar w:header="978" w:footer="952" w:top="1660" w:bottom="1140" w:left="800" w:right="700"/>
        </w:sectPr>
      </w:pPr>
    </w:p>
    <w:p>
      <w:pPr>
        <w:pStyle w:val="BodyText"/>
        <w:spacing w:before="5"/>
        <w:rPr>
          <w:b/>
          <w:sz w:val="14"/>
        </w:rPr>
      </w:pPr>
    </w:p>
    <w:p>
      <w:pPr>
        <w:spacing w:before="93"/>
        <w:ind w:left="1360" w:right="0" w:firstLine="0"/>
        <w:jc w:val="left"/>
        <w:rPr>
          <w:b/>
          <w:sz w:val="22"/>
        </w:rPr>
      </w:pPr>
      <w:bookmarkStart w:name="Appendix A:  Workflow – Marketing Author" w:id="30"/>
      <w:bookmarkEnd w:id="30"/>
      <w:r>
        <w:rPr/>
      </w:r>
      <w:r>
        <w:rPr>
          <w:b/>
          <w:sz w:val="22"/>
        </w:rPr>
        <w:t>Appendix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0"/>
          <w:sz w:val="22"/>
        </w:rPr>
        <w:t> </w:t>
      </w:r>
      <w:r>
        <w:rPr>
          <w:b/>
          <w:sz w:val="22"/>
        </w:rPr>
        <w:t>Workflow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–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Marketing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Authorisation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Renewals</w:t>
      </w:r>
    </w:p>
    <w:p>
      <w:pPr>
        <w:pStyle w:val="BodyText"/>
        <w:spacing w:before="10"/>
        <w:rPr>
          <w:b/>
          <w:sz w:val="8"/>
        </w:rPr>
      </w:pPr>
      <w:r>
        <w:rPr/>
        <w:drawing>
          <wp:anchor distT="0" distB="0" distL="0" distR="0" allowOverlap="1" layoutInCell="1" locked="0" behindDoc="0" simplePos="0" relativeHeight="0">
            <wp:simplePos x="0" y="0"/>
            <wp:positionH relativeFrom="page">
              <wp:posOffset>914400</wp:posOffset>
            </wp:positionH>
            <wp:positionV relativeFrom="paragraph">
              <wp:posOffset>80590</wp:posOffset>
            </wp:positionV>
            <wp:extent cx="5695083" cy="8235315"/>
            <wp:effectExtent l="0" t="0" r="0" b="0"/>
            <wp:wrapTopAndBottom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5083" cy="8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9"/>
        <w:rPr>
          <w:b/>
          <w:sz w:val="13"/>
        </w:rPr>
      </w:pPr>
      <w:r>
        <w:rPr/>
        <w:pict>
          <v:rect style="position:absolute;margin-left:70.559998pt;margin-top:9.170946pt;width:454.07999pt;height:.48pt;mso-position-horizontal-relative:page;mso-position-vertical-relative:paragraph;z-index:-15728128;mso-wrap-distance-left:0;mso-wrap-distance-right:0" id="docshape12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74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6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6</w:t>
      </w:r>
    </w:p>
    <w:p>
      <w:pPr>
        <w:spacing w:line="244" w:lineRule="auto" w:before="0"/>
        <w:ind w:left="640" w:right="748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4"/>
          <w:sz w:val="16"/>
        </w:rPr>
        <w:t> </w:t>
      </w:r>
      <w:r>
        <w:rPr>
          <w:sz w:val="16"/>
        </w:rPr>
        <w:t>2015, 2017,</w:t>
      </w:r>
      <w:r>
        <w:rPr>
          <w:spacing w:val="-1"/>
          <w:sz w:val="16"/>
        </w:rPr>
        <w:t> </w:t>
      </w:r>
      <w:r>
        <w:rPr>
          <w:sz w:val="16"/>
        </w:rPr>
        <w:t>2019,</w:t>
      </w:r>
      <w:r>
        <w:rPr>
          <w:spacing w:val="-1"/>
          <w:sz w:val="16"/>
        </w:rPr>
        <w:t> </w:t>
      </w:r>
      <w:r>
        <w:rPr>
          <w:sz w:val="16"/>
        </w:rPr>
        <w:t>2021.</w:t>
      </w:r>
      <w:r>
        <w:rPr>
          <w:spacing w:val="-1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 to</w:t>
      </w:r>
      <w:r>
        <w:rPr>
          <w:spacing w:val="-4"/>
          <w:sz w:val="16"/>
        </w:rPr>
        <w:t> </w:t>
      </w:r>
      <w:r>
        <w:rPr>
          <w:sz w:val="16"/>
        </w:rPr>
        <w:t>IQVIA Holdings,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3"/>
          <w:footerReference w:type="default" r:id="rId14"/>
          <w:pgSz w:w="11910" w:h="16840"/>
          <w:pgMar w:header="978" w:footer="268" w:top="1660" w:bottom="460" w:left="800" w:right="70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100" w:right="5415" w:firstLine="0"/>
        <w:jc w:val="left"/>
        <w:rPr>
          <w:sz w:val="20"/>
        </w:rPr>
      </w:pPr>
      <w:bookmarkStart w:name="255121864_8_0_sgTemplateFile.pdf" w:id="31"/>
      <w:bookmarkEnd w:id="31"/>
      <w:r>
        <w:rPr/>
      </w: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Lobo,</w:t>
      </w:r>
      <w:r>
        <w:rPr>
          <w:spacing w:val="-10"/>
          <w:sz w:val="20"/>
        </w:rPr>
        <w:t> </w:t>
      </w:r>
      <w:r>
        <w:rPr>
          <w:sz w:val="20"/>
        </w:rPr>
        <w:t>Zena</w:t>
      </w:r>
      <w:r>
        <w:rPr>
          <w:spacing w:val="37"/>
          <w:sz w:val="20"/>
        </w:rPr>
        <w:t> </w:t>
      </w:r>
      <w:r>
        <w:rPr>
          <w:sz w:val="20"/>
        </w:rPr>
        <w:t>(q833472)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00" w:right="319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08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07:39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1"/>
        <w:ind w:left="15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00" w:right="541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Corley,</w:t>
      </w:r>
      <w:r>
        <w:rPr>
          <w:spacing w:val="-11"/>
          <w:sz w:val="20"/>
        </w:rPr>
        <w:t> </w:t>
      </w:r>
      <w:r>
        <w:rPr>
          <w:sz w:val="20"/>
        </w:rPr>
        <w:t>Helen</w:t>
      </w:r>
      <w:r>
        <w:rPr>
          <w:spacing w:val="37"/>
          <w:sz w:val="20"/>
        </w:rPr>
        <w:t> </w:t>
      </w:r>
      <w:r>
        <w:rPr>
          <w:sz w:val="20"/>
        </w:rPr>
        <w:t>(q730385)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00" w:right="319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08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07:54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1"/>
        <w:ind w:left="15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00" w:right="500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Glizer,</w:t>
      </w:r>
      <w:r>
        <w:rPr>
          <w:spacing w:val="-10"/>
          <w:sz w:val="20"/>
        </w:rPr>
        <w:t> </w:t>
      </w:r>
      <w:r>
        <w:rPr>
          <w:sz w:val="20"/>
        </w:rPr>
        <w:t>Veronica</w:t>
      </w:r>
      <w:r>
        <w:rPr>
          <w:spacing w:val="37"/>
          <w:sz w:val="20"/>
        </w:rPr>
        <w:t> </w:t>
      </w:r>
      <w:r>
        <w:rPr>
          <w:sz w:val="20"/>
        </w:rPr>
        <w:t>(q735279)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00" w:right="319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08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07:56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4"/>
          <w:sz w:val="20"/>
        </w:rPr>
        <w:t> </w:t>
      </w:r>
      <w:r>
        <w:rPr>
          <w:sz w:val="20"/>
        </w:rPr>
        <w:t>Signing</w:t>
      </w:r>
      <w:r>
        <w:rPr>
          <w:spacing w:val="-2"/>
          <w:sz w:val="20"/>
        </w:rPr>
        <w:t> </w:t>
      </w:r>
      <w:r>
        <w:rPr>
          <w:sz w:val="20"/>
        </w:rPr>
        <w:t>this</w:t>
      </w:r>
      <w:r>
        <w:rPr>
          <w:spacing w:val="-2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3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1"/>
        <w:ind w:left="15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00" w:right="500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Galea,</w:t>
      </w:r>
      <w:r>
        <w:rPr>
          <w:spacing w:val="-10"/>
          <w:sz w:val="20"/>
        </w:rPr>
        <w:t> </w:t>
      </w:r>
      <w:r>
        <w:rPr>
          <w:sz w:val="20"/>
        </w:rPr>
        <w:t>Claudine</w:t>
      </w:r>
      <w:r>
        <w:rPr>
          <w:spacing w:val="36"/>
          <w:sz w:val="20"/>
        </w:rPr>
        <w:t> </w:t>
      </w:r>
      <w:r>
        <w:rPr>
          <w:sz w:val="20"/>
        </w:rPr>
        <w:t>(q769301)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100" w:right="319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08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08:57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2"/>
        <w:ind w:left="15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100" w:right="541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Kemp,</w:t>
      </w:r>
      <w:r>
        <w:rPr>
          <w:spacing w:val="-10"/>
          <w:sz w:val="20"/>
        </w:rPr>
        <w:t> </w:t>
      </w:r>
      <w:r>
        <w:rPr>
          <w:sz w:val="20"/>
        </w:rPr>
        <w:t>Jaco</w:t>
      </w:r>
      <w:r>
        <w:rPr>
          <w:spacing w:val="36"/>
          <w:sz w:val="20"/>
        </w:rPr>
        <w:t> </w:t>
      </w:r>
      <w:r>
        <w:rPr>
          <w:sz w:val="20"/>
        </w:rPr>
        <w:t>(q608126)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100" w:right="319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08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09:14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2"/>
        <w:ind w:left="15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after="0"/>
        <w:jc w:val="left"/>
        <w:rPr>
          <w:sz w:val="20"/>
        </w:rPr>
        <w:sectPr>
          <w:headerReference w:type="default" r:id="rId16"/>
          <w:footerReference w:type="default" r:id="rId17"/>
          <w:pgSz w:w="12240" w:h="15840"/>
          <w:pgMar w:header="1448" w:footer="268" w:top="2840" w:bottom="460" w:left="1540" w:right="172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100" w:right="5005" w:firstLine="0"/>
        <w:jc w:val="left"/>
        <w:rPr>
          <w:sz w:val="20"/>
        </w:rPr>
      </w:pPr>
      <w:bookmarkStart w:name="255121864_3_5_sgTemplateFile.pdf" w:id="32"/>
      <w:bookmarkEnd w:id="32"/>
      <w:r>
        <w:rPr/>
      </w: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Lewicky,</w:t>
      </w:r>
      <w:r>
        <w:rPr>
          <w:spacing w:val="-11"/>
          <w:sz w:val="20"/>
        </w:rPr>
        <w:t> </w:t>
      </w:r>
      <w:r>
        <w:rPr>
          <w:sz w:val="20"/>
        </w:rPr>
        <w:t>Tamara</w:t>
      </w:r>
      <w:r>
        <w:rPr>
          <w:spacing w:val="37"/>
          <w:sz w:val="20"/>
        </w:rPr>
        <w:t> </w:t>
      </w:r>
      <w:r>
        <w:rPr>
          <w:sz w:val="20"/>
        </w:rPr>
        <w:t>(q730348)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00" w:right="319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08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10:56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</w:t>
      </w:r>
      <w:r>
        <w:rPr>
          <w:spacing w:val="-2"/>
          <w:sz w:val="20"/>
        </w:rPr>
        <w:t> </w:t>
      </w:r>
      <w:r>
        <w:rPr>
          <w:sz w:val="20"/>
        </w:rPr>
        <w:t>Signing</w:t>
      </w:r>
      <w:r>
        <w:rPr>
          <w:spacing w:val="-1"/>
          <w:sz w:val="20"/>
        </w:rPr>
        <w:t> </w:t>
      </w:r>
      <w:r>
        <w:rPr>
          <w:sz w:val="20"/>
        </w:rPr>
        <w:t>this</w:t>
      </w:r>
      <w:r>
        <w:rPr>
          <w:spacing w:val="-1"/>
          <w:sz w:val="20"/>
        </w:rPr>
        <w:t> </w:t>
      </w:r>
      <w:r>
        <w:rPr>
          <w:sz w:val="20"/>
        </w:rPr>
        <w:t>Document</w:t>
      </w:r>
      <w:r>
        <w:rPr>
          <w:spacing w:val="-2"/>
          <w:sz w:val="20"/>
        </w:rPr>
        <w:t> </w:t>
      </w:r>
      <w:r>
        <w:rPr>
          <w:sz w:val="20"/>
        </w:rPr>
        <w:t>Indicates</w:t>
      </w:r>
      <w:r>
        <w:rPr>
          <w:spacing w:val="-1"/>
          <w:sz w:val="20"/>
        </w:rPr>
        <w:t> </w:t>
      </w:r>
      <w:r>
        <w:rPr>
          <w:sz w:val="20"/>
        </w:rPr>
        <w:t>My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Approval</w:t>
      </w:r>
    </w:p>
    <w:p>
      <w:pPr>
        <w:spacing w:before="1"/>
        <w:ind w:left="15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00" w:right="541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Balani,</w:t>
      </w:r>
      <w:r>
        <w:rPr>
          <w:spacing w:val="-10"/>
          <w:sz w:val="20"/>
        </w:rPr>
        <w:t> </w:t>
      </w:r>
      <w:r>
        <w:rPr>
          <w:sz w:val="20"/>
        </w:rPr>
        <w:t>Tarun</w:t>
      </w:r>
      <w:r>
        <w:rPr>
          <w:spacing w:val="37"/>
          <w:sz w:val="20"/>
        </w:rPr>
        <w:t> </w:t>
      </w:r>
      <w:r>
        <w:rPr>
          <w:sz w:val="20"/>
        </w:rPr>
        <w:t>(q830700)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00" w:right="319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09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01:25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15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100" w:right="500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Rahman,</w:t>
      </w:r>
      <w:r>
        <w:rPr>
          <w:spacing w:val="-10"/>
          <w:sz w:val="20"/>
        </w:rPr>
        <w:t> </w:t>
      </w:r>
      <w:r>
        <w:rPr>
          <w:sz w:val="20"/>
        </w:rPr>
        <w:t>Maggie</w:t>
      </w:r>
      <w:r>
        <w:rPr>
          <w:spacing w:val="37"/>
          <w:sz w:val="20"/>
        </w:rPr>
        <w:t> </w:t>
      </w:r>
      <w:r>
        <w:rPr>
          <w:sz w:val="20"/>
        </w:rPr>
        <w:t>(q1033930)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100" w:right="3193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10</w:t>
      </w:r>
      <w:r>
        <w:rPr>
          <w:spacing w:val="-5"/>
          <w:sz w:val="20"/>
        </w:rPr>
        <w:t> </w:t>
      </w:r>
      <w:r>
        <w:rPr>
          <w:sz w:val="20"/>
        </w:rPr>
        <w:t>June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01:15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15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pgSz w:w="12240" w:h="15840"/>
      <w:pgMar w:header="1448" w:footer="268" w:top="2840" w:bottom="460" w:left="1540" w:right="1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84.286011pt;width:454.07999pt;height:.48pt;mso-position-horizontal-relative:page;mso-position-vertical-relative:page;z-index:-16182784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84.996216pt;width:449.35pt;height:48.9pt;mso-position-horizontal-relative:page;mso-position-vertical-relative:page;z-index:-16182272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12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6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2015,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2017,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2021.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 to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IQVIA Holdings, Inc. and its subsidiaries. Unauthorized use, disclosure or reproduction is strictly prohibited.</w:t>
                </w:r>
              </w:p>
              <w:p>
                <w:pPr>
                  <w:spacing w:before="101"/>
                  <w:ind w:left="687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CS_WI_RA0274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01-Jul-2021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84.286011pt;width:454.07999pt;height:.48pt;mso-position-horizontal-relative:page;mso-position-vertical-relative:page;z-index:-16179712" id="docshape6" filled="true" fillcolor="#000000" stroked="false">
          <v:fill type="solid"/>
          <w10:wrap type="none"/>
        </v:rect>
      </w:pict>
    </w:r>
    <w:r>
      <w:rPr/>
      <w:pict>
        <v:shape style="position:absolute;margin-left:71pt;margin-top:784.996216pt;width:449.35pt;height:48.9pt;mso-position-horizontal-relative:page;mso-position-vertical-relative:page;z-index:-16179200" type="#_x0000_t202" id="docshape7" filled="false" stroked="false">
          <v:textbox inset="0,0,0,0">
            <w:txbxContent>
              <w:p>
                <w:pPr>
                  <w:spacing w:line="183" w:lineRule="exact" w:before="13"/>
                  <w:ind w:left="4124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6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2015, 2017,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2021.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 to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IQVIA Holdings, Inc. and its subsidiaries. Unauthorized use, disclosure or reproduction is strictly prohibited.</w:t>
                </w:r>
              </w:p>
              <w:p>
                <w:pPr>
                  <w:spacing w:before="101"/>
                  <w:ind w:left="687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CS_WI_RA0274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01-Jul-2021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4.390503pt;margin-top:817.461975pt;width:386.5pt;height:16.45pt;mso-position-horizontal-relative:page;mso-position-vertical-relative:page;z-index:-16176640" type="#_x0000_t202" id="docshape1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CS_WI_RA0274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01-Jul-2021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2.753998pt;margin-top:767.575989pt;width:386.5pt;height:16.45pt;mso-position-horizontal-relative:page;mso-position-vertical-relative:page;z-index:-16175104" type="#_x0000_t202" id="docshape14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CS_WI_RA0274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1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01-Jul-2021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7134720">
          <wp:simplePos x="0" y="0"/>
          <wp:positionH relativeFrom="page">
            <wp:posOffset>719601</wp:posOffset>
          </wp:positionH>
          <wp:positionV relativeFrom="page">
            <wp:posOffset>739528</wp:posOffset>
          </wp:positionV>
          <wp:extent cx="803412" cy="158789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03412" cy="1587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pict>
        <v:shape style="position:absolute;margin-left:135.800003pt;margin-top:47.92083pt;width:168.35pt;height:25.05pt;mso-position-horizontal-relative:page;mso-position-vertical-relative:page;z-index:-16181248" type="#_x0000_t202" id="docshape3" filled="false" stroked="false">
          <v:textbox inset="0,0,0,0">
            <w:txbxContent>
              <w:p>
                <w:pPr>
                  <w:spacing w:before="15"/>
                  <w:ind w:left="20" w:right="0" w:firstLine="0"/>
                  <w:jc w:val="left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Document</w:t>
                </w:r>
                <w:r>
                  <w:rPr>
                    <w:b/>
                    <w:spacing w:val="-8"/>
                    <w:sz w:val="20"/>
                  </w:rPr>
                  <w:t> </w:t>
                </w:r>
                <w:r>
                  <w:rPr>
                    <w:b/>
                    <w:spacing w:val="-2"/>
                    <w:sz w:val="20"/>
                  </w:rPr>
                  <w:t>Title:</w:t>
                </w:r>
              </w:p>
              <w:p>
                <w:pPr>
                  <w:spacing w:before="5"/>
                  <w:ind w:left="20" w:right="0" w:firstLine="0"/>
                  <w:jc w:val="left"/>
                  <w:rPr>
                    <w:sz w:val="20"/>
                  </w:rPr>
                </w:pPr>
                <w:r>
                  <w:rPr>
                    <w:sz w:val="20"/>
                  </w:rPr>
                  <w:t>Global</w:t>
                </w:r>
                <w:r>
                  <w:rPr>
                    <w:spacing w:val="-6"/>
                    <w:sz w:val="20"/>
                  </w:rPr>
                  <w:t> </w:t>
                </w:r>
                <w:r>
                  <w:rPr>
                    <w:sz w:val="20"/>
                  </w:rPr>
                  <w:t>Regulatory</w:t>
                </w:r>
                <w:r>
                  <w:rPr>
                    <w:spacing w:val="-7"/>
                    <w:sz w:val="20"/>
                  </w:rPr>
                  <w:t> </w:t>
                </w:r>
                <w:r>
                  <w:rPr>
                    <w:sz w:val="20"/>
                  </w:rPr>
                  <w:t>Affairs</w:t>
                </w:r>
                <w:r>
                  <w:rPr>
                    <w:spacing w:val="-4"/>
                    <w:sz w:val="20"/>
                  </w:rPr>
                  <w:t> </w:t>
                </w:r>
                <w:r>
                  <w:rPr>
                    <w:sz w:val="20"/>
                  </w:rPr>
                  <w:t>–</w:t>
                </w:r>
                <w:r>
                  <w:rPr>
                    <w:spacing w:val="-5"/>
                    <w:sz w:val="20"/>
                  </w:rPr>
                  <w:t> </w:t>
                </w:r>
                <w:r>
                  <w:rPr>
                    <w:spacing w:val="-2"/>
                    <w:sz w:val="20"/>
                  </w:rPr>
                  <w:t>Marketing</w:t>
                </w:r>
              </w:p>
            </w:txbxContent>
          </v:textbox>
          <w10:wrap type="none"/>
        </v:shape>
      </w:pict>
    </w:r>
    <w:r>
      <w:rPr/>
      <w:pict>
        <v:shape style="position:absolute;margin-left:351.799988pt;margin-top:47.92083pt;width:159.85pt;height:25.05pt;mso-position-horizontal-relative:page;mso-position-vertical-relative:page;z-index:-16180736" type="#_x0000_t202" id="docshape4" filled="false" stroked="false">
          <v:textbox inset="0,0,0,0">
            <w:txbxContent>
              <w:p>
                <w:pPr>
                  <w:spacing w:before="15"/>
                  <w:ind w:left="20" w:right="0" w:firstLine="0"/>
                  <w:jc w:val="left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Document</w:t>
                </w:r>
                <w:r>
                  <w:rPr>
                    <w:b/>
                    <w:spacing w:val="-7"/>
                    <w:sz w:val="20"/>
                  </w:rPr>
                  <w:t> </w:t>
                </w:r>
                <w:r>
                  <w:rPr>
                    <w:b/>
                    <w:sz w:val="20"/>
                  </w:rPr>
                  <w:t>Number</w:t>
                </w:r>
                <w:r>
                  <w:rPr>
                    <w:b/>
                    <w:spacing w:val="-7"/>
                    <w:sz w:val="20"/>
                  </w:rPr>
                  <w:t> </w:t>
                </w:r>
                <w:r>
                  <w:rPr>
                    <w:b/>
                    <w:sz w:val="20"/>
                  </w:rPr>
                  <w:t>and</w:t>
                </w:r>
                <w:r>
                  <w:rPr>
                    <w:b/>
                    <w:spacing w:val="-6"/>
                    <w:sz w:val="20"/>
                  </w:rPr>
                  <w:t> </w:t>
                </w:r>
                <w:r>
                  <w:rPr>
                    <w:b/>
                    <w:spacing w:val="-2"/>
                    <w:sz w:val="20"/>
                  </w:rPr>
                  <w:t>Revision:</w:t>
                </w:r>
              </w:p>
              <w:p>
                <w:pPr>
                  <w:spacing w:before="5"/>
                  <w:ind w:left="20" w:right="0" w:firstLine="0"/>
                  <w:jc w:val="left"/>
                  <w:rPr>
                    <w:sz w:val="20"/>
                  </w:rPr>
                </w:pPr>
                <w:r>
                  <w:rPr>
                    <w:sz w:val="20"/>
                  </w:rPr>
                  <w:t>CS_WI_RA0274</w:t>
                </w:r>
                <w:r>
                  <w:rPr>
                    <w:spacing w:val="-8"/>
                    <w:sz w:val="20"/>
                  </w:rPr>
                  <w:t> </w:t>
                </w:r>
                <w:r>
                  <w:rPr>
                    <w:sz w:val="20"/>
                  </w:rPr>
                  <w:t>Revision</w:t>
                </w:r>
                <w:r>
                  <w:rPr>
                    <w:spacing w:val="-8"/>
                    <w:sz w:val="20"/>
                  </w:rPr>
                  <w:t> </w:t>
                </w:r>
                <w:r>
                  <w:rPr>
                    <w:spacing w:val="-10"/>
                    <w:sz w:val="20"/>
                  </w:rPr>
                  <w:t>4</w:t>
                </w:r>
              </w:p>
            </w:txbxContent>
          </v:textbox>
          <w10:wrap type="none"/>
        </v:shape>
      </w:pict>
    </w:r>
    <w:r>
      <w:rPr/>
      <w:pict>
        <v:shape style="position:absolute;margin-left:47.720001pt;margin-top:70.960831pt;width:494.25pt;height:13.35pt;mso-position-horizontal-relative:page;mso-position-vertical-relative:page;z-index:-16180224" type="#_x0000_t202" id="docshape5" filled="false" stroked="false">
          <v:textbox inset="0,0,0,0">
            <w:txbxContent>
              <w:p>
                <w:pPr>
                  <w:tabs>
                    <w:tab w:pos="1781" w:val="left" w:leader="none"/>
                    <w:tab w:pos="9864" w:val="left" w:leader="none"/>
                  </w:tabs>
                  <w:spacing w:before="15"/>
                  <w:ind w:left="20" w:right="0" w:firstLine="0"/>
                  <w:jc w:val="left"/>
                  <w:rPr>
                    <w:sz w:val="20"/>
                  </w:rPr>
                </w:pPr>
                <w:r>
                  <w:rPr>
                    <w:rFonts w:ascii="Times New Roman"/>
                    <w:sz w:val="20"/>
                    <w:u w:val="single"/>
                  </w:rPr>
                  <w:tab/>
                </w:r>
                <w:r>
                  <w:rPr>
                    <w:sz w:val="20"/>
                    <w:u w:val="single"/>
                  </w:rPr>
                  <w:t>Authorisation</w:t>
                </w:r>
                <w:r>
                  <w:rPr>
                    <w:spacing w:val="-12"/>
                    <w:sz w:val="20"/>
                    <w:u w:val="single"/>
                  </w:rPr>
                  <w:t> </w:t>
                </w:r>
                <w:r>
                  <w:rPr>
                    <w:spacing w:val="-2"/>
                    <w:sz w:val="20"/>
                    <w:u w:val="single"/>
                  </w:rPr>
                  <w:t>Renewal</w:t>
                </w:r>
                <w:r>
                  <w:rPr>
                    <w:sz w:val="20"/>
                    <w:u w:val="single"/>
                  </w:rPr>
                  <w:tab/>
                </w:r>
              </w:p>
            </w:txbxContent>
          </v:textbox>
          <w10:wrap type="none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7137792">
          <wp:simplePos x="0" y="0"/>
          <wp:positionH relativeFrom="page">
            <wp:posOffset>719601</wp:posOffset>
          </wp:positionH>
          <wp:positionV relativeFrom="page">
            <wp:posOffset>739528</wp:posOffset>
          </wp:positionV>
          <wp:extent cx="803412" cy="158789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03412" cy="1587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pict>
        <v:shape style="position:absolute;margin-left:135.800003pt;margin-top:47.92083pt;width:168.35pt;height:25.05pt;mso-position-horizontal-relative:page;mso-position-vertical-relative:page;z-index:-16178176" type="#_x0000_t202" id="docshape8" filled="false" stroked="false">
          <v:textbox inset="0,0,0,0">
            <w:txbxContent>
              <w:p>
                <w:pPr>
                  <w:spacing w:before="15"/>
                  <w:ind w:left="20" w:right="0" w:firstLine="0"/>
                  <w:jc w:val="left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Document</w:t>
                </w:r>
                <w:r>
                  <w:rPr>
                    <w:b/>
                    <w:spacing w:val="-8"/>
                    <w:sz w:val="20"/>
                  </w:rPr>
                  <w:t> </w:t>
                </w:r>
                <w:r>
                  <w:rPr>
                    <w:b/>
                    <w:spacing w:val="-2"/>
                    <w:sz w:val="20"/>
                  </w:rPr>
                  <w:t>Title:</w:t>
                </w:r>
              </w:p>
              <w:p>
                <w:pPr>
                  <w:spacing w:before="5"/>
                  <w:ind w:left="20" w:right="0" w:firstLine="0"/>
                  <w:jc w:val="left"/>
                  <w:rPr>
                    <w:sz w:val="20"/>
                  </w:rPr>
                </w:pPr>
                <w:r>
                  <w:rPr>
                    <w:sz w:val="20"/>
                  </w:rPr>
                  <w:t>Global</w:t>
                </w:r>
                <w:r>
                  <w:rPr>
                    <w:spacing w:val="-6"/>
                    <w:sz w:val="20"/>
                  </w:rPr>
                  <w:t> </w:t>
                </w:r>
                <w:r>
                  <w:rPr>
                    <w:sz w:val="20"/>
                  </w:rPr>
                  <w:t>Regulatory</w:t>
                </w:r>
                <w:r>
                  <w:rPr>
                    <w:spacing w:val="-7"/>
                    <w:sz w:val="20"/>
                  </w:rPr>
                  <w:t> </w:t>
                </w:r>
                <w:r>
                  <w:rPr>
                    <w:sz w:val="20"/>
                  </w:rPr>
                  <w:t>Affairs</w:t>
                </w:r>
                <w:r>
                  <w:rPr>
                    <w:spacing w:val="-4"/>
                    <w:sz w:val="20"/>
                  </w:rPr>
                  <w:t> </w:t>
                </w:r>
                <w:r>
                  <w:rPr>
                    <w:sz w:val="20"/>
                  </w:rPr>
                  <w:t>–</w:t>
                </w:r>
                <w:r>
                  <w:rPr>
                    <w:spacing w:val="-5"/>
                    <w:sz w:val="20"/>
                  </w:rPr>
                  <w:t> </w:t>
                </w:r>
                <w:r>
                  <w:rPr>
                    <w:spacing w:val="-2"/>
                    <w:sz w:val="20"/>
                  </w:rPr>
                  <w:t>Marketing</w:t>
                </w:r>
              </w:p>
            </w:txbxContent>
          </v:textbox>
          <w10:wrap type="none"/>
        </v:shape>
      </w:pict>
    </w:r>
    <w:r>
      <w:rPr/>
      <w:pict>
        <v:shape style="position:absolute;margin-left:351.799988pt;margin-top:47.92083pt;width:159.85pt;height:25.05pt;mso-position-horizontal-relative:page;mso-position-vertical-relative:page;z-index:-16177664" type="#_x0000_t202" id="docshape9" filled="false" stroked="false">
          <v:textbox inset="0,0,0,0">
            <w:txbxContent>
              <w:p>
                <w:pPr>
                  <w:spacing w:before="15"/>
                  <w:ind w:left="20" w:right="0" w:firstLine="0"/>
                  <w:jc w:val="left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Document</w:t>
                </w:r>
                <w:r>
                  <w:rPr>
                    <w:b/>
                    <w:spacing w:val="-7"/>
                    <w:sz w:val="20"/>
                  </w:rPr>
                  <w:t> </w:t>
                </w:r>
                <w:r>
                  <w:rPr>
                    <w:b/>
                    <w:sz w:val="20"/>
                  </w:rPr>
                  <w:t>Number</w:t>
                </w:r>
                <w:r>
                  <w:rPr>
                    <w:b/>
                    <w:spacing w:val="-7"/>
                    <w:sz w:val="20"/>
                  </w:rPr>
                  <w:t> </w:t>
                </w:r>
                <w:r>
                  <w:rPr>
                    <w:b/>
                    <w:sz w:val="20"/>
                  </w:rPr>
                  <w:t>and</w:t>
                </w:r>
                <w:r>
                  <w:rPr>
                    <w:b/>
                    <w:spacing w:val="-6"/>
                    <w:sz w:val="20"/>
                  </w:rPr>
                  <w:t> </w:t>
                </w:r>
                <w:r>
                  <w:rPr>
                    <w:b/>
                    <w:spacing w:val="-2"/>
                    <w:sz w:val="20"/>
                  </w:rPr>
                  <w:t>Revision:</w:t>
                </w:r>
              </w:p>
              <w:p>
                <w:pPr>
                  <w:spacing w:before="5"/>
                  <w:ind w:left="20" w:right="0" w:firstLine="0"/>
                  <w:jc w:val="left"/>
                  <w:rPr>
                    <w:sz w:val="20"/>
                  </w:rPr>
                </w:pPr>
                <w:r>
                  <w:rPr>
                    <w:sz w:val="20"/>
                  </w:rPr>
                  <w:t>CS_WI_RA0274</w:t>
                </w:r>
                <w:r>
                  <w:rPr>
                    <w:spacing w:val="-8"/>
                    <w:sz w:val="20"/>
                  </w:rPr>
                  <w:t> </w:t>
                </w:r>
                <w:r>
                  <w:rPr>
                    <w:sz w:val="20"/>
                  </w:rPr>
                  <w:t>Revision</w:t>
                </w:r>
                <w:r>
                  <w:rPr>
                    <w:spacing w:val="-8"/>
                    <w:sz w:val="20"/>
                  </w:rPr>
                  <w:t> </w:t>
                </w:r>
                <w:r>
                  <w:rPr>
                    <w:spacing w:val="-10"/>
                    <w:sz w:val="20"/>
                  </w:rPr>
                  <w:t>4</w:t>
                </w:r>
              </w:p>
            </w:txbxContent>
          </v:textbox>
          <w10:wrap type="none"/>
        </v:shape>
      </w:pict>
    </w:r>
    <w:r>
      <w:rPr/>
      <w:pict>
        <v:shape style="position:absolute;margin-left:47.720001pt;margin-top:70.960831pt;width:494.25pt;height:13.35pt;mso-position-horizontal-relative:page;mso-position-vertical-relative:page;z-index:-16177152" type="#_x0000_t202" id="docshape10" filled="false" stroked="false">
          <v:textbox inset="0,0,0,0">
            <w:txbxContent>
              <w:p>
                <w:pPr>
                  <w:tabs>
                    <w:tab w:pos="1781" w:val="left" w:leader="none"/>
                    <w:tab w:pos="9864" w:val="left" w:leader="none"/>
                  </w:tabs>
                  <w:spacing w:before="15"/>
                  <w:ind w:left="20" w:right="0" w:firstLine="0"/>
                  <w:jc w:val="left"/>
                  <w:rPr>
                    <w:sz w:val="20"/>
                  </w:rPr>
                </w:pPr>
                <w:r>
                  <w:rPr>
                    <w:rFonts w:ascii="Times New Roman"/>
                    <w:sz w:val="20"/>
                    <w:u w:val="single"/>
                  </w:rPr>
                  <w:tab/>
                </w:r>
                <w:r>
                  <w:rPr>
                    <w:sz w:val="20"/>
                    <w:u w:val="single"/>
                  </w:rPr>
                  <w:t>Authorisation</w:t>
                </w:r>
                <w:r>
                  <w:rPr>
                    <w:spacing w:val="-12"/>
                    <w:sz w:val="20"/>
                    <w:u w:val="single"/>
                  </w:rPr>
                  <w:t> </w:t>
                </w:r>
                <w:r>
                  <w:rPr>
                    <w:spacing w:val="-2"/>
                    <w:sz w:val="20"/>
                    <w:u w:val="single"/>
                  </w:rPr>
                  <w:t>Renewal</w:t>
                </w:r>
                <w:r>
                  <w:rPr>
                    <w:sz w:val="20"/>
                    <w:u w:val="single"/>
                  </w:rPr>
                  <w:tab/>
                </w:r>
              </w:p>
            </w:txbxContent>
          </v:textbox>
          <w10:wrap type="none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7140352">
          <wp:simplePos x="0" y="0"/>
          <wp:positionH relativeFrom="page">
            <wp:posOffset>1780794</wp:posOffset>
          </wp:positionH>
          <wp:positionV relativeFrom="page">
            <wp:posOffset>1070610</wp:posOffset>
          </wp:positionV>
          <wp:extent cx="19812" cy="9905"/>
          <wp:effectExtent l="0" t="0" r="0" b="0"/>
          <wp:wrapNone/>
          <wp:docPr id="9" name="image3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image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812" cy="9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pict>
        <v:shape style="position:absolute;margin-left:72.980003pt;margin-top:71.424278pt;width:465.9pt;height:71.95pt;mso-position-horizontal-relative:page;mso-position-vertical-relative:page;z-index:-16175616" type="#_x0000_t202" id="docshape13" filled="false" stroked="false">
          <v:textbox inset="0,0,0,0">
            <w:txbxContent>
              <w:p>
                <w:pPr>
                  <w:spacing w:line="321" w:lineRule="exact" w:before="10"/>
                  <w:ind w:left="47" w:right="14" w:firstLine="0"/>
                  <w:jc w:val="center"/>
                  <w:rPr>
                    <w:sz w:val="28"/>
                  </w:rPr>
                </w:pPr>
                <w:r>
                  <w:rPr>
                    <w:sz w:val="28"/>
                  </w:rPr>
                  <w:t>Standard</w:t>
                </w:r>
                <w:r>
                  <w:rPr>
                    <w:spacing w:val="-13"/>
                    <w:sz w:val="28"/>
                  </w:rPr>
                  <w:t> </w:t>
                </w:r>
                <w:r>
                  <w:rPr>
                    <w:sz w:val="28"/>
                  </w:rPr>
                  <w:t>Operating</w:t>
                </w:r>
                <w:r>
                  <w:rPr>
                    <w:spacing w:val="-12"/>
                    <w:sz w:val="28"/>
                  </w:rPr>
                  <w:t> </w:t>
                </w:r>
                <w:r>
                  <w:rPr>
                    <w:sz w:val="28"/>
                  </w:rPr>
                  <w:t>Procedure</w:t>
                </w:r>
                <w:r>
                  <w:rPr>
                    <w:spacing w:val="-12"/>
                    <w:sz w:val="28"/>
                  </w:rPr>
                  <w:t> </w:t>
                </w:r>
                <w:r>
                  <w:rPr>
                    <w:sz w:val="28"/>
                  </w:rPr>
                  <w:t>Approval</w:t>
                </w:r>
                <w:r>
                  <w:rPr>
                    <w:spacing w:val="-12"/>
                    <w:sz w:val="28"/>
                  </w:rPr>
                  <w:t> </w:t>
                </w:r>
                <w:r>
                  <w:rPr>
                    <w:spacing w:val="-2"/>
                    <w:sz w:val="28"/>
                  </w:rPr>
                  <w:t>Signature(s)</w:t>
                </w:r>
              </w:p>
              <w:p>
                <w:pPr>
                  <w:pStyle w:val="BodyText"/>
                  <w:spacing w:line="252" w:lineRule="exact"/>
                  <w:ind w:left="47" w:right="47"/>
                  <w:jc w:val="center"/>
                </w:pPr>
                <w:r>
                  <w:rPr/>
                  <w:t>This</w:t>
                </w:r>
                <w:r>
                  <w:rPr>
                    <w:spacing w:val="-6"/>
                  </w:rPr>
                  <w:t> </w:t>
                </w:r>
                <w:r>
                  <w:rPr/>
                  <w:t>is</w:t>
                </w:r>
                <w:r>
                  <w:rPr>
                    <w:spacing w:val="-6"/>
                  </w:rPr>
                  <w:t> </w:t>
                </w:r>
                <w:r>
                  <w:rPr/>
                  <w:t>a</w:t>
                </w:r>
                <w:r>
                  <w:rPr>
                    <w:spacing w:val="-7"/>
                  </w:rPr>
                  <w:t> </w:t>
                </w:r>
                <w:r>
                  <w:rPr/>
                  <w:t>representation</w:t>
                </w:r>
                <w:r>
                  <w:rPr>
                    <w:spacing w:val="-7"/>
                  </w:rPr>
                  <w:t> </w:t>
                </w:r>
                <w:r>
                  <w:rPr/>
                  <w:t>of</w:t>
                </w:r>
                <w:r>
                  <w:rPr>
                    <w:spacing w:val="-5"/>
                  </w:rPr>
                  <w:t> </w:t>
                </w:r>
                <w:r>
                  <w:rPr/>
                  <w:t>an</w:t>
                </w:r>
                <w:r>
                  <w:rPr>
                    <w:spacing w:val="-6"/>
                  </w:rPr>
                  <w:t> </w:t>
                </w:r>
                <w:r>
                  <w:rPr/>
                  <w:t>electronic</w:t>
                </w:r>
                <w:r>
                  <w:rPr>
                    <w:spacing w:val="-6"/>
                  </w:rPr>
                  <w:t> </w:t>
                </w:r>
                <w:r>
                  <w:rPr/>
                  <w:t>record</w:t>
                </w:r>
                <w:r>
                  <w:rPr>
                    <w:spacing w:val="-6"/>
                  </w:rPr>
                  <w:t> </w:t>
                </w:r>
                <w:r>
                  <w:rPr/>
                  <w:t>that</w:t>
                </w:r>
                <w:r>
                  <w:rPr>
                    <w:spacing w:val="-6"/>
                  </w:rPr>
                  <w:t> </w:t>
                </w:r>
                <w:r>
                  <w:rPr/>
                  <w:t>was</w:t>
                </w:r>
                <w:r>
                  <w:rPr>
                    <w:spacing w:val="-5"/>
                  </w:rPr>
                  <w:t> </w:t>
                </w:r>
                <w:r>
                  <w:rPr/>
                  <w:t>signed</w:t>
                </w:r>
                <w:r>
                  <w:rPr>
                    <w:spacing w:val="-6"/>
                  </w:rPr>
                  <w:t> </w:t>
                </w:r>
                <w:r>
                  <w:rPr/>
                  <w:t>electronically</w:t>
                </w:r>
                <w:r>
                  <w:rPr>
                    <w:spacing w:val="-6"/>
                  </w:rPr>
                  <w:t> </w:t>
                </w:r>
                <w:r>
                  <w:rPr/>
                  <w:t>in</w:t>
                </w:r>
                <w:r>
                  <w:rPr>
                    <w:spacing w:val="-6"/>
                  </w:rPr>
                  <w:t> </w:t>
                </w:r>
                <w:r>
                  <w:rPr/>
                  <w:t>Content</w:t>
                </w:r>
                <w:r>
                  <w:rPr>
                    <w:spacing w:val="-6"/>
                  </w:rPr>
                  <w:t> </w:t>
                </w:r>
                <w:r>
                  <w:rPr>
                    <w:spacing w:val="-2"/>
                  </w:rPr>
                  <w:t>Server.</w:t>
                </w:r>
              </w:p>
              <w:p>
                <w:pPr>
                  <w:pStyle w:val="BodyText"/>
                  <w:spacing w:line="276" w:lineRule="auto"/>
                  <w:ind w:left="47" w:right="42"/>
                  <w:jc w:val="center"/>
                </w:pPr>
                <w:r>
                  <w:rPr/>
                  <w:t>This</w:t>
                </w:r>
                <w:r>
                  <w:rPr>
                    <w:spacing w:val="-3"/>
                  </w:rPr>
                  <w:t> </w:t>
                </w:r>
                <w:r>
                  <w:rPr/>
                  <w:t>page</w:t>
                </w:r>
                <w:r>
                  <w:rPr>
                    <w:spacing w:val="-3"/>
                  </w:rPr>
                  <w:t> </w:t>
                </w:r>
                <w:r>
                  <w:rPr/>
                  <w:t>is</w:t>
                </w:r>
                <w:r>
                  <w:rPr>
                    <w:spacing w:val="-3"/>
                  </w:rPr>
                  <w:t> </w:t>
                </w:r>
                <w:r>
                  <w:rPr/>
                  <w:t>the</w:t>
                </w:r>
                <w:r>
                  <w:rPr>
                    <w:spacing w:val="-3"/>
                  </w:rPr>
                  <w:t> </w:t>
                </w:r>
                <w:r>
                  <w:rPr/>
                  <w:t>manifestation</w:t>
                </w:r>
                <w:r>
                  <w:rPr>
                    <w:spacing w:val="-3"/>
                  </w:rPr>
                  <w:t> </w:t>
                </w:r>
                <w:r>
                  <w:rPr/>
                  <w:t>of</w:t>
                </w:r>
                <w:r>
                  <w:rPr>
                    <w:spacing w:val="-3"/>
                  </w:rPr>
                  <w:t> </w:t>
                </w:r>
                <w:r>
                  <w:rPr/>
                  <w:t>the</w:t>
                </w:r>
                <w:r>
                  <w:rPr>
                    <w:spacing w:val="-4"/>
                  </w:rPr>
                  <w:t> </w:t>
                </w:r>
                <w:r>
                  <w:rPr/>
                  <w:t>electronic</w:t>
                </w:r>
                <w:r>
                  <w:rPr>
                    <w:spacing w:val="-4"/>
                  </w:rPr>
                  <w:t> </w:t>
                </w:r>
                <w:r>
                  <w:rPr/>
                  <w:t>signature(s)</w:t>
                </w:r>
                <w:r>
                  <w:rPr>
                    <w:spacing w:val="-3"/>
                  </w:rPr>
                  <w:t> </w:t>
                </w:r>
                <w:r>
                  <w:rPr/>
                  <w:t>used</w:t>
                </w:r>
                <w:r>
                  <w:rPr>
                    <w:spacing w:val="-3"/>
                  </w:rPr>
                  <w:t> </w:t>
                </w:r>
                <w:r>
                  <w:rPr/>
                  <w:t>in</w:t>
                </w:r>
                <w:r>
                  <w:rPr>
                    <w:spacing w:val="-3"/>
                  </w:rPr>
                  <w:t> </w:t>
                </w:r>
                <w:r>
                  <w:rPr/>
                  <w:t>compliance</w:t>
                </w:r>
                <w:r>
                  <w:rPr>
                    <w:spacing w:val="-3"/>
                  </w:rPr>
                  <w:t> </w:t>
                </w:r>
                <w:r>
                  <w:rPr/>
                  <w:t>with</w:t>
                </w:r>
                <w:r>
                  <w:rPr>
                    <w:spacing w:val="-3"/>
                  </w:rPr>
                  <w:t> </w:t>
                </w:r>
                <w:r>
                  <w:rPr/>
                  <w:t>the organization’s electronic signature policies and procedures</w:t>
                </w:r>
              </w:p>
              <w:p>
                <w:pPr>
                  <w:pStyle w:val="BodyText"/>
                  <w:ind w:left="47" w:right="163"/>
                  <w:jc w:val="center"/>
                </w:pPr>
                <w:r>
                  <w:rPr/>
                  <w:t>Refer</w:t>
                </w:r>
                <w:r>
                  <w:rPr>
                    <w:spacing w:val="-6"/>
                  </w:rPr>
                  <w:t> </w:t>
                </w:r>
                <w:r>
                  <w:rPr/>
                  <w:t>to</w:t>
                </w:r>
                <w:r>
                  <w:rPr>
                    <w:spacing w:val="-5"/>
                  </w:rPr>
                  <w:t> </w:t>
                </w:r>
                <w:r>
                  <w:rPr/>
                  <w:t>Signatories</w:t>
                </w:r>
                <w:r>
                  <w:rPr>
                    <w:spacing w:val="-6"/>
                  </w:rPr>
                  <w:t> </w:t>
                </w:r>
                <w:r>
                  <w:rPr/>
                  <w:t>CV</w:t>
                </w:r>
                <w:r>
                  <w:rPr>
                    <w:spacing w:val="-5"/>
                  </w:rPr>
                  <w:t> </w:t>
                </w:r>
                <w:r>
                  <w:rPr/>
                  <w:t>for</w:t>
                </w:r>
                <w:r>
                  <w:rPr>
                    <w:spacing w:val="-6"/>
                  </w:rPr>
                  <w:t> </w:t>
                </w:r>
                <w:r>
                  <w:rPr/>
                  <w:t>Business</w:t>
                </w:r>
                <w:r>
                  <w:rPr>
                    <w:spacing w:val="-5"/>
                  </w:rPr>
                  <w:t> </w:t>
                </w:r>
                <w:r>
                  <w:rPr>
                    <w:spacing w:val="-2"/>
                  </w:rPr>
                  <w:t>Title.</w:t>
                </w:r>
              </w:p>
            </w:txbxContent>
          </v:textbox>
          <w10:wrap type="none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"/>
      <w:lvlJc w:val="left"/>
      <w:pPr>
        <w:ind w:left="887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1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2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79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3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0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05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30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55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80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0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3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55" w:hanging="720"/>
      </w:pPr>
      <w:rPr>
        <w:rFonts w:hint="default"/>
        <w:lang w:val="en-U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3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20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66"/>
      <w:ind w:left="104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WI_RA032" TargetMode="External"/><Relationship Id="rId10" Type="http://schemas.openxmlformats.org/officeDocument/2006/relationships/hyperlink" Target="https://elvis.quintiles.com/livelink/llisapi.dll/open/CS_WI_RA0270" TargetMode="External"/><Relationship Id="rId11" Type="http://schemas.openxmlformats.org/officeDocument/2006/relationships/hyperlink" Target="https://elvis.quintiles.com/livelink/llisapi.dll/open/CS_WI_RA0273" TargetMode="External"/><Relationship Id="rId12" Type="http://schemas.openxmlformats.org/officeDocument/2006/relationships/hyperlink" Target="https://elvis.quintiles.com/livelink/llisapi.dll/open/CS_WI_RA0262" TargetMode="External"/><Relationship Id="rId13" Type="http://schemas.openxmlformats.org/officeDocument/2006/relationships/header" Target="header2.xml"/><Relationship Id="rId14" Type="http://schemas.openxmlformats.org/officeDocument/2006/relationships/footer" Target="footer3.xml"/><Relationship Id="rId15" Type="http://schemas.openxmlformats.org/officeDocument/2006/relationships/image" Target="media/image2.png"/><Relationship Id="rId16" Type="http://schemas.openxmlformats.org/officeDocument/2006/relationships/header" Target="header3.xml"/><Relationship Id="rId17" Type="http://schemas.openxmlformats.org/officeDocument/2006/relationships/footer" Target="footer4.xml"/><Relationship Id="rId18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3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255121864_8_0_sgMainFile.pdf</dc:title>
  <dcterms:created xsi:type="dcterms:W3CDTF">2023-04-11T12:16:00Z</dcterms:created>
  <dcterms:modified xsi:type="dcterms:W3CDTF">2023-04-11T12:16:00Z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2021-06-08T00:00:00Z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