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Default Extension="jpeg" ContentType="image/jpeg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spacing w:before="3"/>
        <w:rPr>
          <w:rFonts w:ascii="Times New Roman"/>
          <w:sz w:val="2"/>
        </w:rPr>
      </w:pPr>
    </w:p>
    <w:tbl>
      <w:tblPr>
        <w:tblW w:w="0" w:type="auto"/>
        <w:jc w:val="left"/>
        <w:tblInd w:w="6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4759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4759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200"/>
              <w:ind w:left="171" w:right="108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Instruction</w:t>
            </w:r>
          </w:p>
          <w:p>
            <w:pPr>
              <w:pStyle w:val="TableParagraph"/>
              <w:spacing w:before="64"/>
              <w:ind w:left="171" w:right="111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Global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z w:val="22"/>
              </w:rPr>
              <w:t>Regulatory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z w:val="22"/>
              </w:rPr>
              <w:t>Affairs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z w:val="22"/>
              </w:rPr>
              <w:t>–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z w:val="22"/>
              </w:rPr>
              <w:t>Application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z w:val="22"/>
              </w:rPr>
              <w:t>for the US and EU Orphan Drug Designation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7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CS_WI_RA0299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44"/>
              <w:ind w:left="107"/>
              <w:rPr>
                <w:sz w:val="20"/>
              </w:rPr>
            </w:pPr>
            <w:r>
              <w:rPr>
                <w:sz w:val="20"/>
              </w:rPr>
              <w:t>Anja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Pauw</w:t>
            </w:r>
          </w:p>
        </w:tc>
        <w:tc>
          <w:tcPr>
            <w:tcW w:w="4759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Sruthi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Nandikonda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6"/>
        <w:rPr>
          <w:rFonts w:ascii="Times New Roman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0" w:after="0"/>
        <w:ind w:left="1360" w:right="0" w:hanging="720"/>
        <w:jc w:val="left"/>
        <w:rPr>
          <w:b/>
          <w:sz w:val="22"/>
        </w:rPr>
      </w:pPr>
      <w:bookmarkStart w:name="PURPOSE" w:id="1"/>
      <w:bookmarkEnd w:id="1"/>
      <w:r>
        <w:rPr>
          <w:b/>
          <w:spacing w:val="-2"/>
          <w:sz w:val="22"/>
        </w:rPr>
        <w:t>PURPOSE</w:t>
      </w:r>
    </w:p>
    <w:p>
      <w:pPr>
        <w:pStyle w:val="BodyText"/>
        <w:spacing w:before="127"/>
        <w:ind w:left="1360" w:right="686"/>
      </w:pPr>
      <w:r>
        <w:rPr/>
        <w:t>To standardize preparation of applications for orphan drug designation (ODD) to be submitted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Food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Drug</w:t>
      </w:r>
      <w:r>
        <w:rPr>
          <w:spacing w:val="-3"/>
        </w:rPr>
        <w:t> </w:t>
      </w:r>
      <w:r>
        <w:rPr/>
        <w:t>Administration</w:t>
      </w:r>
      <w:r>
        <w:rPr>
          <w:spacing w:val="-3"/>
        </w:rPr>
        <w:t> </w:t>
      </w:r>
      <w:r>
        <w:rPr/>
        <w:t>(FDA)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European</w:t>
      </w:r>
      <w:r>
        <w:rPr>
          <w:spacing w:val="-3"/>
        </w:rPr>
        <w:t> </w:t>
      </w:r>
      <w:r>
        <w:rPr/>
        <w:t>Medicines Agency (EMA) to the Committee of Orphan Medicinal Products (COMP).</w:t>
      </w:r>
    </w:p>
    <w:p>
      <w:pPr>
        <w:pStyle w:val="BodyText"/>
        <w:rPr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198" w:after="0"/>
        <w:ind w:left="1360" w:right="0" w:hanging="720"/>
        <w:jc w:val="left"/>
        <w:rPr>
          <w:b/>
          <w:sz w:val="22"/>
        </w:rPr>
      </w:pPr>
      <w:bookmarkStart w:name="SCOPE" w:id="2"/>
      <w:bookmarkEnd w:id="2"/>
      <w:r>
        <w:rPr>
          <w:b/>
          <w:spacing w:val="-2"/>
          <w:sz w:val="22"/>
        </w:rPr>
        <w:t>SCOPE</w:t>
      </w:r>
    </w:p>
    <w:p>
      <w:pPr>
        <w:pStyle w:val="BodyText"/>
        <w:spacing w:before="127"/>
        <w:ind w:left="1360"/>
      </w:pPr>
      <w:r>
        <w:rPr/>
        <w:t>This</w:t>
      </w:r>
      <w:r>
        <w:rPr>
          <w:spacing w:val="-5"/>
        </w:rPr>
        <w:t> </w:t>
      </w:r>
      <w:r>
        <w:rPr/>
        <w:t>work</w:t>
      </w:r>
      <w:r>
        <w:rPr>
          <w:spacing w:val="-4"/>
        </w:rPr>
        <w:t> </w:t>
      </w:r>
      <w:r>
        <w:rPr/>
        <w:t>instruction</w:t>
      </w:r>
      <w:r>
        <w:rPr>
          <w:spacing w:val="-5"/>
        </w:rPr>
        <w:t> </w:t>
      </w:r>
      <w:r>
        <w:rPr/>
        <w:t>(WI)</w:t>
      </w:r>
      <w:r>
        <w:rPr>
          <w:spacing w:val="-9"/>
        </w:rPr>
        <w:t> </w:t>
      </w:r>
      <w:r>
        <w:rPr/>
        <w:t>applies</w:t>
      </w:r>
      <w:r>
        <w:rPr>
          <w:spacing w:val="-4"/>
        </w:rPr>
        <w:t> </w:t>
      </w:r>
      <w:r>
        <w:rPr/>
        <w:t>to</w:t>
      </w:r>
      <w:r>
        <w:rPr>
          <w:spacing w:val="-5"/>
        </w:rPr>
        <w:t> </w:t>
      </w:r>
      <w:r>
        <w:rPr/>
        <w:t>all</w:t>
      </w:r>
      <w:r>
        <w:rPr>
          <w:spacing w:val="-2"/>
        </w:rPr>
        <w:t> </w:t>
      </w:r>
      <w:r>
        <w:rPr/>
        <w:t>staff</w:t>
      </w:r>
      <w:r>
        <w:rPr>
          <w:spacing w:val="-4"/>
        </w:rPr>
        <w:t> </w:t>
      </w:r>
      <w:r>
        <w:rPr/>
        <w:t>delivering</w:t>
      </w:r>
      <w:r>
        <w:rPr>
          <w:spacing w:val="-3"/>
        </w:rPr>
        <w:t> </w:t>
      </w:r>
      <w:r>
        <w:rPr/>
        <w:t>ODD</w:t>
      </w:r>
      <w:r>
        <w:rPr>
          <w:spacing w:val="-3"/>
        </w:rPr>
        <w:t> </w:t>
      </w:r>
      <w:r>
        <w:rPr>
          <w:spacing w:val="-2"/>
        </w:rPr>
        <w:t>applications.</w:t>
      </w:r>
    </w:p>
    <w:p>
      <w:pPr>
        <w:pStyle w:val="BodyText"/>
        <w:rPr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195" w:after="0"/>
        <w:ind w:left="1360" w:right="0" w:hanging="720"/>
        <w:jc w:val="left"/>
        <w:rPr>
          <w:b/>
          <w:sz w:val="22"/>
        </w:rPr>
      </w:pPr>
      <w:bookmarkStart w:name="ROLES AND RESPONSIBILITIES" w:id="3"/>
      <w:bookmarkEnd w:id="3"/>
      <w:r>
        <w:rPr>
          <w:b/>
          <w:sz w:val="22"/>
        </w:rPr>
        <w:t>ROLE</w:t>
      </w:r>
      <w:r>
        <w:rPr>
          <w:b/>
          <w:sz w:val="22"/>
        </w:rPr>
        <w:t>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RESPONSIBILITIES</w:t>
      </w:r>
    </w:p>
    <w:p>
      <w:pPr>
        <w:pStyle w:val="BodyText"/>
        <w:spacing w:before="127"/>
        <w:ind w:left="1360"/>
      </w:pPr>
      <w:r>
        <w:rPr/>
        <w:t>The</w:t>
      </w:r>
      <w:r>
        <w:rPr>
          <w:spacing w:val="-5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5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5"/>
        </w:rPr>
        <w:t> </w:t>
      </w:r>
      <w:r>
        <w:rPr/>
        <w:t>this</w:t>
      </w:r>
      <w:r>
        <w:rPr>
          <w:spacing w:val="-12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427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427" w:type="dxa"/>
            <w:shd w:val="clear" w:color="auto" w:fill="D9D9D9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0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(RPM)</w:t>
            </w:r>
          </w:p>
        </w:tc>
        <w:tc>
          <w:tcPr>
            <w:tcW w:w="3427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Writer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(RAW)</w:t>
            </w:r>
          </w:p>
        </w:tc>
        <w:tc>
          <w:tcPr>
            <w:tcW w:w="3427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Applicant</w:t>
            </w:r>
          </w:p>
        </w:tc>
        <w:tc>
          <w:tcPr>
            <w:tcW w:w="3427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58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Reviewer </w:t>
            </w:r>
            <w:r>
              <w:rPr>
                <w:spacing w:val="-2"/>
                <w:sz w:val="22"/>
              </w:rPr>
              <w:t>(RAQCR)</w:t>
            </w:r>
          </w:p>
        </w:tc>
        <w:tc>
          <w:tcPr>
            <w:tcW w:w="3427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</w:tbl>
    <w:p>
      <w:pPr>
        <w:pStyle w:val="BodyText"/>
        <w:spacing w:before="122"/>
        <w:ind w:left="1360" w:right="686"/>
      </w:pPr>
      <w:r>
        <w:rPr/>
        <w:t>An</w:t>
      </w:r>
      <w:r>
        <w:rPr>
          <w:spacing w:val="-2"/>
        </w:rPr>
        <w:t> </w:t>
      </w:r>
      <w:r>
        <w:rPr/>
        <w:t>individual</w:t>
      </w:r>
      <w:r>
        <w:rPr>
          <w:spacing w:val="-2"/>
        </w:rPr>
        <w:t> </w:t>
      </w:r>
      <w:r>
        <w:rPr/>
        <w:t>can</w:t>
      </w:r>
      <w:r>
        <w:rPr>
          <w:spacing w:val="-2"/>
        </w:rPr>
        <w:t> </w:t>
      </w:r>
      <w:r>
        <w:rPr/>
        <w:t>have</w:t>
      </w:r>
      <w:r>
        <w:rPr>
          <w:spacing w:val="-2"/>
        </w:rPr>
        <w:t> </w:t>
      </w:r>
      <w:r>
        <w:rPr/>
        <w:t>more</w:t>
      </w:r>
      <w:r>
        <w:rPr>
          <w:spacing w:val="-2"/>
        </w:rPr>
        <w:t> </w:t>
      </w:r>
      <w:r>
        <w:rPr/>
        <w:t>than</w:t>
      </w:r>
      <w:r>
        <w:rPr>
          <w:spacing w:val="-2"/>
        </w:rPr>
        <w:t> </w:t>
      </w:r>
      <w:r>
        <w:rPr/>
        <w:t>one</w:t>
      </w:r>
      <w:r>
        <w:rPr>
          <w:spacing w:val="-2"/>
        </w:rPr>
        <w:t> </w:t>
      </w:r>
      <w:r>
        <w:rPr/>
        <w:t>responsibility.</w:t>
      </w:r>
      <w:r>
        <w:rPr>
          <w:spacing w:val="-2"/>
        </w:rPr>
        <w:t> </w:t>
      </w:r>
      <w:r>
        <w:rPr/>
        <w:t>A</w:t>
      </w:r>
      <w:r>
        <w:rPr>
          <w:spacing w:val="-1"/>
        </w:rPr>
        <w:t> </w:t>
      </w:r>
      <w:r>
        <w:rPr/>
        <w:t>RPM</w:t>
      </w:r>
      <w:r>
        <w:rPr>
          <w:spacing w:val="-6"/>
        </w:rPr>
        <w:t> </w:t>
      </w:r>
      <w:r>
        <w:rPr/>
        <w:t>can</w:t>
      </w:r>
      <w:r>
        <w:rPr>
          <w:spacing w:val="-2"/>
        </w:rPr>
        <w:t> </w:t>
      </w:r>
      <w:r>
        <w:rPr/>
        <w:t>perform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role</w:t>
      </w:r>
      <w:r>
        <w:rPr>
          <w:spacing w:val="-2"/>
        </w:rPr>
        <w:t> </w:t>
      </w:r>
      <w:r>
        <w:rPr/>
        <w:t>of RAQCR. However, a RAW cannot review work that he/she has prepared and </w:t>
      </w:r>
      <w:bookmarkStart w:name="DEFINITIONS" w:id="4"/>
      <w:bookmarkEnd w:id="4"/>
      <w:r>
        <w:rPr/>
        <w:t>therefor</w:t>
      </w:r>
      <w:r>
        <w:rPr/>
        <w:t>e cannot be both RAW and RAQCR for the same deliverable.</w:t>
      </w:r>
    </w:p>
    <w:p>
      <w:pPr>
        <w:pStyle w:val="BodyText"/>
        <w:rPr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199" w:after="0"/>
        <w:ind w:left="13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DEFINITIONS</w:t>
      </w:r>
    </w:p>
    <w:p>
      <w:pPr>
        <w:pStyle w:val="BodyText"/>
        <w:spacing w:before="126"/>
        <w:ind w:left="1360"/>
      </w:pPr>
      <w:r>
        <w:rPr>
          <w:color w:val="212121"/>
        </w:rPr>
        <w:t>Not</w:t>
      </w:r>
      <w:r>
        <w:rPr>
          <w:color w:val="212121"/>
          <w:spacing w:val="2"/>
        </w:rPr>
        <w:t> </w:t>
      </w:r>
      <w:r>
        <w:rPr>
          <w:color w:val="212121"/>
          <w:spacing w:val="-2"/>
        </w:rPr>
        <w:t>Applicable</w:t>
      </w:r>
    </w:p>
    <w:p>
      <w:pPr>
        <w:pStyle w:val="BodyText"/>
        <w:rPr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196" w:after="0"/>
        <w:ind w:left="1360" w:right="0" w:hanging="720"/>
        <w:jc w:val="left"/>
        <w:rPr>
          <w:b/>
          <w:sz w:val="22"/>
        </w:rPr>
      </w:pPr>
      <w:bookmarkStart w:name="TOOLS AND RESOURCES" w:id="5"/>
      <w:bookmarkEnd w:id="5"/>
      <w:r>
        <w:rPr>
          <w:b/>
          <w:sz w:val="22"/>
        </w:rPr>
        <w:t>TOOLS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RESOURCES</w:t>
      </w:r>
    </w:p>
    <w:p>
      <w:pPr>
        <w:pStyle w:val="BodyText"/>
        <w:spacing w:before="126"/>
        <w:ind w:left="1359"/>
      </w:pPr>
      <w:bookmarkStart w:name="PROCEDURE" w:id="6"/>
      <w:bookmarkEnd w:id="6"/>
      <w:r>
        <w:rPr/>
      </w:r>
      <w:r>
        <w:rPr/>
        <w:t>Not</w:t>
      </w:r>
      <w:r>
        <w:rPr>
          <w:spacing w:val="2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201" w:after="0"/>
        <w:ind w:left="1360" w:right="0" w:hanging="721"/>
        <w:jc w:val="left"/>
        <w:rPr>
          <w:b/>
          <w:sz w:val="22"/>
        </w:rPr>
      </w:pPr>
      <w:r>
        <w:rPr>
          <w:b/>
          <w:spacing w:val="-2"/>
          <w:sz w:val="22"/>
        </w:rPr>
        <w:t>PROCEDURE</w:t>
      </w:r>
    </w:p>
    <w:p>
      <w:pPr>
        <w:pStyle w:val="BodyText"/>
        <w:spacing w:before="126"/>
        <w:ind w:left="1359"/>
      </w:pPr>
      <w:r>
        <w:rPr/>
        <w:t>Refer</w:t>
      </w:r>
      <w:r>
        <w:rPr>
          <w:spacing w:val="-5"/>
        </w:rPr>
        <w:t> </w:t>
      </w:r>
      <w:r>
        <w:rPr/>
        <w:t>to</w:t>
      </w:r>
      <w:r>
        <w:rPr>
          <w:spacing w:val="-3"/>
        </w:rPr>
        <w:t> </w:t>
      </w:r>
      <w:r>
        <w:rPr/>
        <w:t>Appendix</w:t>
      </w:r>
      <w:r>
        <w:rPr>
          <w:spacing w:val="-7"/>
        </w:rPr>
        <w:t> </w:t>
      </w:r>
      <w:r>
        <w:rPr/>
        <w:t>A</w:t>
      </w:r>
      <w:r>
        <w:rPr>
          <w:spacing w:val="-4"/>
        </w:rPr>
        <w:t> </w:t>
      </w:r>
      <w:r>
        <w:rPr/>
        <w:t>for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workflow</w:t>
      </w:r>
      <w:r>
        <w:rPr>
          <w:spacing w:val="-8"/>
        </w:rPr>
        <w:t> </w:t>
      </w:r>
      <w:r>
        <w:rPr/>
        <w:t>overview</w:t>
      </w:r>
      <w:r>
        <w:rPr>
          <w:spacing w:val="-3"/>
        </w:rPr>
        <w:t> </w:t>
      </w:r>
      <w:r>
        <w:rPr/>
        <w:t>of</w:t>
      </w:r>
      <w:r>
        <w:rPr>
          <w:spacing w:val="-4"/>
        </w:rPr>
        <w:t> </w:t>
      </w:r>
      <w:r>
        <w:rPr/>
        <w:t>the</w:t>
      </w:r>
      <w:r>
        <w:rPr>
          <w:spacing w:val="-7"/>
        </w:rPr>
        <w:t> </w:t>
      </w:r>
      <w:r>
        <w:rPr/>
        <w:t>ODD</w:t>
      </w:r>
      <w:r>
        <w:rPr>
          <w:spacing w:val="-2"/>
        </w:rPr>
        <w:t> procedure.</w:t>
      </w:r>
    </w:p>
    <w:p>
      <w:pPr>
        <w:spacing w:after="0"/>
        <w:sectPr>
          <w:footerReference w:type="default" r:id="rId5"/>
          <w:type w:val="continuous"/>
          <w:pgSz w:w="11910" w:h="16840"/>
          <w:pgMar w:footer="952" w:header="0" w:top="680" w:bottom="1140" w:left="800" w:right="720"/>
          <w:pgNumType w:start="1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88" w:val="left" w:leader="none"/>
          <w:tab w:pos="1989" w:val="left" w:leader="none"/>
        </w:tabs>
        <w:spacing w:line="240" w:lineRule="auto" w:before="94" w:after="0"/>
        <w:ind w:left="1988" w:right="0" w:hanging="721"/>
        <w:jc w:val="left"/>
        <w:rPr>
          <w:b/>
          <w:sz w:val="22"/>
        </w:rPr>
      </w:pPr>
      <w:bookmarkStart w:name="Preparatory Activities" w:id="7"/>
      <w:bookmarkEnd w:id="7"/>
      <w:r>
        <w:rPr>
          <w:b/>
          <w:sz w:val="22"/>
        </w:rPr>
        <w:t>Preparatory</w:t>
      </w:r>
      <w:r>
        <w:rPr>
          <w:b/>
          <w:spacing w:val="-2"/>
          <w:sz w:val="22"/>
        </w:rPr>
        <w:t> Activities</w:t>
      </w:r>
    </w:p>
    <w:p>
      <w:pPr>
        <w:pStyle w:val="BodyText"/>
        <w:spacing w:before="121"/>
        <w:ind w:left="1988" w:right="686"/>
      </w:pPr>
      <w:r>
        <w:rPr/>
        <w:t>These</w:t>
      </w:r>
      <w:r>
        <w:rPr>
          <w:spacing w:val="-3"/>
        </w:rPr>
        <w:t> </w:t>
      </w:r>
      <w:r>
        <w:rPr/>
        <w:t>activities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performed</w:t>
      </w:r>
      <w:r>
        <w:rPr>
          <w:spacing w:val="-3"/>
        </w:rPr>
        <w:t> </w:t>
      </w:r>
      <w:r>
        <w:rPr/>
        <w:t>after</w:t>
      </w:r>
      <w:r>
        <w:rPr>
          <w:spacing w:val="-5"/>
        </w:rPr>
        <w:t> </w:t>
      </w:r>
      <w:r>
        <w:rPr/>
        <w:t>the</w:t>
      </w:r>
      <w:r>
        <w:rPr>
          <w:spacing w:val="-3"/>
        </w:rPr>
        <w:t> </w:t>
      </w:r>
      <w:r>
        <w:rPr/>
        <w:t>contract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finalized,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the</w:t>
      </w:r>
      <w:r>
        <w:rPr>
          <w:spacing w:val="-3"/>
        </w:rPr>
        <w:t> </w:t>
      </w:r>
      <w:r>
        <w:rPr/>
        <w:t>project team is assigned.</w:t>
      </w:r>
    </w:p>
    <w:p>
      <w:pPr>
        <w:pStyle w:val="BodyText"/>
        <w:spacing w:before="8"/>
        <w:rPr>
          <w:sz w:val="10"/>
        </w:rPr>
      </w:pPr>
    </w:p>
    <w:tbl>
      <w:tblPr>
        <w:tblW w:w="0" w:type="auto"/>
        <w:jc w:val="left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714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line="235" w:lineRule="auto" w:before="3"/>
              <w:ind w:left="109"/>
              <w:rPr>
                <w:sz w:val="20"/>
              </w:rPr>
            </w:pPr>
            <w:r>
              <w:rPr>
                <w:sz w:val="20"/>
              </w:rPr>
              <w:t>If 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Statement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Work: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69" w:val="left" w:leader="none"/>
                <w:tab w:pos="470" w:val="left" w:leader="none"/>
              </w:tabs>
              <w:spacing w:line="240" w:lineRule="auto" w:before="60" w:after="0"/>
              <w:ind w:left="469" w:right="251" w:hanging="360"/>
              <w:jc w:val="left"/>
              <w:rPr>
                <w:sz w:val="20"/>
              </w:rPr>
            </w:pPr>
            <w:bookmarkStart w:name="For the United States of America (USA): " w:id="8"/>
            <w:bookmarkEnd w:id="8"/>
            <w:r>
              <w:rPr>
                <w:sz w:val="20"/>
              </w:rPr>
              <w:t>For</w:t>
            </w:r>
            <w:r>
              <w:rPr>
                <w:sz w:val="20"/>
              </w:rPr>
              <w:t> the United States of America (USA): Confirms the team member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(Applicant)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create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compact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(CD)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 printer (for submissions to the FDA).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69" w:val="left" w:leader="none"/>
                <w:tab w:pos="470" w:val="left" w:leader="none"/>
              </w:tabs>
              <w:spacing w:line="240" w:lineRule="auto" w:before="58" w:after="0"/>
              <w:ind w:left="469" w:right="0" w:hanging="361"/>
              <w:jc w:val="left"/>
              <w:rPr>
                <w:sz w:val="20"/>
              </w:rPr>
            </w:pPr>
            <w:bookmarkStart w:name="For the European Union (EU):" w:id="9"/>
            <w:bookmarkEnd w:id="9"/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European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Union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(EU):</w:t>
            </w:r>
          </w:p>
          <w:p>
            <w:pPr>
              <w:pStyle w:val="TableParagraph"/>
              <w:numPr>
                <w:ilvl w:val="1"/>
                <w:numId w:val="2"/>
              </w:numPr>
              <w:tabs>
                <w:tab w:pos="1113" w:val="left" w:leader="none"/>
              </w:tabs>
              <w:spacing w:line="237" w:lineRule="auto" w:before="63" w:after="0"/>
              <w:ind w:left="1112" w:right="128" w:hanging="360"/>
              <w:jc w:val="left"/>
              <w:rPr>
                <w:sz w:val="20"/>
              </w:rPr>
            </w:pPr>
            <w:r>
              <w:rPr>
                <w:sz w:val="20"/>
              </w:rPr>
              <w:t>Confirms the team member (Applicant) has an active EMA user account and is registered as the Orphan Industry Administrator/Manager with the EMA on behalf of any IQVIA office based in the EU (</w:t>
            </w:r>
            <w:hyperlink r:id="rId9">
              <w:r>
                <w:rPr>
                  <w:color w:val="006FC0"/>
                  <w:sz w:val="20"/>
                  <w:u w:val="single" w:color="006FC0"/>
                </w:rPr>
                <w:t>IRIS guide to</w:t>
              </w:r>
            </w:hyperlink>
            <w:r>
              <w:rPr>
                <w:color w:val="006FC0"/>
                <w:sz w:val="20"/>
              </w:rPr>
              <w:t> </w:t>
            </w:r>
            <w:hyperlink r:id="rId9">
              <w:r>
                <w:rPr>
                  <w:color w:val="006FC0"/>
                  <w:sz w:val="20"/>
                  <w:u w:val="single" w:color="006FC0"/>
                </w:rPr>
                <w:t>registration</w:t>
              </w:r>
            </w:hyperlink>
            <w:r>
              <w:rPr>
                <w:sz w:val="20"/>
              </w:rPr>
              <w:t>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IRIS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role. Confirms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 an appropriate legal agreement is in place for IQVIA to serve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holder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customers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 not registered with the EMA and IRIS, or</w:t>
            </w:r>
            <w:r>
              <w:rPr>
                <w:spacing w:val="80"/>
                <w:sz w:val="20"/>
              </w:rPr>
              <w:t> </w:t>
            </w:r>
            <w:r>
              <w:rPr>
                <w:sz w:val="20"/>
              </w:rPr>
              <w:t>customers</w:t>
            </w:r>
            <w:r>
              <w:rPr>
                <w:sz w:val="20"/>
              </w:rPr>
              <w:t> who do not have legal entity or a legal person in EU.</w:t>
            </w:r>
          </w:p>
        </w:tc>
        <w:tc>
          <w:tcPr>
            <w:tcW w:w="1843" w:type="dxa"/>
          </w:tcPr>
          <w:p>
            <w:pPr>
              <w:pStyle w:val="TableParagraph"/>
              <w:spacing w:line="229" w:lineRule="exact" w:before="0"/>
              <w:ind w:left="143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award</w:t>
            </w:r>
          </w:p>
        </w:tc>
      </w:tr>
      <w:tr>
        <w:trPr>
          <w:trHeight w:val="1405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469" w:val="left" w:leader="none"/>
                <w:tab w:pos="470" w:val="left" w:leader="none"/>
              </w:tabs>
              <w:spacing w:line="237" w:lineRule="auto" w:before="2" w:after="0"/>
              <w:ind w:left="469" w:right="545" w:hanging="360"/>
              <w:jc w:val="left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availability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Project Folder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shared drives,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REGOPS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drive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room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(refer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CS_WI_RA0273 Global Regulatory Affairs – Project Management of Standalone Projects).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69" w:val="left" w:leader="none"/>
                <w:tab w:pos="470" w:val="left" w:leader="none"/>
              </w:tabs>
              <w:spacing w:line="230" w:lineRule="exact" w:before="0" w:after="0"/>
              <w:ind w:left="469" w:right="267" w:hanging="360"/>
              <w:jc w:val="left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room,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share documents with the customer.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After the project code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activated</w:t>
            </w:r>
          </w:p>
        </w:tc>
      </w:tr>
      <w:tr>
        <w:trPr>
          <w:trHeight w:val="1742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40" w:lineRule="auto" w:before="38" w:after="0"/>
              <w:ind w:left="469" w:right="562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 information gaps.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45" w:lineRule="exact" w:before="1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Performs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literature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search,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necessary.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42" w:lineRule="exact" w:before="0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Communicates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gaps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writing.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804" w:hanging="360"/>
              <w:jc w:val="left"/>
              <w:rPr>
                <w:sz w:val="20"/>
              </w:rPr>
            </w:pPr>
            <w:r>
              <w:rPr>
                <w:sz w:val="20"/>
              </w:rPr>
              <w:t>Formulates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approach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strategy for the application in the Project Folder as per </w:t>
            </w:r>
            <w:r>
              <w:rPr>
                <w:spacing w:val="-2"/>
                <w:sz w:val="20"/>
              </w:rPr>
              <w:t>CS_WI_RA0273.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192"/>
              <w:rPr>
                <w:sz w:val="20"/>
              </w:rPr>
            </w:pPr>
            <w:r>
              <w:rPr>
                <w:sz w:val="20"/>
              </w:rPr>
              <w:t>After the project code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activated and after receipt of source </w:t>
            </w:r>
            <w:r>
              <w:rPr>
                <w:spacing w:val="-2"/>
                <w:sz w:val="20"/>
              </w:rPr>
              <w:t>documents</w:t>
            </w:r>
          </w:p>
        </w:tc>
      </w:tr>
      <w:tr>
        <w:trPr>
          <w:trHeight w:val="1580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pacing w:val="-5"/>
                <w:sz w:val="22"/>
              </w:rPr>
              <w:t>RPM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43" w:after="0"/>
              <w:ind w:left="469" w:right="860" w:hanging="360"/>
              <w:jc w:val="left"/>
              <w:rPr>
                <w:sz w:val="20"/>
              </w:rPr>
            </w:pPr>
            <w:r>
              <w:rPr>
                <w:sz w:val="20"/>
              </w:rPr>
              <w:t>Schedules a project initiation (kick-off)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 with the customer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CS_WI_RA0273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objectives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to:</w:t>
            </w:r>
          </w:p>
          <w:p>
            <w:pPr>
              <w:pStyle w:val="TableParagraph"/>
              <w:numPr>
                <w:ilvl w:val="1"/>
                <w:numId w:val="5"/>
              </w:numPr>
              <w:tabs>
                <w:tab w:pos="1113" w:val="left" w:leader="none"/>
              </w:tabs>
              <w:spacing w:line="240" w:lineRule="auto" w:before="57" w:after="0"/>
              <w:ind w:left="1112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obtain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proposed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strategy</w:t>
            </w:r>
          </w:p>
          <w:p>
            <w:pPr>
              <w:pStyle w:val="TableParagraph"/>
              <w:numPr>
                <w:ilvl w:val="1"/>
                <w:numId w:val="5"/>
              </w:numPr>
              <w:tabs>
                <w:tab w:pos="1113" w:val="left" w:leader="none"/>
              </w:tabs>
              <w:spacing w:line="228" w:lineRule="auto" w:before="49" w:after="0"/>
              <w:ind w:left="1112" w:right="195" w:hanging="360"/>
              <w:jc w:val="left"/>
              <w:rPr>
                <w:sz w:val="20"/>
              </w:rPr>
            </w:pPr>
            <w:r>
              <w:rPr>
                <w:sz w:val="20"/>
              </w:rPr>
              <w:t>obtain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agreement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timetable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preparation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ODD application and confirm the number of drafts (based on the Statement of Work; usually two).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initial </w:t>
            </w:r>
            <w:r>
              <w:rPr>
                <w:spacing w:val="-2"/>
                <w:sz w:val="20"/>
              </w:rPr>
              <w:t>background </w:t>
            </w:r>
            <w:r>
              <w:rPr>
                <w:sz w:val="20"/>
              </w:rPr>
              <w:t>information is received and </w:t>
            </w:r>
            <w:r>
              <w:rPr>
                <w:spacing w:val="-2"/>
                <w:sz w:val="20"/>
              </w:rPr>
              <w:t>reviewed</w:t>
            </w:r>
          </w:p>
        </w:tc>
      </w:tr>
      <w:tr>
        <w:trPr>
          <w:trHeight w:val="780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470" w:val="left" w:leader="none"/>
              </w:tabs>
              <w:spacing w:line="240" w:lineRule="auto" w:before="32" w:after="0"/>
              <w:ind w:left="469" w:right="214" w:hanging="360"/>
              <w:jc w:val="both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agreements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minutes,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shares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minutes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customer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 archives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project folder as per CS_WI_RA0273.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line="248" w:lineRule="exact" w:before="0"/>
              <w:rPr>
                <w:sz w:val="22"/>
              </w:rPr>
            </w:pPr>
            <w:r>
              <w:rPr>
                <w:spacing w:val="-5"/>
                <w:sz w:val="22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Schedules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works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GRA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assign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RAQCR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per </w:t>
            </w:r>
            <w:r>
              <w:rPr>
                <w:spacing w:val="-2"/>
                <w:sz w:val="20"/>
              </w:rPr>
              <w:t>CS_WI_RA0273.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192"/>
              <w:rPr>
                <w:sz w:val="20"/>
              </w:rPr>
            </w:pPr>
            <w:r>
              <w:rPr>
                <w:sz w:val="20"/>
              </w:rPr>
              <w:t>After the timetable is agreed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4"/>
                <w:sz w:val="20"/>
              </w:rPr>
              <w:t>upon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1910" w:h="16840"/>
          <w:pgMar w:header="729" w:footer="947" w:top="2520" w:bottom="1140" w:left="800" w:right="720"/>
          <w:pgNumType w:start="2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88" w:val="left" w:leader="none"/>
          <w:tab w:pos="1989" w:val="left" w:leader="none"/>
        </w:tabs>
        <w:spacing w:line="240" w:lineRule="auto" w:before="94" w:after="0"/>
        <w:ind w:left="1988" w:right="0" w:hanging="721"/>
        <w:jc w:val="left"/>
        <w:rPr>
          <w:b/>
          <w:sz w:val="22"/>
        </w:rPr>
      </w:pPr>
      <w:bookmarkStart w:name="Preparation and QC of the ODD applicatio" w:id="10"/>
      <w:bookmarkEnd w:id="10"/>
      <w:r>
        <w:rPr>
          <w:b/>
          <w:sz w:val="22"/>
        </w:rPr>
        <w:t>Preparatio</w:t>
      </w:r>
      <w:r>
        <w:rPr>
          <w:b/>
          <w:sz w:val="22"/>
        </w:rPr>
        <w:t>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QC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ODD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application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639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RAW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44" w:lineRule="exact" w:before="38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template:</w:t>
            </w:r>
          </w:p>
          <w:p>
            <w:pPr>
              <w:pStyle w:val="TableParagraph"/>
              <w:numPr>
                <w:ilvl w:val="1"/>
                <w:numId w:val="7"/>
              </w:numPr>
              <w:tabs>
                <w:tab w:pos="825" w:val="left" w:leader="none"/>
              </w:tabs>
              <w:spacing w:line="223" w:lineRule="auto" w:before="12" w:after="0"/>
              <w:ind w:left="824" w:right="295" w:hanging="360"/>
              <w:jc w:val="left"/>
              <w:rPr>
                <w:sz w:val="20"/>
              </w:rPr>
            </w:pPr>
            <w:r>
              <w:rPr>
                <w:sz w:val="20"/>
              </w:rPr>
              <w:t>CS_TP_RA0302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Affairs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Orphan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Drug Designation template for FDA submission</w:t>
            </w:r>
          </w:p>
          <w:p>
            <w:pPr>
              <w:pStyle w:val="TableParagraph"/>
              <w:numPr>
                <w:ilvl w:val="1"/>
                <w:numId w:val="7"/>
              </w:numPr>
              <w:tabs>
                <w:tab w:pos="825" w:val="left" w:leader="none"/>
              </w:tabs>
              <w:spacing w:line="235" w:lineRule="auto" w:before="7" w:after="0"/>
              <w:ind w:left="824" w:right="338" w:hanging="360"/>
              <w:jc w:val="left"/>
              <w:rPr>
                <w:sz w:val="20"/>
              </w:rPr>
            </w:pPr>
            <w:r>
              <w:rPr>
                <w:sz w:val="20"/>
              </w:rPr>
              <w:t>EMA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templates: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current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taken directly from</w:t>
            </w:r>
            <w:r>
              <w:rPr>
                <w:spacing w:val="58"/>
                <w:sz w:val="20"/>
              </w:rPr>
              <w:t> </w:t>
            </w:r>
            <w:hyperlink r:id="rId10">
              <w:r>
                <w:rPr>
                  <w:color w:val="0000FF"/>
                  <w:sz w:val="20"/>
                  <w:u w:val="single" w:color="0000FF"/>
                </w:rPr>
                <w:t>https://www.ema.europa.eu/en/human-</w:t>
              </w:r>
            </w:hyperlink>
            <w:r>
              <w:rPr>
                <w:color w:val="0000FF"/>
                <w:sz w:val="20"/>
              </w:rPr>
              <w:t> </w:t>
            </w:r>
            <w:hyperlink r:id="rId10">
              <w:r>
                <w:rPr>
                  <w:color w:val="0000FF"/>
                  <w:spacing w:val="-2"/>
                  <w:sz w:val="20"/>
                  <w:u w:val="single" w:color="0000FF"/>
                </w:rPr>
                <w:t>regulatory/research-development/orphan-</w:t>
              </w:r>
            </w:hyperlink>
            <w:r>
              <w:rPr>
                <w:color w:val="0000FF"/>
                <w:spacing w:val="-2"/>
                <w:sz w:val="20"/>
              </w:rPr>
              <w:t> </w:t>
            </w:r>
            <w:hyperlink r:id="rId10">
              <w:r>
                <w:rPr>
                  <w:color w:val="0000FF"/>
                  <w:spacing w:val="-2"/>
                  <w:sz w:val="20"/>
                  <w:u w:val="single" w:color="0000FF"/>
                </w:rPr>
                <w:t>designation/applying-orphan-designation#</w:t>
              </w:r>
            </w:hyperlink>
            <w:r>
              <w:rPr>
                <w:spacing w:val="-2"/>
                <w:sz w:val="20"/>
              </w:rPr>
              <w:t>).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357" w:hanging="360"/>
              <w:jc w:val="left"/>
              <w:rPr>
                <w:sz w:val="20"/>
              </w:rPr>
            </w:pPr>
            <w:r>
              <w:rPr>
                <w:sz w:val="20"/>
              </w:rPr>
              <w:t>Coordinates the preparation of mandatory translations as applicable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EU.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own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translating agency but if in scope for IQVIA refer to CS_WI_RA0262 (Global Regulatory Affairs - Translation of documents).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During project </w:t>
            </w:r>
            <w:r>
              <w:rPr>
                <w:spacing w:val="-2"/>
                <w:sz w:val="20"/>
              </w:rPr>
              <w:t>execution, </w:t>
            </w:r>
            <w:r>
              <w:rPr>
                <w:sz w:val="20"/>
              </w:rPr>
              <w:t>preparation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deliverable</w:t>
            </w:r>
          </w:p>
        </w:tc>
      </w:tr>
      <w:tr>
        <w:trPr>
          <w:trHeight w:val="1713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RAW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37" w:lineRule="auto" w:before="40" w:after="0"/>
              <w:ind w:left="464" w:right="161" w:hanging="360"/>
              <w:jc w:val="left"/>
              <w:rPr>
                <w:sz w:val="20"/>
              </w:rPr>
            </w:pPr>
            <w:r>
              <w:rPr>
                <w:sz w:val="20"/>
              </w:rPr>
              <w:t>Uploads PDFs of all the referenced publications in a Project Folder on applicable shared drives, such as REGOPS drive and/or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room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(refer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CS_WI_RA0273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 Affairs – Project Management of Standalone Projects).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0" w:lineRule="auto" w:before="4" w:after="0"/>
              <w:ind w:left="464" w:right="397" w:hanging="360"/>
              <w:jc w:val="left"/>
              <w:rPr>
                <w:sz w:val="20"/>
              </w:rPr>
            </w:pPr>
            <w:r>
              <w:rPr>
                <w:sz w:val="20"/>
              </w:rPr>
              <w:t>Orders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Copyright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Clearance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publications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shared with the Agency. IQVIA library provides these services as a pass-through cost to the customer.</w:t>
            </w:r>
          </w:p>
        </w:tc>
        <w:tc>
          <w:tcPr>
            <w:tcW w:w="1843" w:type="dxa"/>
          </w:tcPr>
          <w:p>
            <w:pPr>
              <w:pStyle w:val="TableParagraph"/>
              <w:spacing w:line="276" w:lineRule="auto"/>
              <w:ind w:left="104" w:right="192"/>
              <w:rPr>
                <w:sz w:val="20"/>
              </w:rPr>
            </w:pPr>
            <w:r>
              <w:rPr>
                <w:sz w:val="20"/>
              </w:rPr>
              <w:t>During of the ODD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preparation</w:t>
            </w:r>
          </w:p>
        </w:tc>
      </w:tr>
      <w:tr>
        <w:trPr>
          <w:trHeight w:val="1233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RAQCR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Performs a Scientific QC of Draft 1 of the ODD application and records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findings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CS_TP_RA0295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Regulatory Affairs - Quality Control (QC) Checklist in accordance with CS_WI_RA032 Global Regulatory Affairs - Preparation, Quality Control and Provision of Regulatory Affairs Deliverables.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1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has been prepared</w:t>
            </w:r>
          </w:p>
        </w:tc>
      </w:tr>
      <w:tr>
        <w:trPr>
          <w:trHeight w:val="306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RAW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amendments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1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Scientific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findings.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During the finalization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ODD application</w:t>
            </w:r>
          </w:p>
        </w:tc>
      </w:tr>
      <w:tr>
        <w:trPr>
          <w:trHeight w:val="1525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Draft1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obtains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feedback.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4" w:val="left" w:leader="none"/>
                <w:tab w:pos="825" w:val="left" w:leader="none"/>
              </w:tabs>
              <w:spacing w:line="240" w:lineRule="auto" w:before="40" w:after="0"/>
              <w:ind w:left="824" w:right="248" w:hanging="360"/>
              <w:jc w:val="left"/>
              <w:rPr>
                <w:sz w:val="20"/>
              </w:rPr>
            </w:pPr>
            <w:r>
              <w:rPr>
                <w:sz w:val="20"/>
              </w:rPr>
              <w:t>Encourages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consolidate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 single document in the returned draft.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199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verbal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(phone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calls)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during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 review of Draft 1 and notes the specific corresponding amendments to the ODD in the subsequent drafts.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70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RAW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customer’s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customer. Steps 6.2.5 and 6.2.6 are repeated if: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87" w:val="left" w:leader="none"/>
                <w:tab w:pos="888" w:val="left" w:leader="none"/>
              </w:tabs>
              <w:spacing w:line="245" w:lineRule="exact" w:before="40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Additional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amendments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and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87" w:val="left" w:leader="none"/>
                <w:tab w:pos="888" w:val="left" w:leader="none"/>
              </w:tabs>
              <w:spacing w:line="240" w:lineRule="auto" w:before="0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consistent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contractual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obligations.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RAQCR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Performs an Administrative QC of the final (approved by the customer)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CS_WI_RA032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Affairs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 Preparation, Quality Control and Provision of Regulatory Affairs </w:t>
            </w:r>
            <w:r>
              <w:rPr>
                <w:spacing w:val="-2"/>
                <w:sz w:val="20"/>
              </w:rPr>
              <w:t>Deliverables.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233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6.2.8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RAW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68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clean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Administrative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 findings and maintains all the review cycle comments of all the versions in accordance with CS_WI_RA032 Global Regulatory Affairs - Preparation, Quality Control and Provision of Regulatory Affairs Deliverables.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1910" w:h="16840"/>
          <w:pgMar w:header="729" w:footer="947" w:top="2520" w:bottom="1140" w:left="800" w:right="7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88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6.2.9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RAW</w:t>
            </w:r>
          </w:p>
        </w:tc>
        <w:tc>
          <w:tcPr>
            <w:tcW w:w="6264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FDA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application,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letters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required: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24" w:val="left" w:leader="none"/>
                <w:tab w:pos="825" w:val="left" w:leader="none"/>
              </w:tabs>
              <w:spacing w:line="240" w:lineRule="auto" w:before="35" w:after="0"/>
              <w:ind w:left="824" w:right="450" w:hanging="360"/>
              <w:jc w:val="left"/>
              <w:rPr>
                <w:sz w:val="20"/>
              </w:rPr>
            </w:pPr>
            <w:r>
              <w:rPr>
                <w:sz w:val="20"/>
              </w:rPr>
              <w:t>Prepare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Cover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letter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(CL).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example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 Appendix B.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348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based,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prepared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customer’s letterhead, and the customer’s contact information is provided to the Office of Orphan Products Development (OOPD) for further communications.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208" w:hanging="360"/>
              <w:jc w:val="left"/>
              <w:rPr>
                <w:sz w:val="20"/>
              </w:rPr>
            </w:pPr>
            <w:r>
              <w:rPr>
                <w:sz w:val="20"/>
              </w:rPr>
              <w:t>If the customer is a foreign entity, IQVIA assumes the role 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agent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purpose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submission.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 this case an Authorization to Submit form is executed (Appendix C).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479" w:hanging="360"/>
              <w:jc w:val="left"/>
              <w:rPr>
                <w:sz w:val="20"/>
              </w:rPr>
            </w:pPr>
            <w:r>
              <w:rPr>
                <w:sz w:val="20"/>
              </w:rPr>
              <w:t>Self-Certification Letter, i.e. Certification Amendment, (Appendix D) is to be signed either by the US based customer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behalf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foreign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customer.</w:t>
            </w:r>
          </w:p>
          <w:p>
            <w:pPr>
              <w:pStyle w:val="TableParagraph"/>
              <w:spacing w:before="36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EMA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application,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letters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required: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24" w:val="left" w:leader="none"/>
                <w:tab w:pos="825" w:val="left" w:leader="none"/>
              </w:tabs>
              <w:spacing w:line="232" w:lineRule="auto" w:before="45" w:after="0"/>
              <w:ind w:left="824" w:right="248" w:hanging="360"/>
              <w:jc w:val="left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cover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letter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applicable.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Instead,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completed online via the portal.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24" w:val="left" w:leader="none"/>
                <w:tab w:pos="825" w:val="left" w:leader="none"/>
              </w:tabs>
              <w:spacing w:line="240" w:lineRule="auto" w:before="4" w:after="0"/>
              <w:ind w:left="824" w:right="248" w:hanging="360"/>
              <w:jc w:val="left"/>
              <w:rPr>
                <w:sz w:val="20"/>
              </w:rPr>
            </w:pPr>
            <w:r>
              <w:rPr>
                <w:sz w:val="20"/>
              </w:rPr>
              <w:t>No letter of authorization needed. Instead, proof of establishment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sponsor/ODD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holder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an EE country.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ODD </w:t>
            </w:r>
            <w:r>
              <w:rPr>
                <w:spacing w:val="-2"/>
                <w:sz w:val="20"/>
              </w:rPr>
              <w:t>preparation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7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1988" w:val="left" w:leader="none"/>
          <w:tab w:pos="1989" w:val="left" w:leader="none"/>
        </w:tabs>
        <w:spacing w:line="240" w:lineRule="auto" w:before="0" w:after="0"/>
        <w:ind w:left="1988" w:right="0" w:hanging="721"/>
        <w:jc w:val="left"/>
        <w:rPr>
          <w:b/>
          <w:sz w:val="22"/>
        </w:rPr>
      </w:pPr>
      <w:bookmarkStart w:name="Submission of the ODD application" w:id="11"/>
      <w:bookmarkEnd w:id="11"/>
      <w:r>
        <w:rPr>
          <w:b/>
          <w:sz w:val="22"/>
        </w:rPr>
        <w:t>Submissio</w:t>
      </w:r>
      <w:r>
        <w:rPr>
          <w:b/>
          <w:sz w:val="22"/>
        </w:rPr>
        <w:t>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ODD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application</w:t>
      </w:r>
    </w:p>
    <w:p>
      <w:pPr>
        <w:pStyle w:val="BodyText"/>
        <w:spacing w:before="121"/>
        <w:ind w:left="1988" w:right="790"/>
      </w:pPr>
      <w:r>
        <w:rPr/>
        <w:t>ODD</w:t>
      </w:r>
      <w:r>
        <w:rPr>
          <w:spacing w:val="-4"/>
        </w:rPr>
        <w:t> </w:t>
      </w:r>
      <w:r>
        <w:rPr/>
        <w:t>requests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submitted</w:t>
      </w:r>
      <w:r>
        <w:rPr>
          <w:spacing w:val="-4"/>
        </w:rPr>
        <w:t> </w:t>
      </w:r>
      <w:r>
        <w:rPr/>
        <w:t>on</w:t>
      </w:r>
      <w:r>
        <w:rPr>
          <w:spacing w:val="-4"/>
        </w:rPr>
        <w:t> </w:t>
      </w:r>
      <w:r>
        <w:rPr/>
        <w:t>behalf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customer</w:t>
      </w:r>
      <w:r>
        <w:rPr>
          <w:spacing w:val="-4"/>
        </w:rPr>
        <w:t> </w:t>
      </w:r>
      <w:r>
        <w:rPr/>
        <w:t>if included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the contract. The appropriate submission guidelines can be found on the Agencies’ websites:</w:t>
      </w:r>
    </w:p>
    <w:p>
      <w:pPr>
        <w:pStyle w:val="BodyText"/>
        <w:spacing w:before="3"/>
        <w:rPr>
          <w:sz w:val="21"/>
        </w:rPr>
      </w:pPr>
    </w:p>
    <w:p>
      <w:pPr>
        <w:pStyle w:val="BodyText"/>
        <w:ind w:left="1988" w:right="2229"/>
      </w:pPr>
      <w:hyperlink r:id="rId10">
        <w:r>
          <w:rPr>
            <w:color w:val="0000FF"/>
            <w:spacing w:val="-2"/>
            <w:u w:val="single" w:color="0000FF"/>
          </w:rPr>
          <w:t>https://www.ema.europa.eu/en/human-regulatory/research-</w:t>
        </w:r>
      </w:hyperlink>
      <w:r>
        <w:rPr>
          <w:color w:val="0000FF"/>
          <w:spacing w:val="-2"/>
        </w:rPr>
        <w:t> </w:t>
      </w:r>
      <w:hyperlink r:id="rId10">
        <w:r>
          <w:rPr>
            <w:color w:val="0000FF"/>
            <w:spacing w:val="-2"/>
            <w:u w:val="single" w:color="0000FF"/>
          </w:rPr>
          <w:t>development/orphan-designation/applying-orphan-designation#</w:t>
        </w:r>
      </w:hyperlink>
    </w:p>
    <w:p>
      <w:pPr>
        <w:pStyle w:val="BodyText"/>
        <w:spacing w:before="8"/>
        <w:rPr>
          <w:sz w:val="20"/>
        </w:rPr>
      </w:pPr>
    </w:p>
    <w:p>
      <w:pPr>
        <w:pStyle w:val="BodyText"/>
        <w:ind w:left="1988" w:right="761"/>
      </w:pPr>
      <w:hyperlink r:id="rId11">
        <w:r>
          <w:rPr>
            <w:color w:val="0000FF"/>
            <w:spacing w:val="-2"/>
            <w:u w:val="single" w:color="0000FF"/>
          </w:rPr>
          <w:t>https://www.fda.gov/industry/designating-orphan-product-drugs-and-biological-</w:t>
        </w:r>
      </w:hyperlink>
      <w:r>
        <w:rPr>
          <w:color w:val="0000FF"/>
          <w:spacing w:val="-2"/>
        </w:rPr>
        <w:t> </w:t>
      </w:r>
      <w:hyperlink r:id="rId11">
        <w:r>
          <w:rPr>
            <w:color w:val="0000FF"/>
            <w:spacing w:val="-2"/>
            <w:u w:val="single" w:color="0000FF"/>
          </w:rPr>
          <w:t>products/corresponding-oopd-drug-designation-programs</w:t>
        </w:r>
      </w:hyperlink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23"/>
        </w:rPr>
      </w:pPr>
    </w:p>
    <w:tbl>
      <w:tblPr>
        <w:tblW w:w="0" w:type="auto"/>
        <w:jc w:val="left"/>
        <w:tblInd w:w="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right="168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confirmation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clean draft is approved for submission and archives the confirmation in the project documentation.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232"/>
              <w:jc w:val="both"/>
              <w:rPr>
                <w:sz w:val="20"/>
              </w:rPr>
            </w:pPr>
            <w:r>
              <w:rPr>
                <w:sz w:val="20"/>
              </w:rPr>
              <w:t>Upon delivery of the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to the customer</w:t>
            </w:r>
          </w:p>
        </w:tc>
      </w:tr>
      <w:tr>
        <w:trPr>
          <w:trHeight w:val="1276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Applicant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474" w:val="left" w:leader="none"/>
                <w:tab w:pos="475" w:val="left" w:leader="none"/>
              </w:tabs>
              <w:spacing w:line="240" w:lineRule="auto" w:before="38" w:after="0"/>
              <w:ind w:left="474" w:right="305" w:hanging="360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mails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package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OOPD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 the FDA guidelines.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474" w:val="left" w:leader="none"/>
                <w:tab w:pos="475" w:val="left" w:leader="none"/>
              </w:tabs>
              <w:spacing w:line="240" w:lineRule="auto" w:before="0" w:after="0"/>
              <w:ind w:left="474" w:right="329" w:hanging="360"/>
              <w:jc w:val="left"/>
              <w:rPr>
                <w:sz w:val="22"/>
              </w:rPr>
            </w:pPr>
            <w:r>
              <w:rPr>
                <w:sz w:val="20"/>
              </w:rPr>
              <w:t>Submits EU ODD requests via EMA IRIS platform through IQVIA’s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company’s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IRIS,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agreed,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per EMA guidelines (</w:t>
            </w:r>
            <w:hyperlink r:id="rId12">
              <w:r>
                <w:rPr>
                  <w:color w:val="0000FF"/>
                  <w:sz w:val="20"/>
                  <w:u w:val="single" w:color="0000FF"/>
                </w:rPr>
                <w:t>https://iris.ema.europa.eu/</w:t>
              </w:r>
            </w:hyperlink>
            <w:r>
              <w:rPr>
                <w:sz w:val="22"/>
              </w:rPr>
              <w:t>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192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the Final </w:t>
            </w:r>
            <w:r>
              <w:rPr>
                <w:spacing w:val="-2"/>
                <w:sz w:val="20"/>
              </w:rPr>
              <w:t>customer approved versions</w:t>
            </w:r>
          </w:p>
        </w:tc>
      </w:tr>
    </w:tbl>
    <w:p>
      <w:pPr>
        <w:spacing w:after="0"/>
        <w:rPr>
          <w:sz w:val="20"/>
        </w:rPr>
        <w:sectPr>
          <w:pgSz w:w="11910" w:h="16840"/>
          <w:pgMar w:header="729" w:footer="947" w:top="2520" w:bottom="1140" w:left="800" w:right="720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88" w:val="left" w:leader="none"/>
          <w:tab w:pos="1989" w:val="left" w:leader="none"/>
        </w:tabs>
        <w:spacing w:line="240" w:lineRule="auto" w:before="94" w:after="0"/>
        <w:ind w:left="1988" w:right="0" w:hanging="721"/>
        <w:jc w:val="left"/>
        <w:rPr>
          <w:b/>
          <w:sz w:val="22"/>
        </w:rPr>
      </w:pPr>
      <w:bookmarkStart w:name="Post Submission Activities - FDA Applica" w:id="12"/>
      <w:bookmarkEnd w:id="12"/>
      <w:r>
        <w:rPr>
          <w:b/>
          <w:sz w:val="22"/>
        </w:rPr>
        <w:t>Pos</w:t>
      </w:r>
      <w:r>
        <w:rPr>
          <w:b/>
          <w:sz w:val="22"/>
        </w:rPr>
        <w:t>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Submission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Activities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-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FDA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Applications</w:t>
      </w:r>
    </w:p>
    <w:p>
      <w:pPr>
        <w:pStyle w:val="BodyText"/>
        <w:spacing w:before="121"/>
        <w:ind w:left="2056" w:right="723"/>
      </w:pPr>
      <w:r>
        <w:rPr/>
        <w:t>Upon receipt of the ODD request, the OOPD reviews applications within an indicated 90- day period. Usually there is no communication with the OOPD during this period. However, there may be instances when the reviewer will reach</w:t>
      </w:r>
      <w:r>
        <w:rPr>
          <w:spacing w:val="-3"/>
        </w:rPr>
        <w:t> </w:t>
      </w:r>
      <w:r>
        <w:rPr/>
        <w:t>out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RPM</w:t>
      </w:r>
      <w:r>
        <w:rPr>
          <w:spacing w:val="-7"/>
        </w:rPr>
        <w:t> </w:t>
      </w:r>
      <w:r>
        <w:rPr/>
        <w:t>with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request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minor</w:t>
      </w:r>
      <w:r>
        <w:rPr>
          <w:spacing w:val="-3"/>
        </w:rPr>
        <w:t> </w:t>
      </w:r>
      <w:r>
        <w:rPr/>
        <w:t>clarifications.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“Award”</w:t>
      </w:r>
      <w:r>
        <w:rPr>
          <w:spacing w:val="-3"/>
        </w:rPr>
        <w:t> </w:t>
      </w:r>
      <w:r>
        <w:rPr/>
        <w:t>letter or the “Abeyance” letter is expected to be sent to the contact listed in the CL via email. In case IQVIA is submitting on behalf of the non-US customer, IQVIA continues to serve as a US agent for the customer for the purpose of the ODD maintenance.</w:t>
      </w:r>
    </w:p>
    <w:p>
      <w:pPr>
        <w:pStyle w:val="BodyText"/>
        <w:spacing w:before="3"/>
      </w:pPr>
    </w:p>
    <w:tbl>
      <w:tblPr>
        <w:tblW w:w="0" w:type="auto"/>
        <w:jc w:val="left"/>
        <w:tblInd w:w="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12"/>
        <w:gridCol w:w="1897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1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97" w:type="dxa"/>
            <w:shd w:val="clear" w:color="auto" w:fill="D9D9D9"/>
          </w:tcPr>
          <w:p>
            <w:pPr>
              <w:pStyle w:val="TableParagraph"/>
              <w:spacing w:before="38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12" w:type="dxa"/>
          </w:tcPr>
          <w:p>
            <w:pPr>
              <w:pStyle w:val="TableParagraph"/>
              <w:spacing w:before="4"/>
              <w:rPr>
                <w:sz w:val="20"/>
              </w:rPr>
            </w:pPr>
            <w:r>
              <w:rPr>
                <w:sz w:val="20"/>
              </w:rPr>
              <w:t>Transmits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correspondence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customer.</w:t>
            </w:r>
          </w:p>
        </w:tc>
        <w:tc>
          <w:tcPr>
            <w:tcW w:w="1897" w:type="dxa"/>
          </w:tcPr>
          <w:p>
            <w:pPr>
              <w:pStyle w:val="TableParagraph"/>
              <w:ind w:left="108" w:right="195"/>
              <w:rPr>
                <w:sz w:val="20"/>
              </w:rPr>
            </w:pPr>
            <w:r>
              <w:rPr>
                <w:spacing w:val="-2"/>
                <w:sz w:val="20"/>
              </w:rPr>
              <w:t>Post-submission </w:t>
            </w:r>
            <w:r>
              <w:rPr>
                <w:sz w:val="20"/>
              </w:rPr>
              <w:t>to FDA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12" w:type="dxa"/>
          </w:tcPr>
          <w:p>
            <w:pPr>
              <w:pStyle w:val="TableParagraph"/>
              <w:spacing w:before="38"/>
              <w:ind w:right="127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separate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contract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FDA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annual reports as these activities may or may not be covered by the original contract</w:t>
            </w:r>
          </w:p>
        </w:tc>
        <w:tc>
          <w:tcPr>
            <w:tcW w:w="1897" w:type="dxa"/>
          </w:tcPr>
          <w:p>
            <w:pPr>
              <w:pStyle w:val="TableParagraph"/>
              <w:spacing w:before="38"/>
              <w:ind w:left="108" w:right="195"/>
              <w:rPr>
                <w:sz w:val="20"/>
              </w:rPr>
            </w:pPr>
            <w:r>
              <w:rPr>
                <w:spacing w:val="-2"/>
                <w:sz w:val="20"/>
              </w:rPr>
              <w:t>Post-submission </w:t>
            </w:r>
            <w:r>
              <w:rPr>
                <w:sz w:val="20"/>
              </w:rPr>
              <w:t>to the FDA</w:t>
            </w:r>
          </w:p>
        </w:tc>
      </w:tr>
      <w:tr>
        <w:trPr>
          <w:trHeight w:val="3297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12" w:type="dxa"/>
          </w:tcPr>
          <w:p>
            <w:pPr>
              <w:pStyle w:val="TableParagraph"/>
              <w:numPr>
                <w:ilvl w:val="0"/>
                <w:numId w:val="13"/>
              </w:numPr>
              <w:tabs>
                <w:tab w:pos="599" w:val="left" w:leader="none"/>
                <w:tab w:pos="600" w:val="left" w:leader="none"/>
              </w:tabs>
              <w:spacing w:line="240" w:lineRule="auto" w:before="38" w:after="0"/>
              <w:ind w:left="599" w:right="283" w:hanging="360"/>
              <w:jc w:val="left"/>
              <w:rPr>
                <w:sz w:val="20"/>
              </w:rPr>
            </w:pPr>
            <w:r>
              <w:rPr>
                <w:sz w:val="20"/>
              </w:rPr>
              <w:t>Verifies that FDA ODD annual reports on development provides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development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medicine.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599" w:val="left" w:leader="none"/>
                <w:tab w:pos="600" w:val="left" w:leader="none"/>
              </w:tabs>
              <w:spacing w:line="240" w:lineRule="auto" w:before="0" w:after="0"/>
              <w:ind w:left="599" w:right="152" w:hanging="360"/>
              <w:jc w:val="left"/>
              <w:rPr>
                <w:sz w:val="22"/>
              </w:rPr>
            </w:pPr>
            <w:r>
              <w:rPr>
                <w:sz w:val="20"/>
              </w:rPr>
              <w:t>Submits FDA ODD annual reports on development via email as detailed at </w:t>
            </w:r>
            <w:hyperlink r:id="rId11">
              <w:r>
                <w:rPr>
                  <w:color w:val="0000FF"/>
                  <w:sz w:val="20"/>
                  <w:u w:val="single" w:color="0000FF"/>
                </w:rPr>
                <w:t>https://www.fda.gov/industry/designating-</w:t>
              </w:r>
            </w:hyperlink>
            <w:r>
              <w:rPr>
                <w:color w:val="0000FF"/>
                <w:sz w:val="20"/>
              </w:rPr>
              <w:t> </w:t>
            </w:r>
            <w:hyperlink r:id="rId11">
              <w:r>
                <w:rPr>
                  <w:color w:val="0000FF"/>
                  <w:spacing w:val="-2"/>
                  <w:sz w:val="20"/>
                  <w:u w:val="single" w:color="0000FF"/>
                </w:rPr>
                <w:t>orphan-product-drugs-and-biological-products/corresponding-</w:t>
              </w:r>
            </w:hyperlink>
            <w:r>
              <w:rPr>
                <w:color w:val="0000FF"/>
                <w:spacing w:val="-2"/>
                <w:sz w:val="20"/>
              </w:rPr>
              <w:t> </w:t>
            </w:r>
            <w:hyperlink r:id="rId11">
              <w:r>
                <w:rPr>
                  <w:color w:val="0000FF"/>
                  <w:sz w:val="20"/>
                  <w:u w:val="single" w:color="0000FF"/>
                </w:rPr>
                <w:t>oopd-drug-designation-programs</w:t>
              </w:r>
            </w:hyperlink>
            <w:r>
              <w:rPr>
                <w:color w:val="0000FF"/>
                <w:sz w:val="20"/>
                <w:u w:val="single" w:color="0000FF"/>
              </w:rPr>
              <w:t> </w:t>
            </w:r>
            <w:r>
              <w:rPr>
                <w:color w:val="0000FF"/>
                <w:sz w:val="22"/>
                <w:u w:val="single" w:color="0000FF"/>
              </w:rPr>
              <w:t>.</w:t>
            </w:r>
          </w:p>
        </w:tc>
        <w:tc>
          <w:tcPr>
            <w:tcW w:w="1897" w:type="dxa"/>
          </w:tcPr>
          <w:p>
            <w:pPr>
              <w:pStyle w:val="TableParagraph"/>
              <w:spacing w:before="38"/>
              <w:ind w:left="108" w:right="139"/>
              <w:rPr>
                <w:sz w:val="20"/>
              </w:rPr>
            </w:pPr>
            <w:r>
              <w:rPr>
                <w:spacing w:val="-2"/>
                <w:sz w:val="20"/>
              </w:rPr>
              <w:t>Post-submission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to the FDA, annually, within two months following the anniversary of the designation grant until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Marketing </w:t>
            </w:r>
            <w:r>
              <w:rPr>
                <w:spacing w:val="-2"/>
                <w:sz w:val="20"/>
              </w:rPr>
              <w:t>Authorization </w:t>
            </w:r>
            <w:r>
              <w:rPr>
                <w:sz w:val="20"/>
              </w:rPr>
              <w:t>Application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(MAA) is validated, or </w:t>
            </w:r>
            <w:r>
              <w:rPr>
                <w:spacing w:val="-2"/>
                <w:sz w:val="20"/>
              </w:rPr>
              <w:t>subsequently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upon a specific FDA request</w:t>
            </w:r>
          </w:p>
        </w:tc>
      </w:tr>
    </w:tbl>
    <w:p>
      <w:pPr>
        <w:pStyle w:val="BodyText"/>
        <w:rPr>
          <w:sz w:val="24"/>
        </w:rPr>
      </w:pPr>
    </w:p>
    <w:p>
      <w:pPr>
        <w:pStyle w:val="ListParagraph"/>
        <w:numPr>
          <w:ilvl w:val="1"/>
          <w:numId w:val="1"/>
        </w:numPr>
        <w:tabs>
          <w:tab w:pos="1988" w:val="left" w:leader="none"/>
          <w:tab w:pos="1989" w:val="left" w:leader="none"/>
        </w:tabs>
        <w:spacing w:line="240" w:lineRule="auto" w:before="215" w:after="0"/>
        <w:ind w:left="1988" w:right="0" w:hanging="721"/>
        <w:jc w:val="left"/>
        <w:rPr>
          <w:b/>
          <w:sz w:val="22"/>
        </w:rPr>
      </w:pPr>
      <w:bookmarkStart w:name="Post Submission Activities – EMA Applica" w:id="13"/>
      <w:bookmarkEnd w:id="13"/>
      <w:r>
        <w:rPr>
          <w:b/>
          <w:sz w:val="22"/>
        </w:rPr>
        <w:t>Pos</w:t>
      </w:r>
      <w:r>
        <w:rPr>
          <w:b/>
          <w:sz w:val="22"/>
        </w:rPr>
        <w:t>t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Submission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Activities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–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EMA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Applications</w:t>
      </w:r>
    </w:p>
    <w:p>
      <w:pPr>
        <w:pStyle w:val="BodyText"/>
        <w:spacing w:before="122"/>
        <w:ind w:left="1988" w:right="723"/>
      </w:pPr>
      <w:r>
        <w:rPr/>
        <w:t>The ODD requests are submitted through the IRIS portal. The deadlines for submission of applications for orphan medicinal product designation to the EMA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corresponding</w:t>
      </w:r>
      <w:r>
        <w:rPr>
          <w:spacing w:val="-3"/>
        </w:rPr>
        <w:t> </w:t>
      </w:r>
      <w:r>
        <w:rPr/>
        <w:t>COMP</w:t>
      </w:r>
      <w:r>
        <w:rPr>
          <w:spacing w:val="-3"/>
        </w:rPr>
        <w:t> </w:t>
      </w:r>
      <w:r>
        <w:rPr/>
        <w:t>timetable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valid</w:t>
      </w:r>
      <w:r>
        <w:rPr>
          <w:spacing w:val="-3"/>
        </w:rPr>
        <w:t> </w:t>
      </w:r>
      <w:r>
        <w:rPr/>
        <w:t>applications</w:t>
      </w:r>
      <w:r>
        <w:rPr>
          <w:spacing w:val="-3"/>
        </w:rPr>
        <w:t> </w:t>
      </w:r>
      <w:r>
        <w:rPr/>
        <w:t>can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found</w:t>
      </w:r>
      <w:r>
        <w:rPr>
          <w:spacing w:val="-3"/>
        </w:rPr>
        <w:t> </w:t>
      </w:r>
      <w:r>
        <w:rPr/>
        <w:t>at </w:t>
      </w:r>
      <w:hyperlink r:id="rId13">
        <w:r>
          <w:rPr>
            <w:color w:val="0000FF"/>
            <w:spacing w:val="-2"/>
            <w:u w:val="single" w:color="0000FF"/>
          </w:rPr>
          <w:t>https://www.ema.europa.eu/en/human-regulatory/research-</w:t>
        </w:r>
      </w:hyperlink>
      <w:r>
        <w:rPr>
          <w:color w:val="0000FF"/>
          <w:spacing w:val="-2"/>
        </w:rPr>
        <w:t> </w:t>
      </w:r>
      <w:hyperlink r:id="rId13">
        <w:r>
          <w:rPr>
            <w:color w:val="0000FF"/>
            <w:spacing w:val="-2"/>
            <w:u w:val="single" w:color="0000FF"/>
          </w:rPr>
          <w:t>development/orphan-designation/applying-designation/submission-deadlines-</w:t>
        </w:r>
      </w:hyperlink>
      <w:r>
        <w:rPr>
          <w:color w:val="0000FF"/>
          <w:spacing w:val="-2"/>
        </w:rPr>
        <w:t> </w:t>
      </w:r>
      <w:hyperlink r:id="rId13">
        <w:r>
          <w:rPr>
            <w:color w:val="0000FF"/>
            <w:spacing w:val="-2"/>
            <w:u w:val="single" w:color="0000FF"/>
          </w:rPr>
          <w:t>orphan-designations</w:t>
        </w:r>
      </w:hyperlink>
      <w:r>
        <w:rPr>
          <w:color w:val="0000FF"/>
          <w:spacing w:val="-2"/>
          <w:u w:val="single" w:color="0000FF"/>
        </w:rPr>
        <w:t>.</w:t>
      </w:r>
    </w:p>
    <w:p>
      <w:pPr>
        <w:pStyle w:val="BodyText"/>
        <w:ind w:left="1988" w:right="686"/>
      </w:pPr>
      <w:r>
        <w:rPr/>
        <w:t>The evaluation process has a fixed duration of 90 days which includes a validation</w:t>
      </w:r>
      <w:r>
        <w:rPr>
          <w:spacing w:val="-3"/>
        </w:rPr>
        <w:t> </w:t>
      </w:r>
      <w:r>
        <w:rPr/>
        <w:t>step.</w:t>
      </w:r>
      <w:r>
        <w:rPr>
          <w:spacing w:val="-3"/>
        </w:rPr>
        <w:t> </w:t>
      </w:r>
      <w:r>
        <w:rPr/>
        <w:t>All</w:t>
      </w:r>
      <w:r>
        <w:rPr>
          <w:spacing w:val="-3"/>
        </w:rPr>
        <w:t> </w:t>
      </w:r>
      <w:r>
        <w:rPr/>
        <w:t>communications</w:t>
      </w:r>
      <w:r>
        <w:rPr>
          <w:spacing w:val="-3"/>
        </w:rPr>
        <w:t> </w:t>
      </w:r>
      <w:r>
        <w:rPr/>
        <w:t>between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applicant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agency</w:t>
      </w:r>
      <w:r>
        <w:rPr>
          <w:spacing w:val="-3"/>
        </w:rPr>
        <w:t> </w:t>
      </w:r>
      <w:r>
        <w:rPr/>
        <w:t>are conducted via IRIS. When IQVIA submits the ODD request through IQVIA registration to the IRIS platform on behalf of the non-EU customer, IQVIA is listed as the holder of this ODD.</w:t>
      </w:r>
    </w:p>
    <w:p>
      <w:pPr>
        <w:pStyle w:val="BodyText"/>
        <w:spacing w:before="1"/>
        <w:ind w:left="1988" w:right="790"/>
      </w:pPr>
      <w:r>
        <w:rPr/>
        <w:t>The COMP will issue an opinion that will be sent to the ODD holder through IRIS,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hard</w:t>
      </w:r>
      <w:r>
        <w:rPr>
          <w:spacing w:val="-3"/>
        </w:rPr>
        <w:t> </w:t>
      </w:r>
      <w:r>
        <w:rPr/>
        <w:t>copy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final</w:t>
      </w:r>
      <w:r>
        <w:rPr>
          <w:spacing w:val="-3"/>
        </w:rPr>
        <w:t> </w:t>
      </w:r>
      <w:r>
        <w:rPr/>
        <w:t>European</w:t>
      </w:r>
      <w:r>
        <w:rPr>
          <w:spacing w:val="-3"/>
        </w:rPr>
        <w:t> </w:t>
      </w:r>
      <w:r>
        <w:rPr/>
        <w:t>Commission</w:t>
      </w:r>
      <w:r>
        <w:rPr>
          <w:spacing w:val="-3"/>
        </w:rPr>
        <w:t> </w:t>
      </w:r>
      <w:r>
        <w:rPr/>
        <w:t>Decision</w:t>
      </w:r>
      <w:r>
        <w:rPr>
          <w:spacing w:val="-3"/>
        </w:rPr>
        <w:t> </w:t>
      </w:r>
      <w:r>
        <w:rPr/>
        <w:t>will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sent to the ODD holder by courier.</w:t>
      </w:r>
    </w:p>
    <w:p>
      <w:pPr>
        <w:spacing w:after="0"/>
        <w:sectPr>
          <w:pgSz w:w="11910" w:h="16840"/>
          <w:pgMar w:header="729" w:footer="947" w:top="2520" w:bottom="1140" w:left="800" w:right="72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2" w:after="1"/>
        <w:rPr>
          <w:sz w:val="24"/>
        </w:rPr>
      </w:pPr>
    </w:p>
    <w:tbl>
      <w:tblPr>
        <w:tblW w:w="0" w:type="auto"/>
        <w:jc w:val="left"/>
        <w:tblInd w:w="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right="168"/>
              <w:rPr>
                <w:sz w:val="20"/>
              </w:rPr>
            </w:pPr>
            <w:r>
              <w:rPr>
                <w:sz w:val="20"/>
              </w:rPr>
              <w:t>Notifies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timely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manner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about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correspondence received from the ODD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192"/>
              <w:rPr>
                <w:sz w:val="20"/>
              </w:rPr>
            </w:pPr>
            <w:r>
              <w:rPr>
                <w:spacing w:val="-2"/>
                <w:sz w:val="20"/>
              </w:rPr>
              <w:t>Post-submission </w:t>
            </w:r>
            <w:r>
              <w:rPr>
                <w:sz w:val="20"/>
              </w:rPr>
              <w:t>to the EMA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right="780"/>
              <w:jc w:val="both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separate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contract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EU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annual reports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activities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covered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 original contract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192"/>
              <w:rPr>
                <w:sz w:val="20"/>
              </w:rPr>
            </w:pPr>
            <w:r>
              <w:rPr>
                <w:spacing w:val="-2"/>
                <w:sz w:val="20"/>
              </w:rPr>
              <w:t>Post-submission </w:t>
            </w:r>
            <w:r>
              <w:rPr>
                <w:sz w:val="20"/>
              </w:rPr>
              <w:t>to the EMA</w:t>
            </w:r>
          </w:p>
        </w:tc>
      </w:tr>
      <w:tr>
        <w:trPr>
          <w:trHeight w:val="284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599" w:val="left" w:leader="none"/>
                <w:tab w:pos="600" w:val="left" w:leader="none"/>
              </w:tabs>
              <w:spacing w:line="240" w:lineRule="auto" w:before="0" w:after="0"/>
              <w:ind w:left="599" w:right="435" w:hanging="360"/>
              <w:jc w:val="left"/>
              <w:rPr>
                <w:sz w:val="20"/>
              </w:rPr>
            </w:pPr>
            <w:r>
              <w:rPr>
                <w:sz w:val="20"/>
              </w:rPr>
              <w:t>Verifies that the EU ODD annual reports on development provide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development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medicine.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599" w:val="left" w:leader="none"/>
                <w:tab w:pos="600" w:val="left" w:leader="none"/>
              </w:tabs>
              <w:spacing w:line="240" w:lineRule="auto" w:before="1" w:after="0"/>
              <w:ind w:left="599" w:right="492" w:hanging="360"/>
              <w:jc w:val="left"/>
              <w:rPr>
                <w:sz w:val="20"/>
              </w:rPr>
            </w:pPr>
            <w:r>
              <w:rPr>
                <w:sz w:val="20"/>
              </w:rPr>
              <w:t>Submits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EU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ODD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development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annually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IRIS portal Annual reports are submitted via IRIS portal.</w:t>
            </w:r>
          </w:p>
          <w:p>
            <w:pPr>
              <w:pStyle w:val="TableParagraph"/>
              <w:spacing w:line="244" w:lineRule="auto" w:before="109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time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EMA,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maintenance of orphan designation criteria is requested.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123"/>
              <w:rPr>
                <w:sz w:val="20"/>
              </w:rPr>
            </w:pPr>
            <w:r>
              <w:rPr>
                <w:spacing w:val="-2"/>
                <w:sz w:val="20"/>
              </w:rPr>
              <w:t>Post-submission </w:t>
            </w:r>
            <w:r>
              <w:rPr>
                <w:sz w:val="20"/>
              </w:rPr>
              <w:t>to EMA, annual, within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two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months following the anniversary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designation grant (EC Decision) until the MAA is validated, or </w:t>
            </w:r>
            <w:r>
              <w:rPr>
                <w:spacing w:val="-2"/>
                <w:sz w:val="20"/>
              </w:rPr>
              <w:t>subsequently </w:t>
            </w:r>
            <w:r>
              <w:rPr>
                <w:sz w:val="20"/>
              </w:rPr>
              <w:t>upon a specific EMA request</w:t>
            </w:r>
          </w:p>
        </w:tc>
      </w:tr>
    </w:tbl>
    <w:p>
      <w:pPr>
        <w:pStyle w:val="BodyText"/>
        <w:spacing w:before="10"/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94" w:after="0"/>
        <w:ind w:left="1360" w:right="0" w:hanging="720"/>
        <w:jc w:val="left"/>
        <w:rPr>
          <w:b/>
          <w:sz w:val="22"/>
        </w:rPr>
      </w:pPr>
      <w:bookmarkStart w:name="SUPPORTING DOCUMENTATION" w:id="14"/>
      <w:bookmarkEnd w:id="14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16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463" w:val="left" w:leader="none"/>
              </w:tabs>
              <w:spacing w:before="153"/>
              <w:ind w:left="743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CS_WI_RA032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Preparation,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 Provision of Regulatory Affairs Deliverables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153"/>
              <w:ind w:left="0" w:right="672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CS_TP_RA0295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148"/>
              <w:ind w:left="109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(QC)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Checklist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153"/>
              <w:ind w:left="0" w:right="687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CS_WI_RA0273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 Standalone Projects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153"/>
              <w:ind w:left="0" w:right="672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7">
              <w:r>
                <w:rPr>
                  <w:color w:val="0000FF"/>
                  <w:spacing w:val="-2"/>
                  <w:sz w:val="22"/>
                  <w:u w:val="single" w:color="0000FF"/>
                </w:rPr>
                <w:t>CS_TP_RA0302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4"/>
              <w:ind w:left="109" w:right="241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Orphan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Drug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Designation template for FDA submission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153"/>
              <w:ind w:left="0" w:right="687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8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CS_WI_RA0262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148"/>
              <w:ind w:left="109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Translation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documents</w:t>
            </w:r>
          </w:p>
        </w:tc>
      </w:tr>
      <w:tr>
        <w:trPr>
          <w:trHeight w:val="330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71"/>
              <w:rPr>
                <w:b/>
                <w:sz w:val="22"/>
              </w:rPr>
            </w:pPr>
            <w:bookmarkStart w:name="External References" w:id="15"/>
            <w:bookmarkEnd w:id="15"/>
            <w:r>
              <w:rPr/>
            </w:r>
            <w:r>
              <w:rPr>
                <w:b/>
                <w:sz w:val="22"/>
              </w:rPr>
              <w:t>External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863" w:hRule="atLeast"/>
        </w:trPr>
        <w:tc>
          <w:tcPr>
            <w:tcW w:w="3778" w:type="dxa"/>
          </w:tcPr>
          <w:p>
            <w:pPr>
              <w:pStyle w:val="TableParagraph"/>
              <w:tabs>
                <w:tab w:pos="1463" w:val="left" w:leader="none"/>
              </w:tabs>
              <w:spacing w:before="38"/>
              <w:ind w:left="1463" w:right="203" w:hanging="720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r>
              <w:rPr>
                <w:sz w:val="22"/>
              </w:rPr>
              <w:t>Applying for orphan designation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EU</w:t>
            </w:r>
          </w:p>
        </w:tc>
        <w:tc>
          <w:tcPr>
            <w:tcW w:w="6125" w:type="dxa"/>
          </w:tcPr>
          <w:p>
            <w:pPr>
              <w:pStyle w:val="TableParagraph"/>
              <w:spacing w:before="0"/>
              <w:ind w:left="109" w:right="241"/>
              <w:rPr>
                <w:sz w:val="22"/>
              </w:rPr>
            </w:pP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https://www.ema.europa.eu/en/human-regulatory/research-</w:t>
              </w:r>
            </w:hyperlink>
            <w:r>
              <w:rPr>
                <w:color w:val="0000FF"/>
                <w:spacing w:val="-2"/>
                <w:sz w:val="22"/>
              </w:rPr>
              <w:t> </w:t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development/orphan-designation/applying-orphan-</w:t>
              </w:r>
            </w:hyperlink>
            <w:r>
              <w:rPr>
                <w:color w:val="0000FF"/>
                <w:spacing w:val="-2"/>
                <w:sz w:val="22"/>
              </w:rPr>
              <w:t> </w:t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designation#</w:t>
              </w:r>
            </w:hyperlink>
          </w:p>
        </w:tc>
      </w:tr>
      <w:tr>
        <w:trPr>
          <w:trHeight w:val="863" w:hRule="atLeast"/>
        </w:trPr>
        <w:tc>
          <w:tcPr>
            <w:tcW w:w="3778" w:type="dxa"/>
          </w:tcPr>
          <w:p>
            <w:pPr>
              <w:pStyle w:val="TableParagraph"/>
              <w:tabs>
                <w:tab w:pos="1463" w:val="left" w:leader="none"/>
              </w:tabs>
              <w:spacing w:before="38"/>
              <w:ind w:left="1463" w:right="206" w:hanging="720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r>
              <w:rPr>
                <w:sz w:val="22"/>
              </w:rPr>
              <w:t>Applying for orphan designation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US</w:t>
            </w:r>
          </w:p>
        </w:tc>
        <w:tc>
          <w:tcPr>
            <w:tcW w:w="6125" w:type="dxa"/>
          </w:tcPr>
          <w:p>
            <w:pPr>
              <w:pStyle w:val="TableParagraph"/>
              <w:spacing w:before="0"/>
              <w:ind w:left="109" w:right="179"/>
              <w:rPr>
                <w:sz w:val="22"/>
              </w:rPr>
            </w:pPr>
            <w:hyperlink r:id="rId19">
              <w:r>
                <w:rPr>
                  <w:color w:val="0000FF"/>
                  <w:spacing w:val="-2"/>
                  <w:sz w:val="22"/>
                  <w:u w:val="single" w:color="0000FF"/>
                </w:rPr>
                <w:t>https://www.fda.gov/industry/developing-products-rare-</w:t>
              </w:r>
            </w:hyperlink>
            <w:r>
              <w:rPr>
                <w:color w:val="0000FF"/>
                <w:spacing w:val="-2"/>
                <w:sz w:val="22"/>
              </w:rPr>
              <w:t> </w:t>
            </w:r>
            <w:hyperlink r:id="rId19">
              <w:r>
                <w:rPr>
                  <w:color w:val="0000FF"/>
                  <w:spacing w:val="-2"/>
                  <w:sz w:val="22"/>
                  <w:u w:val="single" w:color="0000FF"/>
                </w:rPr>
                <w:t>diseases-conditions/designating-orphan-product-drugs-and-</w:t>
              </w:r>
            </w:hyperlink>
            <w:r>
              <w:rPr>
                <w:color w:val="0000FF"/>
                <w:spacing w:val="-2"/>
                <w:sz w:val="22"/>
              </w:rPr>
              <w:t> </w:t>
            </w:r>
            <w:hyperlink r:id="rId19">
              <w:r>
                <w:rPr>
                  <w:color w:val="0000FF"/>
                  <w:spacing w:val="-2"/>
                  <w:sz w:val="22"/>
                  <w:u w:val="single" w:color="0000FF"/>
                </w:rPr>
                <w:t>biological-products</w:t>
              </w:r>
            </w:hyperlink>
          </w:p>
        </w:tc>
      </w:tr>
    </w:tbl>
    <w:p>
      <w:pPr>
        <w:spacing w:after="0"/>
        <w:rPr>
          <w:sz w:val="22"/>
        </w:rPr>
        <w:sectPr>
          <w:pgSz w:w="11910" w:h="16840"/>
          <w:pgMar w:header="729" w:footer="947" w:top="2520" w:bottom="1140" w:left="800" w:right="72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94" w:after="0"/>
        <w:ind w:left="1360" w:right="0" w:hanging="720"/>
        <w:jc w:val="left"/>
        <w:rPr>
          <w:b/>
          <w:sz w:val="22"/>
        </w:rPr>
      </w:pPr>
      <w:bookmarkStart w:name="SUPERSEDES" w:id="16"/>
      <w:bookmarkEnd w:id="16"/>
      <w:r>
        <w:rPr>
          <w:b/>
          <w:spacing w:val="-2"/>
          <w:sz w:val="22"/>
        </w:rPr>
        <w:t>SUPERSEDES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18"/>
        <w:gridCol w:w="3149"/>
        <w:gridCol w:w="3351"/>
      </w:tblGrid>
      <w:tr>
        <w:trPr>
          <w:trHeight w:val="292" w:hRule="atLeast"/>
        </w:trPr>
        <w:tc>
          <w:tcPr>
            <w:tcW w:w="341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10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149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3351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767" w:hRule="atLeast"/>
        </w:trPr>
        <w:tc>
          <w:tcPr>
            <w:tcW w:w="3418" w:type="dxa"/>
          </w:tcPr>
          <w:p>
            <w:pPr>
              <w:pStyle w:val="TableParagraph"/>
              <w:tabs>
                <w:tab w:pos="1458" w:val="left" w:leader="none"/>
              </w:tabs>
              <w:spacing w:before="38"/>
              <w:ind w:left="739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CS_WI_RA0299</w:t>
            </w:r>
          </w:p>
        </w:tc>
        <w:tc>
          <w:tcPr>
            <w:tcW w:w="3149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z w:val="20"/>
              </w:rPr>
              <w:t>Global Regulatory Affairs – Application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US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EU Orphan Drug Designation</w:t>
            </w:r>
          </w:p>
        </w:tc>
        <w:tc>
          <w:tcPr>
            <w:tcW w:w="3351" w:type="dxa"/>
          </w:tcPr>
          <w:p>
            <w:pPr>
              <w:pStyle w:val="TableParagraph"/>
              <w:spacing w:before="38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1</w:t>
            </w:r>
          </w:p>
        </w:tc>
      </w:tr>
    </w:tbl>
    <w:p>
      <w:pPr>
        <w:pStyle w:val="BodyText"/>
        <w:spacing w:before="10"/>
        <w:rPr>
          <w:b/>
          <w:sz w:val="30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1" w:after="0"/>
        <w:ind w:left="1360" w:right="0" w:hanging="720"/>
        <w:jc w:val="left"/>
        <w:rPr>
          <w:b/>
          <w:sz w:val="22"/>
        </w:rPr>
      </w:pPr>
      <w:bookmarkStart w:name="MODIFICATION FROM PREVIOUS REVISION" w:id="17"/>
      <w:bookmarkEnd w:id="17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Renamed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RAM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RPM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3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10"/>
                <w:sz w:val="22"/>
              </w:rPr>
              <w:t>6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 w:right="138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consistent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other GRA work instructions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requirements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EMA </w:t>
            </w:r>
            <w:r>
              <w:rPr>
                <w:spacing w:val="-2"/>
                <w:sz w:val="22"/>
              </w:rPr>
              <w:t>applications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6.2.9</w:t>
            </w:r>
          </w:p>
        </w:tc>
        <w:tc>
          <w:tcPr>
            <w:tcW w:w="330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rPr>
          <w:b/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209" w:after="0"/>
        <w:ind w:left="1360" w:right="0" w:hanging="720"/>
        <w:jc w:val="left"/>
        <w:rPr>
          <w:b/>
          <w:sz w:val="22"/>
        </w:rPr>
      </w:pPr>
      <w:bookmarkStart w:name="APPENDICES" w:id="18"/>
      <w:bookmarkEnd w:id="18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17" w:val="left" w:leader="none"/>
        </w:tabs>
        <w:spacing w:line="240" w:lineRule="auto" w:before="0" w:after="0"/>
        <w:ind w:left="1916" w:right="0" w:hanging="567"/>
        <w:jc w:val="left"/>
        <w:rPr>
          <w:b/>
          <w:sz w:val="22"/>
        </w:rPr>
      </w:pPr>
      <w:bookmarkStart w:name="Appendix A: Process workflow" w:id="19"/>
      <w:bookmarkEnd w:id="19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5"/>
          <w:sz w:val="22"/>
        </w:rPr>
        <w:t> </w:t>
      </w:r>
      <w:r>
        <w:rPr>
          <w:b/>
          <w:sz w:val="22"/>
        </w:rPr>
        <w:t>Process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17" w:val="left" w:leader="none"/>
        </w:tabs>
        <w:spacing w:line="240" w:lineRule="auto" w:before="0" w:after="0"/>
        <w:ind w:left="1916" w:right="0" w:hanging="567"/>
        <w:jc w:val="left"/>
        <w:rPr>
          <w:b/>
          <w:sz w:val="22"/>
        </w:rPr>
      </w:pPr>
      <w:bookmarkStart w:name="Appendix B: Example of Cover letter (for" w:id="20"/>
      <w:bookmarkEnd w:id="20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56"/>
          <w:sz w:val="22"/>
        </w:rPr>
        <w:t> </w:t>
      </w:r>
      <w:r>
        <w:rPr>
          <w:b/>
          <w:sz w:val="22"/>
        </w:rPr>
        <w:t>Example of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Cover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letter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(for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FDA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ODD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submission)</w:t>
      </w:r>
    </w:p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17" w:val="left" w:leader="none"/>
        </w:tabs>
        <w:spacing w:line="240" w:lineRule="auto" w:before="0" w:after="0"/>
        <w:ind w:left="3332" w:right="1482" w:hanging="1983"/>
        <w:jc w:val="left"/>
        <w:rPr>
          <w:b/>
          <w:sz w:val="22"/>
        </w:rPr>
      </w:pPr>
      <w:bookmarkStart w:name="Appendix C: Example of Authorization to " w:id="21"/>
      <w:bookmarkEnd w:id="21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C:</w:t>
      </w:r>
      <w:r>
        <w:rPr>
          <w:b/>
          <w:spacing w:val="40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Authorization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submit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letter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(for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non-US customer FDA ODD submission)</w:t>
      </w:r>
    </w:p>
    <w:p>
      <w:pPr>
        <w:pStyle w:val="BodyText"/>
        <w:spacing w:before="1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17" w:val="left" w:leader="none"/>
        </w:tabs>
        <w:spacing w:line="240" w:lineRule="auto" w:before="0" w:after="0"/>
        <w:ind w:left="3332" w:right="1309" w:hanging="1983"/>
        <w:jc w:val="left"/>
        <w:rPr>
          <w:b/>
          <w:sz w:val="22"/>
        </w:rPr>
      </w:pPr>
      <w:bookmarkStart w:name="Appendix D: Example of Self-sertificatio" w:id="22"/>
      <w:bookmarkEnd w:id="22"/>
      <w:r>
        <w:rPr>
          <w:b/>
          <w:sz w:val="22"/>
        </w:rPr>
        <w:t>A</w:t>
      </w:r>
      <w:r>
        <w:rPr>
          <w:b/>
          <w:sz w:val="22"/>
        </w:rPr>
        <w:t>ppendix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D:</w:t>
      </w:r>
      <w:r>
        <w:rPr>
          <w:b/>
          <w:spacing w:val="40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Self-sertification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amendment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(for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FDA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ODD </w:t>
      </w:r>
      <w:r>
        <w:rPr>
          <w:b/>
          <w:spacing w:val="-2"/>
          <w:sz w:val="22"/>
        </w:rPr>
        <w:t>submission)</w:t>
      </w:r>
    </w:p>
    <w:p>
      <w:pPr>
        <w:spacing w:after="0" w:line="240" w:lineRule="auto"/>
        <w:jc w:val="left"/>
        <w:rPr>
          <w:sz w:val="22"/>
        </w:rPr>
        <w:sectPr>
          <w:pgSz w:w="11910" w:h="16840"/>
          <w:pgMar w:header="729" w:footer="947" w:top="2520" w:bottom="1140" w:left="800" w:right="720"/>
        </w:sectPr>
      </w:pPr>
    </w:p>
    <w:tbl>
      <w:tblPr>
        <w:tblW w:w="0" w:type="auto"/>
        <w:jc w:val="left"/>
        <w:tblInd w:w="19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02"/>
        <w:gridCol w:w="4953"/>
      </w:tblGrid>
      <w:tr>
        <w:trPr>
          <w:trHeight w:val="954" w:hRule="atLeast"/>
        </w:trPr>
        <w:tc>
          <w:tcPr>
            <w:tcW w:w="4502" w:type="dxa"/>
            <w:vMerge w:val="restart"/>
          </w:tcPr>
          <w:p>
            <w:pPr>
              <w:pStyle w:val="TableParagraph"/>
              <w:spacing w:before="0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spacing w:before="0"/>
              <w:ind w:left="59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22616" cy="369188"/>
                  <wp:effectExtent l="0" t="0" r="0" b="0"/>
                  <wp:docPr id="5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616" cy="369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4953" w:type="dxa"/>
          </w:tcPr>
          <w:p>
            <w:pPr>
              <w:pStyle w:val="TableParagraph"/>
              <w:spacing w:before="158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Title:</w:t>
            </w:r>
          </w:p>
          <w:p>
            <w:pPr>
              <w:pStyle w:val="TableParagraph"/>
              <w:spacing w:line="235" w:lineRule="auto" w:before="8"/>
              <w:ind w:left="105" w:right="184"/>
              <w:rPr>
                <w:sz w:val="20"/>
              </w:rPr>
            </w:pPr>
            <w:r>
              <w:rPr>
                <w:sz w:val="20"/>
              </w:rPr>
              <w:t>Global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Affairs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 and EU Orphan Drug Designation</w:t>
            </w:r>
          </w:p>
        </w:tc>
      </w:tr>
      <w:tr>
        <w:trPr>
          <w:trHeight w:val="825" w:hRule="atLeast"/>
        </w:trPr>
        <w:tc>
          <w:tcPr>
            <w:tcW w:w="450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953" w:type="dxa"/>
          </w:tcPr>
          <w:p>
            <w:pPr>
              <w:pStyle w:val="TableParagraph"/>
              <w:spacing w:before="182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72"/>
              <w:ind w:left="105"/>
              <w:rPr>
                <w:sz w:val="20"/>
              </w:rPr>
            </w:pPr>
            <w:r>
              <w:rPr>
                <w:sz w:val="20"/>
              </w:rPr>
              <w:t>CS_WI_RA0299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2</w:t>
            </w:r>
          </w:p>
        </w:tc>
      </w:tr>
    </w:tbl>
    <w:p>
      <w:pPr>
        <w:pStyle w:val="BodyText"/>
        <w:spacing w:before="8"/>
        <w:rPr>
          <w:b/>
          <w:sz w:val="15"/>
        </w:rPr>
      </w:pPr>
      <w:r>
        <w:rPr/>
        <w:pict>
          <v:rect style="position:absolute;margin-left:66pt;margin-top:554.400024pt;width:655.44pt;height:.24pt;mso-position-horizontal-relative:page;mso-position-vertical-relative:page;z-index:15729664" id="docshape6" filled="true" fillcolor="#000000" stroked="false">
            <v:fill type="solid"/>
            <w10:wrap type="none"/>
          </v:rect>
        </w:pict>
      </w:r>
    </w:p>
    <w:p>
      <w:pPr>
        <w:spacing w:before="93"/>
        <w:ind w:left="930" w:right="0" w:firstLine="0"/>
        <w:jc w:val="left"/>
        <w:rPr>
          <w:b/>
          <w:sz w:val="22"/>
        </w:rPr>
      </w:pPr>
      <w:bookmarkStart w:name="Appendix A: Process workflow" w:id="23"/>
      <w:bookmarkEnd w:id="23"/>
      <w:r>
        <w:rPr/>
      </w:r>
      <w:r>
        <w:rPr>
          <w:b/>
          <w:sz w:val="22"/>
        </w:rPr>
        <w:t>Appendix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Process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spacing w:before="4"/>
        <w:rPr>
          <w:b/>
          <w:sz w:val="9"/>
        </w:rPr>
      </w:pPr>
      <w:r>
        <w:rPr/>
        <w:drawing>
          <wp:anchor distT="0" distB="0" distL="0" distR="0" allowOverlap="1" layoutInCell="1" locked="0" behindDoc="0" simplePos="0" relativeHeight="1">
            <wp:simplePos x="0" y="0"/>
            <wp:positionH relativeFrom="page">
              <wp:posOffset>1124711</wp:posOffset>
            </wp:positionH>
            <wp:positionV relativeFrom="paragraph">
              <wp:posOffset>83652</wp:posOffset>
            </wp:positionV>
            <wp:extent cx="7837581" cy="4818888"/>
            <wp:effectExtent l="0" t="0" r="0" b="0"/>
            <wp:wrapTopAndBottom/>
            <wp:docPr id="7" name="image2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7581" cy="48188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"/>
        <w:rPr>
          <w:b/>
          <w:sz w:val="29"/>
        </w:rPr>
      </w:pPr>
    </w:p>
    <w:p>
      <w:pPr>
        <w:spacing w:line="183" w:lineRule="exact" w:before="0"/>
        <w:ind w:left="6200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8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5"/>
          <w:sz w:val="16"/>
        </w:rPr>
        <w:t>11</w:t>
      </w:r>
    </w:p>
    <w:p>
      <w:pPr>
        <w:spacing w:line="244" w:lineRule="auto" w:before="0"/>
        <w:ind w:left="128" w:right="0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1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1"/>
          <w:sz w:val="16"/>
        </w:rPr>
        <w:t> </w:t>
      </w:r>
      <w:r>
        <w:rPr>
          <w:sz w:val="16"/>
        </w:rPr>
        <w:t>2022.</w:t>
      </w:r>
      <w:r>
        <w:rPr>
          <w:spacing w:val="-5"/>
          <w:sz w:val="16"/>
        </w:rPr>
        <w:t> </w:t>
      </w:r>
      <w:r>
        <w:rPr>
          <w:sz w:val="16"/>
        </w:rPr>
        <w:t>IQVIA.</w:t>
      </w:r>
      <w:r>
        <w:rPr>
          <w:spacing w:val="-1"/>
          <w:sz w:val="16"/>
        </w:rPr>
        <w:t> </w:t>
      </w:r>
      <w:r>
        <w:rPr>
          <w:sz w:val="16"/>
        </w:rPr>
        <w:t>All</w:t>
      </w:r>
      <w:r>
        <w:rPr>
          <w:spacing w:val="-2"/>
          <w:sz w:val="16"/>
        </w:rPr>
        <w:t> </w:t>
      </w:r>
      <w:r>
        <w:rPr>
          <w:sz w:val="16"/>
        </w:rPr>
        <w:t>rights</w:t>
      </w:r>
      <w:r>
        <w:rPr>
          <w:spacing w:val="-2"/>
          <w:sz w:val="16"/>
        </w:rPr>
        <w:t> </w:t>
      </w:r>
      <w:r>
        <w:rPr>
          <w:sz w:val="16"/>
        </w:rPr>
        <w:t>reserved.</w:t>
      </w:r>
      <w:r>
        <w:rPr>
          <w:spacing w:val="-2"/>
          <w:sz w:val="16"/>
        </w:rPr>
        <w:t> </w:t>
      </w:r>
      <w:r>
        <w:rPr>
          <w:sz w:val="16"/>
        </w:rPr>
        <w:t>The</w:t>
      </w:r>
      <w:r>
        <w:rPr>
          <w:spacing w:val="-1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2"/>
          <w:sz w:val="16"/>
        </w:rPr>
        <w:t> </w:t>
      </w:r>
      <w:r>
        <w:rPr>
          <w:sz w:val="16"/>
        </w:rPr>
        <w:t>this</w:t>
      </w:r>
      <w:r>
        <w:rPr>
          <w:spacing w:val="-1"/>
          <w:sz w:val="16"/>
        </w:rPr>
        <w:t> </w:t>
      </w:r>
      <w:r>
        <w:rPr>
          <w:sz w:val="16"/>
        </w:rPr>
        <w:t>document</w:t>
      </w:r>
      <w:r>
        <w:rPr>
          <w:spacing w:val="-2"/>
          <w:sz w:val="16"/>
        </w:rPr>
        <w:t> </w:t>
      </w:r>
      <w:r>
        <w:rPr>
          <w:sz w:val="16"/>
        </w:rPr>
        <w:t>are</w:t>
      </w:r>
      <w:r>
        <w:rPr>
          <w:spacing w:val="-2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</w:t>
      </w:r>
      <w:r>
        <w:rPr>
          <w:spacing w:val="-2"/>
          <w:sz w:val="16"/>
        </w:rPr>
        <w:t> </w:t>
      </w:r>
      <w:r>
        <w:rPr>
          <w:sz w:val="16"/>
        </w:rPr>
        <w:t>proprietary</w:t>
      </w:r>
      <w:r>
        <w:rPr>
          <w:spacing w:val="-2"/>
          <w:sz w:val="16"/>
        </w:rPr>
        <w:t> </w:t>
      </w:r>
      <w:r>
        <w:rPr>
          <w:sz w:val="16"/>
        </w:rPr>
        <w:t>to</w:t>
      </w:r>
      <w:r>
        <w:rPr>
          <w:spacing w:val="-1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</w:t>
      </w:r>
      <w:r>
        <w:rPr>
          <w:spacing w:val="-2"/>
          <w:sz w:val="16"/>
        </w:rPr>
        <w:t> </w:t>
      </w:r>
      <w:r>
        <w:rPr>
          <w:sz w:val="16"/>
        </w:rPr>
        <w:t>Inc.</w:t>
      </w:r>
      <w:r>
        <w:rPr>
          <w:spacing w:val="-1"/>
          <w:sz w:val="16"/>
        </w:rPr>
        <w:t> </w:t>
      </w:r>
      <w:r>
        <w:rPr>
          <w:sz w:val="16"/>
        </w:rPr>
        <w:t>and</w:t>
      </w:r>
      <w:r>
        <w:rPr>
          <w:spacing w:val="-2"/>
          <w:sz w:val="16"/>
        </w:rPr>
        <w:t> </w:t>
      </w:r>
      <w:r>
        <w:rPr>
          <w:sz w:val="16"/>
        </w:rPr>
        <w:t>its</w:t>
      </w:r>
      <w:r>
        <w:rPr>
          <w:spacing w:val="-2"/>
          <w:sz w:val="16"/>
        </w:rPr>
        <w:t> </w:t>
      </w:r>
      <w:r>
        <w:rPr>
          <w:sz w:val="16"/>
        </w:rPr>
        <w:t>subsidiaries.</w:t>
      </w:r>
      <w:r>
        <w:rPr>
          <w:spacing w:val="-3"/>
          <w:sz w:val="16"/>
        </w:rPr>
        <w:t> </w:t>
      </w:r>
      <w:r>
        <w:rPr>
          <w:sz w:val="16"/>
        </w:rPr>
        <w:t>Unauthorized</w:t>
      </w:r>
      <w:r>
        <w:rPr>
          <w:spacing w:val="-1"/>
          <w:sz w:val="16"/>
        </w:rPr>
        <w:t> </w:t>
      </w:r>
      <w:r>
        <w:rPr>
          <w:sz w:val="16"/>
        </w:rPr>
        <w:t>use, disclosure or reproduction is strictly prohibited.</w:t>
      </w:r>
    </w:p>
    <w:p>
      <w:pPr>
        <w:spacing w:before="105"/>
        <w:ind w:left="2851" w:right="2391" w:firstLine="0"/>
        <w:jc w:val="center"/>
        <w:rPr>
          <w:rFonts w:ascii="Trebuchet MS"/>
          <w:sz w:val="24"/>
        </w:rPr>
      </w:pPr>
      <w:r>
        <w:rPr>
          <w:rFonts w:ascii="Trebuchet MS"/>
          <w:color w:val="191919"/>
          <w:spacing w:val="-6"/>
          <w:sz w:val="24"/>
        </w:rPr>
        <w:t>UNCONTROLLED</w:t>
      </w:r>
      <w:r>
        <w:rPr>
          <w:rFonts w:ascii="Trebuchet MS"/>
          <w:color w:val="191919"/>
          <w:spacing w:val="-21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COPY</w:t>
      </w:r>
      <w:r>
        <w:rPr>
          <w:rFonts w:ascii="Trebuchet MS"/>
          <w:color w:val="191919"/>
          <w:spacing w:val="-20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CS_WI_RA0299</w:t>
      </w:r>
      <w:r>
        <w:rPr>
          <w:rFonts w:ascii="Trebuchet MS"/>
          <w:color w:val="191919"/>
          <w:spacing w:val="-20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Revision</w:t>
      </w:r>
      <w:r>
        <w:rPr>
          <w:rFonts w:ascii="Trebuchet MS"/>
          <w:color w:val="191919"/>
          <w:spacing w:val="-20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2</w:t>
      </w:r>
      <w:r>
        <w:rPr>
          <w:rFonts w:ascii="Trebuchet MS"/>
          <w:color w:val="191919"/>
          <w:spacing w:val="-20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-</w:t>
      </w:r>
      <w:r>
        <w:rPr>
          <w:rFonts w:ascii="Trebuchet MS"/>
          <w:color w:val="191919"/>
          <w:spacing w:val="-21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EFFECTIVE</w:t>
      </w:r>
      <w:r>
        <w:rPr>
          <w:rFonts w:ascii="Trebuchet MS"/>
          <w:color w:val="191919"/>
          <w:spacing w:val="-20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on</w:t>
      </w:r>
      <w:r>
        <w:rPr>
          <w:rFonts w:ascii="Trebuchet MS"/>
          <w:color w:val="191919"/>
          <w:spacing w:val="-20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01-Jul-2022</w:t>
      </w:r>
    </w:p>
    <w:p>
      <w:pPr>
        <w:spacing w:after="0"/>
        <w:jc w:val="center"/>
        <w:rPr>
          <w:rFonts w:ascii="Trebuchet MS"/>
          <w:sz w:val="24"/>
        </w:rPr>
        <w:sectPr>
          <w:headerReference w:type="default" r:id="rId20"/>
          <w:footerReference w:type="default" r:id="rId21"/>
          <w:pgSz w:w="15840" w:h="12240" w:orient="landscape"/>
          <w:pgMar w:header="0" w:footer="0" w:top="720" w:bottom="0" w:left="1220" w:right="1680"/>
        </w:sectPr>
      </w:pP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spacing w:before="6"/>
        <w:rPr>
          <w:rFonts w:ascii="Trebuchet MS"/>
        </w:rPr>
      </w:pPr>
    </w:p>
    <w:p>
      <w:pPr>
        <w:spacing w:before="0"/>
        <w:ind w:left="848" w:right="0" w:firstLine="0"/>
        <w:jc w:val="left"/>
        <w:rPr>
          <w:b/>
          <w:sz w:val="22"/>
        </w:rPr>
      </w:pPr>
      <w:bookmarkStart w:name="Appendix B: Example of Cover letter (for" w:id="24"/>
      <w:bookmarkEnd w:id="24"/>
      <w:r>
        <w:rPr/>
      </w:r>
      <w:r>
        <w:rPr>
          <w:b/>
          <w:sz w:val="22"/>
        </w:rPr>
        <w:t>Appendix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Cover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letter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(for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FDA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ODD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submission)</w:t>
      </w:r>
    </w:p>
    <w:p>
      <w:pPr>
        <w:pStyle w:val="BodyText"/>
        <w:spacing w:before="2"/>
        <w:rPr>
          <w:b/>
          <w:sz w:val="10"/>
        </w:rPr>
      </w:pPr>
      <w:r>
        <w:rPr/>
        <w:pict>
          <v:group style="position:absolute;margin-left:72.959999pt;margin-top:7.049512pt;width:453.85pt;height:531.6pt;mso-position-horizontal-relative:page;mso-position-vertical-relative:paragraph;z-index:-15726592;mso-wrap-distance-left:0;mso-wrap-distance-right:0" id="docshapegroup10" coordorigin="1459,141" coordsize="9077,10632">
            <v:shape style="position:absolute;left:1473;top:513;width:9048;height:10204" type="#_x0000_t75" id="docshape11" stroked="false">
              <v:imagedata r:id="rId25" o:title=""/>
            </v:shape>
            <v:shape style="position:absolute;left:1459;top:141;width:9077;height:10632" id="docshape12" coordorigin="1459,141" coordsize="9077,10632" path="m10531,10773l1459,10773,1459,141,10531,141,10536,146,10536,151,1474,151,1464,155,1474,155,1474,10759,1464,10759,1474,10763,10536,10763,10536,10768,10531,10773xm1474,155l1464,155,1474,151,1474,155xm10522,155l1474,155,1474,151,10522,151,10522,155xm10522,10763l10522,151,10526,155,10536,155,10536,10759,10526,10759,10522,10763xm10536,155l10526,155,10522,151,10536,151,10536,155xm1474,10763l1464,10759,1474,10759,1474,10763xm10522,10763l1474,10763,1474,10759,10522,10759,10522,10763xm10536,10763l10522,10763,10526,10759,10536,10759,10536,10763xe" filled="true" fillcolor="#000000" stroked="false">
              <v:path arrowok="t"/>
              <v:fill type="solid"/>
            </v:shape>
            <w10:wrap type="topAndBottom"/>
          </v:group>
        </w:pict>
      </w:r>
    </w:p>
    <w:p>
      <w:pPr>
        <w:spacing w:after="0"/>
        <w:rPr>
          <w:sz w:val="10"/>
        </w:rPr>
        <w:sectPr>
          <w:headerReference w:type="default" r:id="rId23"/>
          <w:footerReference w:type="default" r:id="rId24"/>
          <w:pgSz w:w="12240" w:h="15840"/>
          <w:pgMar w:header="744" w:footer="952" w:top="2540" w:bottom="1140" w:left="1220" w:right="1240"/>
          <w:pgNumType w:start="9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930" w:right="0" w:firstLine="0"/>
        <w:jc w:val="left"/>
        <w:rPr>
          <w:b/>
          <w:sz w:val="22"/>
        </w:rPr>
      </w:pPr>
      <w:bookmarkStart w:name="Appendix C: Example of Authorization to " w:id="25"/>
      <w:bookmarkEnd w:id="25"/>
      <w:r>
        <w:rPr/>
      </w:r>
      <w:r>
        <w:rPr>
          <w:b/>
          <w:sz w:val="22"/>
        </w:rPr>
        <w:t>Appendix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C: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 Authorization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submit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letter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(for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non-US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customer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FDA ODD submission)</w:t>
      </w:r>
    </w:p>
    <w:p>
      <w:pPr>
        <w:pStyle w:val="BodyText"/>
        <w:spacing w:before="122"/>
        <w:ind w:left="940"/>
      </w:pPr>
      <w:r>
        <w:rPr/>
        <w:t>On</w:t>
      </w:r>
      <w:r>
        <w:rPr>
          <w:spacing w:val="-2"/>
        </w:rPr>
        <w:t> </w:t>
      </w:r>
      <w:r>
        <w:rPr/>
        <w:t>client’s</w:t>
      </w:r>
      <w:r>
        <w:rPr>
          <w:spacing w:val="-3"/>
        </w:rPr>
        <w:t> </w:t>
      </w:r>
      <w:r>
        <w:rPr>
          <w:spacing w:val="-2"/>
        </w:rPr>
        <w:t>letterhead:</w:t>
      </w:r>
    </w:p>
    <w:p>
      <w:pPr>
        <w:pStyle w:val="BodyText"/>
        <w:spacing w:before="4"/>
        <w:rPr>
          <w:sz w:val="23"/>
        </w:rPr>
      </w:pPr>
    </w:p>
    <w:p>
      <w:pPr>
        <w:spacing w:before="93"/>
        <w:ind w:left="426" w:right="385" w:firstLine="0"/>
        <w:jc w:val="left"/>
        <w:rPr>
          <w:b/>
          <w:sz w:val="22"/>
        </w:rPr>
      </w:pPr>
      <w:r>
        <w:rPr/>
        <w:pict>
          <v:shape style="position:absolute;margin-left:67.920006pt;margin-top:.808818pt;width:474.25pt;height:464.2pt;mso-position-horizontal-relative:page;mso-position-vertical-relative:paragraph;z-index:-16242176" id="docshape13" coordorigin="1358,16" coordsize="9485,9284" path="m4651,8191l4574,8191,4574,8200,4651,8200,4651,8191xm10843,16l10829,16,10829,31,10829,9285,1373,9285,1373,31,10829,31,10829,16,1358,16,1358,9299,10843,9299,10843,9295,10843,9285,10843,31,10843,26,10843,16xe" filled="true" fillcolor="#000000" stroked="false">
            <v:path arrowok="t"/>
            <v:fill type="solid"/>
            <w10:wrap type="none"/>
          </v:shape>
        </w:pict>
      </w:r>
      <w:r>
        <w:rPr>
          <w:b/>
          <w:sz w:val="22"/>
        </w:rPr>
        <w:t>AUTHORIZATION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SUBMIT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MATERIALS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FOOD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DRUG </w:t>
      </w:r>
      <w:r>
        <w:rPr>
          <w:b/>
          <w:spacing w:val="-2"/>
          <w:sz w:val="22"/>
        </w:rPr>
        <w:t>ADMINISTRATION</w:t>
      </w:r>
    </w:p>
    <w:p>
      <w:pPr>
        <w:pStyle w:val="BodyText"/>
        <w:spacing w:before="3"/>
        <w:rPr>
          <w:b/>
          <w:sz w:val="31"/>
        </w:rPr>
      </w:pPr>
    </w:p>
    <w:p>
      <w:pPr>
        <w:spacing w:before="1"/>
        <w:ind w:left="426" w:right="0" w:firstLine="0"/>
        <w:jc w:val="left"/>
        <w:rPr>
          <w:rFonts w:ascii="Times New Roman"/>
          <w:sz w:val="24"/>
        </w:rPr>
      </w:pPr>
      <w:r>
        <w:rPr>
          <w:rFonts w:ascii="Times New Roman"/>
          <w:color w:val="FF0000"/>
          <w:sz w:val="24"/>
        </w:rPr>
        <w:t>Month Date, </w:t>
      </w:r>
      <w:r>
        <w:rPr>
          <w:rFonts w:ascii="Times New Roman"/>
          <w:color w:val="FF0000"/>
          <w:spacing w:val="-4"/>
          <w:sz w:val="24"/>
        </w:rPr>
        <w:t>Year</w:t>
      </w:r>
    </w:p>
    <w:p>
      <w:pPr>
        <w:pStyle w:val="BodyText"/>
        <w:rPr>
          <w:rFonts w:ascii="Times New Roman"/>
          <w:sz w:val="31"/>
        </w:rPr>
      </w:pPr>
    </w:p>
    <w:p>
      <w:pPr>
        <w:tabs>
          <w:tab w:pos="3536" w:val="left" w:leader="none"/>
        </w:tabs>
        <w:spacing w:before="1"/>
        <w:ind w:left="407" w:right="0" w:firstLine="0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Name</w:t>
      </w:r>
      <w:r>
        <w:rPr>
          <w:rFonts w:ascii="Times New Roman" w:hAnsi="Times New Roman"/>
          <w:spacing w:val="-1"/>
          <w:sz w:val="24"/>
        </w:rPr>
        <w:t> </w:t>
      </w:r>
      <w:r>
        <w:rPr>
          <w:rFonts w:ascii="Times New Roman" w:hAnsi="Times New Roman"/>
          <w:sz w:val="24"/>
        </w:rPr>
        <w:t>of</w:t>
      </w:r>
      <w:r>
        <w:rPr>
          <w:rFonts w:ascii="Times New Roman" w:hAnsi="Times New Roman"/>
          <w:spacing w:val="-7"/>
          <w:sz w:val="24"/>
        </w:rPr>
        <w:t> </w:t>
      </w:r>
      <w:r>
        <w:rPr>
          <w:rFonts w:ascii="Times New Roman" w:hAnsi="Times New Roman"/>
          <w:spacing w:val="-2"/>
          <w:sz w:val="24"/>
        </w:rPr>
        <w:t>Sponsor: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color w:val="FF0000"/>
          <w:sz w:val="24"/>
        </w:rPr>
        <w:t>CLIENT’s</w:t>
      </w:r>
      <w:r>
        <w:rPr>
          <w:rFonts w:ascii="Times New Roman" w:hAnsi="Times New Roman"/>
          <w:color w:val="FF0000"/>
          <w:spacing w:val="-6"/>
          <w:sz w:val="24"/>
        </w:rPr>
        <w:t> </w:t>
      </w:r>
      <w:r>
        <w:rPr>
          <w:rFonts w:ascii="Times New Roman" w:hAnsi="Times New Roman"/>
          <w:color w:val="FF0000"/>
          <w:spacing w:val="-4"/>
          <w:sz w:val="24"/>
        </w:rPr>
        <w:t>NAME</w:t>
      </w:r>
      <w:r>
        <w:rPr>
          <w:rFonts w:ascii="Times New Roman" w:hAnsi="Times New Roman"/>
          <w:spacing w:val="-4"/>
          <w:sz w:val="24"/>
        </w:rPr>
        <w:t>.</w:t>
      </w:r>
    </w:p>
    <w:p>
      <w:pPr>
        <w:tabs>
          <w:tab w:pos="3541" w:val="left" w:leader="none"/>
        </w:tabs>
        <w:spacing w:line="273" w:lineRule="auto" w:before="2"/>
        <w:ind w:left="407" w:right="2124" w:firstLine="0"/>
        <w:jc w:val="left"/>
        <w:rPr>
          <w:rFonts w:ascii="Times New Roman"/>
          <w:sz w:val="24"/>
        </w:rPr>
      </w:pPr>
      <w:r>
        <w:rPr>
          <w:rFonts w:ascii="Times New Roman"/>
          <w:position w:val="-3"/>
          <w:sz w:val="24"/>
        </w:rPr>
        <w:t>Type of FDA Submission</w:t>
        <w:tab/>
      </w:r>
      <w:r>
        <w:rPr>
          <w:rFonts w:ascii="Times New Roman"/>
          <w:sz w:val="24"/>
        </w:rPr>
        <w:t>Orphan Drug Designation Application Drug and Indication</w:t>
        <w:tab/>
      </w:r>
      <w:r>
        <w:rPr>
          <w:rFonts w:ascii="Times New Roman"/>
          <w:color w:val="FF0000"/>
          <w:sz w:val="24"/>
        </w:rPr>
        <w:t>DRUG</w:t>
      </w:r>
      <w:r>
        <w:rPr>
          <w:rFonts w:ascii="Times New Roman"/>
          <w:color w:val="FF0000"/>
          <w:spacing w:val="-2"/>
          <w:sz w:val="24"/>
        </w:rPr>
        <w:t> </w:t>
      </w:r>
      <w:r>
        <w:rPr>
          <w:rFonts w:ascii="Times New Roman"/>
          <w:sz w:val="24"/>
        </w:rPr>
        <w:t>for</w:t>
      </w:r>
      <w:r>
        <w:rPr>
          <w:rFonts w:ascii="Times New Roman"/>
          <w:spacing w:val="-9"/>
          <w:sz w:val="24"/>
        </w:rPr>
        <w:t> </w:t>
      </w:r>
      <w:r>
        <w:rPr>
          <w:rFonts w:ascii="Times New Roman"/>
          <w:sz w:val="24"/>
        </w:rPr>
        <w:t>the</w:t>
      </w:r>
      <w:r>
        <w:rPr>
          <w:rFonts w:ascii="Times New Roman"/>
          <w:spacing w:val="-9"/>
          <w:sz w:val="24"/>
        </w:rPr>
        <w:t> </w:t>
      </w:r>
      <w:r>
        <w:rPr>
          <w:rFonts w:ascii="Times New Roman"/>
          <w:sz w:val="24"/>
        </w:rPr>
        <w:t>treatment</w:t>
      </w:r>
      <w:r>
        <w:rPr>
          <w:rFonts w:ascii="Times New Roman"/>
          <w:spacing w:val="-7"/>
          <w:sz w:val="24"/>
        </w:rPr>
        <w:t> </w:t>
      </w:r>
      <w:r>
        <w:rPr>
          <w:rFonts w:ascii="Times New Roman"/>
          <w:sz w:val="24"/>
        </w:rPr>
        <w:t>(</w:t>
      </w:r>
      <w:r>
        <w:rPr>
          <w:rFonts w:ascii="Times New Roman"/>
          <w:color w:val="FF0000"/>
          <w:sz w:val="24"/>
        </w:rPr>
        <w:t>or</w:t>
      </w:r>
      <w:r>
        <w:rPr>
          <w:rFonts w:ascii="Times New Roman"/>
          <w:color w:val="FF0000"/>
          <w:spacing w:val="-3"/>
          <w:sz w:val="24"/>
        </w:rPr>
        <w:t> </w:t>
      </w:r>
      <w:r>
        <w:rPr>
          <w:rFonts w:ascii="Times New Roman"/>
          <w:color w:val="FF0000"/>
          <w:sz w:val="24"/>
        </w:rPr>
        <w:t>prevention</w:t>
      </w:r>
      <w:r>
        <w:rPr>
          <w:rFonts w:ascii="Times New Roman"/>
          <w:sz w:val="24"/>
        </w:rPr>
        <w:t>)</w:t>
      </w:r>
      <w:r>
        <w:rPr>
          <w:rFonts w:ascii="Times New Roman"/>
          <w:spacing w:val="-4"/>
          <w:sz w:val="24"/>
        </w:rPr>
        <w:t> </w:t>
      </w:r>
      <w:r>
        <w:rPr>
          <w:rFonts w:ascii="Times New Roman"/>
          <w:sz w:val="24"/>
        </w:rPr>
        <w:t>of</w:t>
      </w:r>
    </w:p>
    <w:p>
      <w:pPr>
        <w:spacing w:line="236" w:lineRule="exact" w:before="0"/>
        <w:ind w:left="3532" w:right="3846" w:firstLine="0"/>
        <w:jc w:val="center"/>
        <w:rPr>
          <w:rFonts w:ascii="Times New Roman"/>
          <w:sz w:val="24"/>
        </w:rPr>
      </w:pPr>
      <w:r>
        <w:rPr>
          <w:rFonts w:ascii="Times New Roman"/>
          <w:color w:val="FF0000"/>
          <w:sz w:val="24"/>
        </w:rPr>
        <w:t>ORPHAN </w:t>
      </w:r>
      <w:r>
        <w:rPr>
          <w:rFonts w:ascii="Times New Roman"/>
          <w:color w:val="FF0000"/>
          <w:spacing w:val="-2"/>
          <w:sz w:val="24"/>
        </w:rPr>
        <w:t>CONDITION</w:t>
      </w:r>
    </w:p>
    <w:p>
      <w:pPr>
        <w:tabs>
          <w:tab w:pos="3541" w:val="left" w:leader="none"/>
        </w:tabs>
        <w:spacing w:before="3"/>
        <w:ind w:left="407" w:right="0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FDA</w:t>
      </w:r>
      <w:r>
        <w:rPr>
          <w:rFonts w:ascii="Times New Roman"/>
          <w:spacing w:val="-4"/>
          <w:sz w:val="24"/>
        </w:rPr>
        <w:t> </w:t>
      </w:r>
      <w:r>
        <w:rPr>
          <w:rFonts w:ascii="Times New Roman"/>
          <w:sz w:val="24"/>
        </w:rPr>
        <w:t>Liaison</w:t>
      </w:r>
      <w:r>
        <w:rPr>
          <w:rFonts w:ascii="Times New Roman"/>
          <w:spacing w:val="-3"/>
          <w:sz w:val="24"/>
        </w:rPr>
        <w:t> </w:t>
      </w:r>
      <w:r>
        <w:rPr>
          <w:rFonts w:ascii="Times New Roman"/>
          <w:sz w:val="24"/>
        </w:rPr>
        <w:t>for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the</w:t>
      </w:r>
      <w:r>
        <w:rPr>
          <w:rFonts w:ascii="Times New Roman"/>
          <w:spacing w:val="-1"/>
          <w:sz w:val="24"/>
        </w:rPr>
        <w:t> </w:t>
      </w:r>
      <w:r>
        <w:rPr>
          <w:rFonts w:ascii="Times New Roman"/>
          <w:spacing w:val="-2"/>
          <w:sz w:val="24"/>
        </w:rPr>
        <w:t>Sponsor:</w:t>
      </w:r>
      <w:r>
        <w:rPr>
          <w:rFonts w:ascii="Times New Roman"/>
          <w:sz w:val="24"/>
        </w:rPr>
        <w:tab/>
        <w:t>IQVIA,</w:t>
      </w:r>
      <w:r>
        <w:rPr>
          <w:rFonts w:ascii="Times New Roman"/>
          <w:spacing w:val="-4"/>
          <w:sz w:val="24"/>
        </w:rPr>
        <w:t> </w:t>
      </w:r>
      <w:r>
        <w:rPr>
          <w:rFonts w:ascii="Times New Roman"/>
          <w:sz w:val="24"/>
        </w:rPr>
        <w:t>Inc.</w:t>
      </w:r>
      <w:r>
        <w:rPr>
          <w:rFonts w:ascii="Times New Roman"/>
          <w:spacing w:val="-1"/>
          <w:sz w:val="24"/>
        </w:rPr>
        <w:t> </w:t>
      </w:r>
      <w:r>
        <w:rPr>
          <w:rFonts w:ascii="Times New Roman"/>
          <w:sz w:val="24"/>
        </w:rPr>
        <w:t>(</w:t>
      </w:r>
      <w:r>
        <w:rPr>
          <w:rFonts w:ascii="Times New Roman"/>
          <w:color w:val="FF0000"/>
          <w:sz w:val="24"/>
        </w:rPr>
        <w:t>RPM</w:t>
      </w:r>
      <w:r>
        <w:rPr>
          <w:rFonts w:ascii="Times New Roman"/>
          <w:color w:val="FF0000"/>
          <w:spacing w:val="-1"/>
          <w:sz w:val="24"/>
        </w:rPr>
        <w:t> </w:t>
      </w:r>
      <w:r>
        <w:rPr>
          <w:rFonts w:ascii="Times New Roman"/>
          <w:color w:val="FF0000"/>
          <w:sz w:val="24"/>
        </w:rPr>
        <w:t>Name</w:t>
      </w:r>
      <w:r>
        <w:rPr>
          <w:rFonts w:ascii="Times New Roman"/>
          <w:color w:val="FF0000"/>
          <w:spacing w:val="-3"/>
          <w:sz w:val="24"/>
        </w:rPr>
        <w:t> </w:t>
      </w:r>
      <w:r>
        <w:rPr>
          <w:rFonts w:ascii="Times New Roman"/>
          <w:color w:val="FF0000"/>
          <w:sz w:val="24"/>
        </w:rPr>
        <w:t>and</w:t>
      </w:r>
      <w:r>
        <w:rPr>
          <w:rFonts w:ascii="Times New Roman"/>
          <w:color w:val="FF0000"/>
          <w:spacing w:val="-3"/>
          <w:sz w:val="24"/>
        </w:rPr>
        <w:t> </w:t>
      </w:r>
      <w:r>
        <w:rPr>
          <w:rFonts w:ascii="Times New Roman"/>
          <w:color w:val="FF0000"/>
          <w:spacing w:val="-2"/>
          <w:sz w:val="24"/>
        </w:rPr>
        <w:t>Title</w:t>
      </w:r>
      <w:r>
        <w:rPr>
          <w:rFonts w:ascii="Times New Roman"/>
          <w:spacing w:val="-2"/>
          <w:sz w:val="24"/>
        </w:rPr>
        <w:t>)</w:t>
      </w:r>
    </w:p>
    <w:p>
      <w:pPr>
        <w:pStyle w:val="BodyText"/>
        <w:rPr>
          <w:rFonts w:ascii="Times New Roman"/>
          <w:sz w:val="26"/>
        </w:rPr>
      </w:pPr>
    </w:p>
    <w:p>
      <w:pPr>
        <w:pStyle w:val="BodyText"/>
        <w:spacing w:before="6"/>
        <w:rPr>
          <w:rFonts w:ascii="Times New Roman"/>
          <w:sz w:val="20"/>
        </w:rPr>
      </w:pPr>
    </w:p>
    <w:p>
      <w:pPr>
        <w:spacing w:line="276" w:lineRule="auto" w:before="0"/>
        <w:ind w:left="411" w:right="385" w:firstLine="0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FF0000"/>
          <w:sz w:val="24"/>
        </w:rPr>
        <w:t>CLIENT’s NAME </w:t>
      </w:r>
      <w:r>
        <w:rPr>
          <w:rFonts w:ascii="Times New Roman" w:hAnsi="Times New Roman"/>
          <w:sz w:val="24"/>
        </w:rPr>
        <w:t>hereby certifies that </w:t>
      </w:r>
      <w:r>
        <w:rPr>
          <w:rFonts w:ascii="Times New Roman" w:hAnsi="Times New Roman"/>
          <w:color w:val="FF0000"/>
          <w:sz w:val="24"/>
        </w:rPr>
        <w:t>RPM Name and Title </w:t>
      </w:r>
      <w:r>
        <w:rPr>
          <w:rFonts w:ascii="Times New Roman" w:hAnsi="Times New Roman"/>
          <w:sz w:val="24"/>
        </w:rPr>
        <w:t>and any other personnel at IQVIA Inc. (IQVIA) are authorized and entitled to represent the sponsor for purposes of submitting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the</w:t>
      </w:r>
      <w:r>
        <w:rPr>
          <w:rFonts w:ascii="Times New Roman" w:hAnsi="Times New Roman"/>
          <w:spacing w:val="-5"/>
          <w:sz w:val="24"/>
        </w:rPr>
        <w:t> </w:t>
      </w:r>
      <w:r>
        <w:rPr>
          <w:rFonts w:ascii="Times New Roman" w:hAnsi="Times New Roman"/>
          <w:sz w:val="24"/>
        </w:rPr>
        <w:t>above-mentioned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application</w:t>
      </w:r>
      <w:r>
        <w:rPr>
          <w:rFonts w:ascii="Times New Roman" w:hAnsi="Times New Roman"/>
          <w:spacing w:val="-6"/>
          <w:sz w:val="24"/>
        </w:rPr>
        <w:t> </w:t>
      </w:r>
      <w:r>
        <w:rPr>
          <w:rFonts w:ascii="Times New Roman" w:hAnsi="Times New Roman"/>
          <w:sz w:val="24"/>
        </w:rPr>
        <w:t>to</w:t>
      </w:r>
      <w:r>
        <w:rPr>
          <w:rFonts w:ascii="Times New Roman" w:hAnsi="Times New Roman"/>
          <w:spacing w:val="-3"/>
          <w:sz w:val="24"/>
        </w:rPr>
        <w:t> </w:t>
      </w:r>
      <w:r>
        <w:rPr>
          <w:rFonts w:ascii="Times New Roman" w:hAnsi="Times New Roman"/>
          <w:sz w:val="24"/>
        </w:rPr>
        <w:t>the</w:t>
      </w:r>
      <w:r>
        <w:rPr>
          <w:rFonts w:ascii="Times New Roman" w:hAnsi="Times New Roman"/>
          <w:spacing w:val="-3"/>
          <w:sz w:val="24"/>
        </w:rPr>
        <w:t> </w:t>
      </w:r>
      <w:r>
        <w:rPr>
          <w:rFonts w:ascii="Times New Roman" w:hAnsi="Times New Roman"/>
          <w:sz w:val="24"/>
        </w:rPr>
        <w:t>Food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and</w:t>
      </w:r>
      <w:r>
        <w:rPr>
          <w:rFonts w:ascii="Times New Roman" w:hAnsi="Times New Roman"/>
          <w:spacing w:val="-3"/>
          <w:sz w:val="24"/>
        </w:rPr>
        <w:t> </w:t>
      </w:r>
      <w:r>
        <w:rPr>
          <w:rFonts w:ascii="Times New Roman" w:hAnsi="Times New Roman"/>
          <w:sz w:val="24"/>
        </w:rPr>
        <w:t>Drug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Administration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(FDA)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on behalf</w:t>
      </w:r>
      <w:r>
        <w:rPr>
          <w:rFonts w:ascii="Times New Roman" w:hAnsi="Times New Roman"/>
          <w:spacing w:val="-1"/>
          <w:sz w:val="24"/>
        </w:rPr>
        <w:t> </w:t>
      </w:r>
      <w:r>
        <w:rPr>
          <w:rFonts w:ascii="Times New Roman" w:hAnsi="Times New Roman"/>
          <w:sz w:val="24"/>
        </w:rPr>
        <w:t>of</w:t>
      </w:r>
      <w:r>
        <w:rPr>
          <w:rFonts w:ascii="Times New Roman" w:hAnsi="Times New Roman"/>
          <w:spacing w:val="-5"/>
          <w:sz w:val="24"/>
        </w:rPr>
        <w:t> </w:t>
      </w:r>
      <w:r>
        <w:rPr>
          <w:rFonts w:ascii="Times New Roman" w:hAnsi="Times New Roman"/>
          <w:sz w:val="24"/>
        </w:rPr>
        <w:t>sponsor as their FDA Liaison. </w:t>
      </w:r>
      <w:r>
        <w:rPr>
          <w:rFonts w:ascii="Times New Roman" w:hAnsi="Times New Roman"/>
          <w:color w:val="FF0000"/>
          <w:sz w:val="24"/>
        </w:rPr>
        <w:t>RPM Name and Title </w:t>
      </w:r>
      <w:r>
        <w:rPr>
          <w:rFonts w:ascii="Times New Roman" w:hAnsi="Times New Roman"/>
          <w:sz w:val="24"/>
        </w:rPr>
        <w:t>contact information is copied </w:t>
      </w:r>
      <w:r>
        <w:rPr>
          <w:rFonts w:ascii="Times New Roman" w:hAnsi="Times New Roman"/>
          <w:spacing w:val="-2"/>
          <w:sz w:val="24"/>
        </w:rPr>
        <w:t>below:</w:t>
      </w:r>
    </w:p>
    <w:p>
      <w:pPr>
        <w:spacing w:line="309" w:lineRule="auto" w:before="35"/>
        <w:ind w:left="411" w:right="7199" w:firstLine="0"/>
        <w:jc w:val="left"/>
        <w:rPr>
          <w:rFonts w:ascii="Times New Roman"/>
          <w:sz w:val="24"/>
        </w:rPr>
      </w:pPr>
      <w:r>
        <w:rPr>
          <w:rFonts w:ascii="Times New Roman"/>
          <w:color w:val="FF0000"/>
          <w:sz w:val="24"/>
        </w:rPr>
        <w:t>RPM</w:t>
      </w:r>
      <w:r>
        <w:rPr>
          <w:rFonts w:ascii="Times New Roman"/>
          <w:color w:val="FF0000"/>
          <w:spacing w:val="-15"/>
          <w:sz w:val="24"/>
        </w:rPr>
        <w:t> </w:t>
      </w:r>
      <w:r>
        <w:rPr>
          <w:rFonts w:ascii="Times New Roman"/>
          <w:color w:val="FF0000"/>
          <w:sz w:val="24"/>
        </w:rPr>
        <w:t>Name</w:t>
      </w:r>
      <w:r>
        <w:rPr>
          <w:rFonts w:ascii="Times New Roman"/>
          <w:color w:val="FF0000"/>
          <w:spacing w:val="-14"/>
          <w:sz w:val="24"/>
        </w:rPr>
        <w:t> </w:t>
      </w:r>
      <w:r>
        <w:rPr>
          <w:rFonts w:ascii="Times New Roman"/>
          <w:color w:val="FF0000"/>
          <w:sz w:val="24"/>
        </w:rPr>
        <w:t>and</w:t>
      </w:r>
      <w:r>
        <w:rPr>
          <w:rFonts w:ascii="Times New Roman"/>
          <w:color w:val="FF0000"/>
          <w:spacing w:val="-14"/>
          <w:sz w:val="24"/>
        </w:rPr>
        <w:t> </w:t>
      </w:r>
      <w:r>
        <w:rPr>
          <w:rFonts w:ascii="Times New Roman"/>
          <w:color w:val="FF0000"/>
          <w:sz w:val="24"/>
        </w:rPr>
        <w:t>Title</w:t>
      </w:r>
      <w:r>
        <w:rPr>
          <w:rFonts w:ascii="Times New Roman"/>
          <w:sz w:val="24"/>
        </w:rPr>
        <w:t>, </w:t>
      </w:r>
      <w:r>
        <w:rPr>
          <w:rFonts w:ascii="Times New Roman"/>
          <w:spacing w:val="-2"/>
          <w:sz w:val="24"/>
        </w:rPr>
        <w:t>IQVIA,</w:t>
      </w:r>
    </w:p>
    <w:p>
      <w:pPr>
        <w:spacing w:line="309" w:lineRule="auto" w:before="3"/>
        <w:ind w:left="411" w:right="6583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GRA-North</w:t>
      </w:r>
      <w:r>
        <w:rPr>
          <w:rFonts w:ascii="Times New Roman"/>
          <w:spacing w:val="-15"/>
          <w:sz w:val="24"/>
        </w:rPr>
        <w:t> </w:t>
      </w:r>
      <w:r>
        <w:rPr>
          <w:rFonts w:ascii="Times New Roman"/>
          <w:sz w:val="24"/>
        </w:rPr>
        <w:t>America</w:t>
      </w:r>
      <w:r>
        <w:rPr>
          <w:rFonts w:ascii="Times New Roman"/>
          <w:spacing w:val="-15"/>
          <w:sz w:val="24"/>
        </w:rPr>
        <w:t> </w:t>
      </w:r>
      <w:r>
        <w:rPr>
          <w:rFonts w:ascii="Times New Roman"/>
          <w:sz w:val="24"/>
        </w:rPr>
        <w:t>Region USA-Eastern Time</w:t>
      </w:r>
    </w:p>
    <w:p>
      <w:pPr>
        <w:spacing w:line="235" w:lineRule="exact" w:before="0"/>
        <w:ind w:left="411" w:right="0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M:</w:t>
      </w:r>
      <w:r>
        <w:rPr>
          <w:rFonts w:ascii="Times New Roman"/>
          <w:spacing w:val="-3"/>
          <w:sz w:val="24"/>
        </w:rPr>
        <w:t> </w:t>
      </w:r>
      <w:r>
        <w:rPr>
          <w:rFonts w:ascii="Times New Roman"/>
          <w:sz w:val="24"/>
        </w:rPr>
        <w:t>+1 </w:t>
      </w:r>
      <w:r>
        <w:rPr>
          <w:rFonts w:ascii="Times New Roman"/>
          <w:color w:val="FF0000"/>
          <w:sz w:val="24"/>
        </w:rPr>
        <w:t>xxx</w:t>
      </w:r>
      <w:r>
        <w:rPr>
          <w:rFonts w:ascii="Times New Roman"/>
          <w:color w:val="FF0000"/>
          <w:spacing w:val="-2"/>
          <w:sz w:val="24"/>
        </w:rPr>
        <w:t> </w:t>
      </w:r>
      <w:r>
        <w:rPr>
          <w:rFonts w:ascii="Times New Roman"/>
          <w:color w:val="FF0000"/>
          <w:sz w:val="24"/>
        </w:rPr>
        <w:t>xxx</w:t>
      </w:r>
      <w:r>
        <w:rPr>
          <w:rFonts w:ascii="Times New Roman"/>
          <w:color w:val="FF0000"/>
          <w:spacing w:val="-2"/>
          <w:sz w:val="24"/>
        </w:rPr>
        <w:t> </w:t>
      </w:r>
      <w:r>
        <w:rPr>
          <w:rFonts w:ascii="Times New Roman"/>
          <w:color w:val="FF0000"/>
          <w:spacing w:val="-4"/>
          <w:sz w:val="24"/>
        </w:rPr>
        <w:t>xxxx</w:t>
      </w:r>
    </w:p>
    <w:p>
      <w:pPr>
        <w:spacing w:line="275" w:lineRule="exact" w:before="0"/>
        <w:ind w:left="411" w:right="0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F:</w:t>
      </w:r>
      <w:r>
        <w:rPr>
          <w:rFonts w:ascii="Times New Roman"/>
          <w:spacing w:val="-2"/>
          <w:sz w:val="24"/>
        </w:rPr>
        <w:t> </w:t>
      </w:r>
      <w:r>
        <w:rPr>
          <w:rFonts w:ascii="Times New Roman"/>
          <w:sz w:val="24"/>
        </w:rPr>
        <w:t>+1</w:t>
      </w:r>
      <w:r>
        <w:rPr>
          <w:rFonts w:ascii="Times New Roman"/>
          <w:spacing w:val="2"/>
          <w:sz w:val="24"/>
        </w:rPr>
        <w:t> </w:t>
      </w:r>
      <w:r>
        <w:rPr>
          <w:rFonts w:ascii="Times New Roman"/>
          <w:color w:val="FF0000"/>
          <w:sz w:val="24"/>
        </w:rPr>
        <w:t>xxx</w:t>
      </w:r>
      <w:r>
        <w:rPr>
          <w:rFonts w:ascii="Times New Roman"/>
          <w:color w:val="FF0000"/>
          <w:spacing w:val="-1"/>
          <w:sz w:val="24"/>
        </w:rPr>
        <w:t> </w:t>
      </w:r>
      <w:r>
        <w:rPr>
          <w:rFonts w:ascii="Times New Roman"/>
          <w:color w:val="FF0000"/>
          <w:sz w:val="24"/>
        </w:rPr>
        <w:t>xxx </w:t>
      </w:r>
      <w:r>
        <w:rPr>
          <w:rFonts w:ascii="Times New Roman"/>
          <w:color w:val="FF0000"/>
          <w:spacing w:val="-4"/>
          <w:sz w:val="24"/>
        </w:rPr>
        <w:t>xxxx</w:t>
      </w:r>
    </w:p>
    <w:p>
      <w:pPr>
        <w:spacing w:before="41"/>
        <w:ind w:left="411" w:right="0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Email: </w:t>
      </w:r>
      <w:hyperlink r:id="rId26">
        <w:r>
          <w:rPr>
            <w:rFonts w:ascii="Times New Roman"/>
            <w:color w:val="0000FF"/>
            <w:spacing w:val="-2"/>
            <w:sz w:val="24"/>
            <w:u w:val="single" w:color="0000FF"/>
          </w:rPr>
          <w:t>name.surname@iqvia.com</w:t>
        </w:r>
      </w:hyperlink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6"/>
        <w:rPr>
          <w:rFonts w:ascii="Times New Roman"/>
          <w:sz w:val="21"/>
        </w:rPr>
      </w:pPr>
    </w:p>
    <w:p>
      <w:pPr>
        <w:spacing w:before="0"/>
        <w:ind w:left="411" w:right="385" w:firstLine="0"/>
        <w:jc w:val="left"/>
        <w:rPr>
          <w:rFonts w:ascii="Times New Roman"/>
          <w:sz w:val="22"/>
        </w:rPr>
      </w:pPr>
      <w:r>
        <w:rPr>
          <w:rFonts w:ascii="Times New Roman"/>
          <w:color w:val="FF0000"/>
          <w:sz w:val="24"/>
          <w:u w:val="single" w:color="FF0000"/>
        </w:rPr>
        <w:t>Signature</w:t>
      </w:r>
      <w:r>
        <w:rPr>
          <w:rFonts w:ascii="Times New Roman"/>
          <w:color w:val="FF0000"/>
          <w:spacing w:val="-2"/>
          <w:sz w:val="24"/>
          <w:u w:val="single" w:color="FF0000"/>
        </w:rPr>
        <w:t> </w:t>
      </w:r>
      <w:r>
        <w:rPr>
          <w:rFonts w:ascii="Times New Roman"/>
          <w:color w:val="FF0000"/>
          <w:sz w:val="24"/>
          <w:u w:val="single" w:color="FF0000"/>
        </w:rPr>
        <w:t>line</w:t>
      </w:r>
      <w:r>
        <w:rPr>
          <w:rFonts w:ascii="Times New Roman"/>
          <w:color w:val="FF0000"/>
          <w:spacing w:val="-2"/>
          <w:sz w:val="24"/>
          <w:u w:val="single" w:color="FF0000"/>
        </w:rPr>
        <w:t> </w:t>
      </w:r>
      <w:r>
        <w:rPr>
          <w:rFonts w:ascii="Times New Roman"/>
          <w:color w:val="FF0000"/>
          <w:sz w:val="24"/>
          <w:u w:val="single" w:color="FF0000"/>
        </w:rPr>
        <w:t>for</w:t>
      </w:r>
      <w:r>
        <w:rPr>
          <w:rFonts w:ascii="Times New Roman"/>
          <w:color w:val="FF0000"/>
          <w:spacing w:val="-2"/>
          <w:sz w:val="24"/>
          <w:u w:val="single" w:color="FF0000"/>
        </w:rPr>
        <w:t> </w:t>
      </w:r>
      <w:r>
        <w:rPr>
          <w:rFonts w:ascii="Times New Roman"/>
          <w:color w:val="FF0000"/>
          <w:sz w:val="24"/>
          <w:u w:val="single" w:color="FF0000"/>
        </w:rPr>
        <w:t>the</w:t>
      </w:r>
      <w:r>
        <w:rPr>
          <w:rFonts w:ascii="Times New Roman"/>
          <w:color w:val="FF0000"/>
          <w:spacing w:val="-2"/>
          <w:sz w:val="24"/>
          <w:u w:val="single" w:color="FF0000"/>
        </w:rPr>
        <w:t> </w:t>
      </w:r>
      <w:r>
        <w:rPr>
          <w:rFonts w:ascii="Times New Roman"/>
          <w:color w:val="FF0000"/>
          <w:sz w:val="24"/>
          <w:u w:val="single" w:color="FF0000"/>
        </w:rPr>
        <w:t>Sponsor</w:t>
      </w:r>
      <w:r>
        <w:rPr>
          <w:rFonts w:ascii="Times New Roman"/>
          <w:color w:val="FF0000"/>
          <w:spacing w:val="-3"/>
          <w:sz w:val="24"/>
        </w:rPr>
        <w:t> </w:t>
      </w:r>
      <w:r>
        <w:rPr>
          <w:rFonts w:ascii="Times New Roman"/>
          <w:sz w:val="24"/>
        </w:rPr>
        <w:t>(</w:t>
      </w:r>
      <w:r>
        <w:rPr>
          <w:rFonts w:ascii="Times New Roman"/>
          <w:sz w:val="22"/>
        </w:rPr>
        <w:t>Sponsor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is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to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provide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name,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position,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contact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info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and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the</w:t>
      </w:r>
      <w:r>
        <w:rPr>
          <w:rFonts w:ascii="Times New Roman"/>
          <w:spacing w:val="-3"/>
          <w:sz w:val="22"/>
        </w:rPr>
        <w:t> </w:t>
      </w:r>
      <w:r>
        <w:rPr>
          <w:rFonts w:ascii="Times New Roman"/>
          <w:sz w:val="22"/>
        </w:rPr>
        <w:t>signature of Authorizing person here)</w:t>
      </w:r>
    </w:p>
    <w:p>
      <w:pPr>
        <w:spacing w:after="0"/>
        <w:jc w:val="left"/>
        <w:rPr>
          <w:rFonts w:ascii="Times New Roman"/>
          <w:sz w:val="22"/>
        </w:rPr>
        <w:sectPr>
          <w:pgSz w:w="12240" w:h="15840"/>
          <w:pgMar w:header="744" w:footer="952" w:top="2540" w:bottom="1140" w:left="1220" w:right="1240"/>
        </w:sectPr>
      </w:pPr>
    </w:p>
    <w:p>
      <w:pPr>
        <w:pStyle w:val="BodyText"/>
        <w:spacing w:before="11"/>
        <w:rPr>
          <w:rFonts w:ascii="Times New Roman"/>
          <w:sz w:val="13"/>
        </w:rPr>
      </w:pPr>
    </w:p>
    <w:p>
      <w:pPr>
        <w:spacing w:before="94"/>
        <w:ind w:left="930" w:right="0" w:firstLine="0"/>
        <w:jc w:val="left"/>
        <w:rPr>
          <w:b/>
          <w:sz w:val="22"/>
        </w:rPr>
      </w:pPr>
      <w:bookmarkStart w:name="Appendix D: Example of Self-sertificatio" w:id="26"/>
      <w:bookmarkEnd w:id="26"/>
      <w:r>
        <w:rPr/>
      </w: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D: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Self-sertification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amendment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(for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FDA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ODD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submission)</w:t>
      </w:r>
    </w:p>
    <w:p>
      <w:pPr>
        <w:pStyle w:val="BodyText"/>
        <w:spacing w:before="121"/>
        <w:ind w:left="940"/>
      </w:pPr>
      <w:r>
        <w:rPr/>
        <w:t>On</w:t>
      </w:r>
      <w:r>
        <w:rPr>
          <w:spacing w:val="-5"/>
        </w:rPr>
        <w:t> </w:t>
      </w:r>
      <w:r>
        <w:rPr/>
        <w:t>client’s</w:t>
      </w:r>
      <w:r>
        <w:rPr>
          <w:spacing w:val="-5"/>
        </w:rPr>
        <w:t> </w:t>
      </w:r>
      <w:r>
        <w:rPr>
          <w:spacing w:val="-2"/>
        </w:rPr>
        <w:t>letterhead:</w:t>
      </w:r>
    </w:p>
    <w:p>
      <w:pPr>
        <w:pStyle w:val="BodyText"/>
        <w:spacing w:before="9"/>
        <w:rPr>
          <w:sz w:val="23"/>
        </w:rPr>
      </w:pPr>
    </w:p>
    <w:p>
      <w:pPr>
        <w:spacing w:before="90"/>
        <w:ind w:left="296" w:right="0" w:firstLine="0"/>
        <w:jc w:val="left"/>
        <w:rPr>
          <w:rFonts w:ascii="Times New Roman"/>
          <w:sz w:val="24"/>
        </w:rPr>
      </w:pPr>
      <w:r>
        <w:rPr/>
        <w:pict>
          <v:shape style="position:absolute;margin-left:67.920006pt;margin-top:.583116pt;width:474.25pt;height:497.8pt;mso-position-horizontal-relative:page;mso-position-vertical-relative:paragraph;z-index:-16240640" id="docshape16" coordorigin="1358,12" coordsize="9485,9956" path="m10843,9967l1358,9967,1358,12,10843,12,10843,21,1373,21,1368,26,1373,26,1373,9948,1368,9948,1373,9957,10843,9957,10843,9967xm1373,26l1368,26,1373,21,1373,26xm10829,26l1373,26,1373,21,10829,21,10829,26xm10829,9957l10829,21,10834,26,10843,26,10843,9948,10834,9948,10829,9957xm10843,26l10834,26,10829,21,10843,21,10843,26xm1373,9957l1368,9948,1373,9948,1373,9957xm10829,9957l1373,9957,1373,9948,10829,9948,10829,9957xm10843,9957l10829,9957,10834,9948,10843,9948,10843,9957xe" filled="true" fillcolor="#000000" stroked="false">
            <v:path arrowok="t"/>
            <v:fill type="solid"/>
            <w10:wrap type="none"/>
          </v:shape>
        </w:pict>
      </w:r>
      <w:r>
        <w:rPr>
          <w:rFonts w:ascii="Times New Roman"/>
          <w:color w:val="FF0000"/>
          <w:sz w:val="24"/>
        </w:rPr>
        <w:t>Date,</w:t>
      </w:r>
      <w:r>
        <w:rPr>
          <w:rFonts w:ascii="Times New Roman"/>
          <w:color w:val="FF0000"/>
          <w:spacing w:val="-1"/>
          <w:sz w:val="24"/>
        </w:rPr>
        <w:t> </w:t>
      </w:r>
      <w:r>
        <w:rPr>
          <w:rFonts w:ascii="Times New Roman"/>
          <w:color w:val="FF0000"/>
          <w:spacing w:val="-4"/>
          <w:sz w:val="24"/>
        </w:rPr>
        <w:t>year</w:t>
      </w:r>
    </w:p>
    <w:p>
      <w:pPr>
        <w:pStyle w:val="BodyText"/>
        <w:rPr>
          <w:rFonts w:ascii="Times New Roman"/>
          <w:sz w:val="31"/>
        </w:rPr>
      </w:pPr>
    </w:p>
    <w:p>
      <w:pPr>
        <w:spacing w:before="1"/>
        <w:ind w:left="359" w:right="0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Ilan</w:t>
      </w:r>
      <w:r>
        <w:rPr>
          <w:rFonts w:ascii="Times New Roman"/>
          <w:spacing w:val="-2"/>
          <w:sz w:val="24"/>
        </w:rPr>
        <w:t> </w:t>
      </w:r>
      <w:r>
        <w:rPr>
          <w:rFonts w:ascii="Times New Roman"/>
          <w:sz w:val="24"/>
        </w:rPr>
        <w:t>Irony,</w:t>
      </w:r>
      <w:r>
        <w:rPr>
          <w:rFonts w:ascii="Times New Roman"/>
          <w:spacing w:val="-1"/>
          <w:sz w:val="24"/>
        </w:rPr>
        <w:t> </w:t>
      </w:r>
      <w:r>
        <w:rPr>
          <w:rFonts w:ascii="Times New Roman"/>
          <w:sz w:val="24"/>
        </w:rPr>
        <w:t>M.D</w:t>
      </w:r>
      <w:r>
        <w:rPr>
          <w:rFonts w:ascii="Times New Roman"/>
          <w:spacing w:val="-1"/>
          <w:sz w:val="24"/>
        </w:rPr>
        <w:t> </w:t>
      </w:r>
      <w:r>
        <w:rPr>
          <w:rFonts w:ascii="Times New Roman"/>
          <w:color w:val="FF0000"/>
          <w:sz w:val="24"/>
        </w:rPr>
        <w:t>(verify</w:t>
      </w:r>
      <w:r>
        <w:rPr>
          <w:rFonts w:ascii="Times New Roman"/>
          <w:color w:val="FF0000"/>
          <w:spacing w:val="-4"/>
          <w:sz w:val="24"/>
        </w:rPr>
        <w:t> </w:t>
      </w:r>
      <w:r>
        <w:rPr>
          <w:rFonts w:ascii="Times New Roman"/>
          <w:color w:val="FF0000"/>
          <w:sz w:val="24"/>
        </w:rPr>
        <w:t>it</w:t>
      </w:r>
      <w:r>
        <w:rPr>
          <w:rFonts w:ascii="Times New Roman"/>
          <w:color w:val="FF0000"/>
          <w:spacing w:val="-3"/>
          <w:sz w:val="24"/>
        </w:rPr>
        <w:t> </w:t>
      </w:r>
      <w:r>
        <w:rPr>
          <w:rFonts w:ascii="Times New Roman"/>
          <w:color w:val="FF0000"/>
          <w:sz w:val="24"/>
        </w:rPr>
        <w:t>is</w:t>
      </w:r>
      <w:r>
        <w:rPr>
          <w:rFonts w:ascii="Times New Roman"/>
          <w:color w:val="FF0000"/>
          <w:spacing w:val="-2"/>
          <w:sz w:val="24"/>
        </w:rPr>
        <w:t> current)</w:t>
      </w:r>
    </w:p>
    <w:p>
      <w:pPr>
        <w:spacing w:line="237" w:lineRule="auto" w:before="4"/>
        <w:ind w:left="296" w:right="3520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Acting</w:t>
      </w:r>
      <w:r>
        <w:rPr>
          <w:rFonts w:ascii="Times New Roman"/>
          <w:spacing w:val="-8"/>
          <w:sz w:val="24"/>
        </w:rPr>
        <w:t> </w:t>
      </w:r>
      <w:r>
        <w:rPr>
          <w:rFonts w:ascii="Times New Roman"/>
          <w:sz w:val="24"/>
        </w:rPr>
        <w:t>Director,</w:t>
      </w:r>
      <w:r>
        <w:rPr>
          <w:rFonts w:ascii="Times New Roman"/>
          <w:spacing w:val="-8"/>
          <w:sz w:val="24"/>
        </w:rPr>
        <w:t> </w:t>
      </w:r>
      <w:r>
        <w:rPr>
          <w:rFonts w:ascii="Times New Roman"/>
          <w:sz w:val="24"/>
        </w:rPr>
        <w:t>Office</w:t>
      </w:r>
      <w:r>
        <w:rPr>
          <w:rFonts w:ascii="Times New Roman"/>
          <w:spacing w:val="-8"/>
          <w:sz w:val="24"/>
        </w:rPr>
        <w:t> </w:t>
      </w:r>
      <w:r>
        <w:rPr>
          <w:rFonts w:ascii="Times New Roman"/>
          <w:sz w:val="24"/>
        </w:rPr>
        <w:t>of</w:t>
      </w:r>
      <w:r>
        <w:rPr>
          <w:rFonts w:ascii="Times New Roman"/>
          <w:spacing w:val="-8"/>
          <w:sz w:val="24"/>
        </w:rPr>
        <w:t> </w:t>
      </w:r>
      <w:r>
        <w:rPr>
          <w:rFonts w:ascii="Times New Roman"/>
          <w:sz w:val="24"/>
        </w:rPr>
        <w:t>Orphan</w:t>
      </w:r>
      <w:r>
        <w:rPr>
          <w:rFonts w:ascii="Times New Roman"/>
          <w:spacing w:val="-8"/>
          <w:sz w:val="24"/>
        </w:rPr>
        <w:t> </w:t>
      </w:r>
      <w:r>
        <w:rPr>
          <w:rFonts w:ascii="Times New Roman"/>
          <w:sz w:val="24"/>
        </w:rPr>
        <w:t>Products</w:t>
      </w:r>
      <w:r>
        <w:rPr>
          <w:rFonts w:ascii="Times New Roman"/>
          <w:spacing w:val="-8"/>
          <w:sz w:val="24"/>
        </w:rPr>
        <w:t> </w:t>
      </w:r>
      <w:r>
        <w:rPr>
          <w:rFonts w:ascii="Times New Roman"/>
          <w:sz w:val="24"/>
        </w:rPr>
        <w:t>Development Food and Drug Administration</w:t>
      </w:r>
    </w:p>
    <w:p>
      <w:pPr>
        <w:spacing w:line="275" w:lineRule="exact" w:before="4"/>
        <w:ind w:left="296" w:right="0" w:firstLine="0"/>
        <w:jc w:val="left"/>
        <w:rPr>
          <w:rFonts w:ascii="Times New Roman"/>
          <w:sz w:val="24"/>
        </w:rPr>
      </w:pPr>
      <w:r>
        <w:rPr>
          <w:rFonts w:ascii="Times New Roman"/>
          <w:spacing w:val="-2"/>
          <w:sz w:val="24"/>
        </w:rPr>
        <w:t>W032-</w:t>
      </w:r>
      <w:r>
        <w:rPr>
          <w:rFonts w:ascii="Times New Roman"/>
          <w:spacing w:val="-4"/>
          <w:sz w:val="24"/>
        </w:rPr>
        <w:t>5295</w:t>
      </w:r>
    </w:p>
    <w:p>
      <w:pPr>
        <w:spacing w:line="242" w:lineRule="auto" w:before="0"/>
        <w:ind w:left="296" w:right="5942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10903</w:t>
      </w:r>
      <w:r>
        <w:rPr>
          <w:rFonts w:ascii="Times New Roman"/>
          <w:spacing w:val="-14"/>
          <w:sz w:val="24"/>
        </w:rPr>
        <w:t> </w:t>
      </w:r>
      <w:r>
        <w:rPr>
          <w:rFonts w:ascii="Times New Roman"/>
          <w:sz w:val="24"/>
        </w:rPr>
        <w:t>New</w:t>
      </w:r>
      <w:r>
        <w:rPr>
          <w:rFonts w:ascii="Times New Roman"/>
          <w:spacing w:val="-14"/>
          <w:sz w:val="24"/>
        </w:rPr>
        <w:t> </w:t>
      </w:r>
      <w:r>
        <w:rPr>
          <w:rFonts w:ascii="Times New Roman"/>
          <w:sz w:val="24"/>
        </w:rPr>
        <w:t>Hampshire</w:t>
      </w:r>
      <w:r>
        <w:rPr>
          <w:rFonts w:ascii="Times New Roman"/>
          <w:spacing w:val="-14"/>
          <w:sz w:val="24"/>
        </w:rPr>
        <w:t> </w:t>
      </w:r>
      <w:r>
        <w:rPr>
          <w:rFonts w:ascii="Times New Roman"/>
          <w:sz w:val="24"/>
        </w:rPr>
        <w:t>Avenue Silver</w:t>
      </w:r>
      <w:r>
        <w:rPr>
          <w:rFonts w:ascii="Times New Roman"/>
          <w:spacing w:val="-8"/>
          <w:sz w:val="24"/>
        </w:rPr>
        <w:t> </w:t>
      </w:r>
      <w:r>
        <w:rPr>
          <w:rFonts w:ascii="Times New Roman"/>
          <w:sz w:val="24"/>
        </w:rPr>
        <w:t>Spring,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MD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20993-</w:t>
      </w:r>
      <w:r>
        <w:rPr>
          <w:rFonts w:ascii="Times New Roman"/>
          <w:spacing w:val="-4"/>
          <w:sz w:val="24"/>
        </w:rPr>
        <w:t>0002</w:t>
      </w:r>
    </w:p>
    <w:p>
      <w:pPr>
        <w:pStyle w:val="BodyText"/>
        <w:spacing w:before="8"/>
        <w:rPr>
          <w:rFonts w:ascii="Times New Roman"/>
          <w:sz w:val="30"/>
        </w:rPr>
      </w:pPr>
    </w:p>
    <w:p>
      <w:pPr>
        <w:tabs>
          <w:tab w:pos="1016" w:val="left" w:leader="none"/>
        </w:tabs>
        <w:spacing w:line="242" w:lineRule="auto" w:before="0"/>
        <w:ind w:left="311" w:right="509" w:hanging="15"/>
        <w:jc w:val="left"/>
        <w:rPr>
          <w:rFonts w:ascii="Times New Roman"/>
          <w:sz w:val="24"/>
        </w:rPr>
      </w:pPr>
      <w:r>
        <w:rPr>
          <w:rFonts w:ascii="Times New Roman"/>
          <w:b/>
          <w:spacing w:val="-4"/>
          <w:sz w:val="24"/>
        </w:rPr>
        <w:t>RE:</w:t>
      </w:r>
      <w:r>
        <w:rPr>
          <w:rFonts w:ascii="Times New Roman"/>
          <w:b/>
          <w:sz w:val="24"/>
        </w:rPr>
        <w:tab/>
        <w:t>Certification</w:t>
      </w:r>
      <w:r>
        <w:rPr>
          <w:rFonts w:ascii="Times New Roman"/>
          <w:b/>
          <w:spacing w:val="-5"/>
          <w:sz w:val="24"/>
        </w:rPr>
        <w:t> </w:t>
      </w:r>
      <w:r>
        <w:rPr>
          <w:rFonts w:ascii="Times New Roman"/>
          <w:b/>
          <w:sz w:val="24"/>
        </w:rPr>
        <w:t>Amendment</w:t>
      </w:r>
      <w:r>
        <w:rPr>
          <w:rFonts w:ascii="Times New Roman"/>
          <w:b/>
          <w:spacing w:val="-5"/>
          <w:sz w:val="24"/>
        </w:rPr>
        <w:t> </w:t>
      </w:r>
      <w:r>
        <w:rPr>
          <w:rFonts w:ascii="Times New Roman"/>
          <w:b/>
          <w:sz w:val="24"/>
        </w:rPr>
        <w:t>for</w:t>
      </w:r>
      <w:r>
        <w:rPr>
          <w:rFonts w:ascii="Times New Roman"/>
          <w:b/>
          <w:spacing w:val="-5"/>
          <w:sz w:val="24"/>
        </w:rPr>
        <w:t> </w:t>
      </w:r>
      <w:r>
        <w:rPr>
          <w:rFonts w:ascii="Times New Roman"/>
          <w:b/>
          <w:sz w:val="24"/>
        </w:rPr>
        <w:t>Request</w:t>
      </w:r>
      <w:r>
        <w:rPr>
          <w:rFonts w:ascii="Times New Roman"/>
          <w:b/>
          <w:spacing w:val="-5"/>
          <w:sz w:val="24"/>
        </w:rPr>
        <w:t> </w:t>
      </w:r>
      <w:r>
        <w:rPr>
          <w:rFonts w:ascii="Times New Roman"/>
          <w:b/>
          <w:sz w:val="24"/>
        </w:rPr>
        <w:t>for</w:t>
      </w:r>
      <w:r>
        <w:rPr>
          <w:rFonts w:ascii="Times New Roman"/>
          <w:b/>
          <w:spacing w:val="-5"/>
          <w:sz w:val="24"/>
        </w:rPr>
        <w:t> </w:t>
      </w:r>
      <w:r>
        <w:rPr>
          <w:rFonts w:ascii="Times New Roman"/>
          <w:b/>
          <w:sz w:val="24"/>
        </w:rPr>
        <w:t>Orphan</w:t>
      </w:r>
      <w:r>
        <w:rPr>
          <w:rFonts w:ascii="Times New Roman"/>
          <w:b/>
          <w:spacing w:val="-5"/>
          <w:sz w:val="24"/>
        </w:rPr>
        <w:t> </w:t>
      </w:r>
      <w:r>
        <w:rPr>
          <w:rFonts w:ascii="Times New Roman"/>
          <w:b/>
          <w:sz w:val="24"/>
        </w:rPr>
        <w:t>Designation for</w:t>
      </w:r>
      <w:r>
        <w:rPr>
          <w:rFonts w:ascii="Times New Roman"/>
          <w:b/>
          <w:spacing w:val="-6"/>
          <w:sz w:val="24"/>
        </w:rPr>
        <w:t> </w:t>
      </w:r>
      <w:r>
        <w:rPr>
          <w:rFonts w:ascii="Times New Roman"/>
          <w:color w:val="FF0000"/>
          <w:sz w:val="24"/>
        </w:rPr>
        <w:t>DRUG</w:t>
      </w:r>
      <w:r>
        <w:rPr>
          <w:rFonts w:ascii="Times New Roman"/>
          <w:color w:val="FF0000"/>
          <w:spacing w:val="-4"/>
          <w:sz w:val="24"/>
        </w:rPr>
        <w:t> </w:t>
      </w:r>
      <w:r>
        <w:rPr>
          <w:rFonts w:ascii="Times New Roman"/>
          <w:b/>
          <w:sz w:val="24"/>
        </w:rPr>
        <w:t>for</w:t>
      </w:r>
      <w:r>
        <w:rPr>
          <w:rFonts w:ascii="Times New Roman"/>
          <w:b/>
          <w:spacing w:val="-5"/>
          <w:sz w:val="24"/>
        </w:rPr>
        <w:t> </w:t>
      </w:r>
      <w:r>
        <w:rPr>
          <w:rFonts w:ascii="Times New Roman"/>
          <w:b/>
          <w:sz w:val="24"/>
        </w:rPr>
        <w:t>the Treatment </w:t>
      </w:r>
      <w:r>
        <w:rPr>
          <w:rFonts w:ascii="Times New Roman"/>
          <w:sz w:val="24"/>
        </w:rPr>
        <w:t>(</w:t>
      </w:r>
      <w:r>
        <w:rPr>
          <w:rFonts w:ascii="Times New Roman"/>
          <w:color w:val="FF0000"/>
          <w:sz w:val="24"/>
        </w:rPr>
        <w:t>OR PREVENTION use as appropriate</w:t>
      </w:r>
      <w:r>
        <w:rPr>
          <w:rFonts w:ascii="Times New Roman"/>
          <w:sz w:val="24"/>
        </w:rPr>
        <w:t>) </w:t>
      </w:r>
      <w:r>
        <w:rPr>
          <w:rFonts w:ascii="Times New Roman"/>
          <w:b/>
          <w:sz w:val="24"/>
        </w:rPr>
        <w:t>of </w:t>
      </w:r>
      <w:r>
        <w:rPr>
          <w:rFonts w:ascii="Times New Roman"/>
          <w:color w:val="FF0000"/>
          <w:sz w:val="24"/>
        </w:rPr>
        <w:t>ORPHAN CONDITION</w:t>
      </w:r>
    </w:p>
    <w:p>
      <w:pPr>
        <w:pStyle w:val="BodyText"/>
        <w:spacing w:before="9"/>
        <w:rPr>
          <w:rFonts w:ascii="Times New Roman"/>
          <w:sz w:val="30"/>
        </w:rPr>
      </w:pPr>
    </w:p>
    <w:p>
      <w:pPr>
        <w:spacing w:before="1"/>
        <w:ind w:left="296" w:right="0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Dear</w:t>
      </w:r>
      <w:r>
        <w:rPr>
          <w:rFonts w:ascii="Times New Roman"/>
          <w:spacing w:val="-3"/>
          <w:sz w:val="24"/>
        </w:rPr>
        <w:t> </w:t>
      </w:r>
      <w:r>
        <w:rPr>
          <w:rFonts w:ascii="Times New Roman"/>
          <w:sz w:val="24"/>
        </w:rPr>
        <w:t>Dr.</w:t>
      </w:r>
      <w:r>
        <w:rPr>
          <w:rFonts w:ascii="Times New Roman"/>
          <w:spacing w:val="1"/>
          <w:sz w:val="24"/>
        </w:rPr>
        <w:t> </w:t>
      </w:r>
      <w:r>
        <w:rPr>
          <w:rFonts w:ascii="Times New Roman"/>
          <w:spacing w:val="-2"/>
          <w:sz w:val="24"/>
        </w:rPr>
        <w:t>Maynard:</w:t>
      </w:r>
    </w:p>
    <w:p>
      <w:pPr>
        <w:pStyle w:val="BodyText"/>
        <w:rPr>
          <w:rFonts w:ascii="Times New Roman"/>
          <w:sz w:val="21"/>
        </w:rPr>
      </w:pPr>
    </w:p>
    <w:p>
      <w:pPr>
        <w:spacing w:line="240" w:lineRule="auto" w:before="1"/>
        <w:ind w:left="311" w:right="0" w:hanging="15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Reference</w:t>
      </w:r>
      <w:r>
        <w:rPr>
          <w:rFonts w:ascii="Times New Roman"/>
          <w:spacing w:val="-2"/>
          <w:sz w:val="24"/>
        </w:rPr>
        <w:t> </w:t>
      </w:r>
      <w:r>
        <w:rPr>
          <w:rFonts w:ascii="Times New Roman"/>
          <w:sz w:val="24"/>
        </w:rPr>
        <w:t>is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made</w:t>
      </w:r>
      <w:r>
        <w:rPr>
          <w:rFonts w:ascii="Times New Roman"/>
          <w:spacing w:val="-4"/>
          <w:sz w:val="24"/>
        </w:rPr>
        <w:t> </w:t>
      </w:r>
      <w:r>
        <w:rPr>
          <w:rFonts w:ascii="Times New Roman"/>
          <w:sz w:val="24"/>
        </w:rPr>
        <w:t>to</w:t>
      </w:r>
      <w:r>
        <w:rPr>
          <w:rFonts w:ascii="Times New Roman"/>
          <w:spacing w:val="-4"/>
          <w:sz w:val="24"/>
        </w:rPr>
        <w:t> </w:t>
      </w:r>
      <w:r>
        <w:rPr>
          <w:rFonts w:ascii="Times New Roman"/>
          <w:sz w:val="24"/>
        </w:rPr>
        <w:t>the</w:t>
      </w:r>
      <w:r>
        <w:rPr>
          <w:rFonts w:ascii="Times New Roman"/>
          <w:spacing w:val="-4"/>
          <w:sz w:val="24"/>
        </w:rPr>
        <w:t> </w:t>
      </w:r>
      <w:r>
        <w:rPr>
          <w:rFonts w:ascii="Times New Roman"/>
          <w:sz w:val="24"/>
        </w:rPr>
        <w:t>Orphan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Drug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Designation</w:t>
      </w:r>
      <w:r>
        <w:rPr>
          <w:rFonts w:ascii="Times New Roman"/>
          <w:spacing w:val="-4"/>
          <w:sz w:val="24"/>
        </w:rPr>
        <w:t> </w:t>
      </w:r>
      <w:r>
        <w:rPr>
          <w:rFonts w:ascii="Times New Roman"/>
          <w:sz w:val="24"/>
        </w:rPr>
        <w:t>request</w:t>
      </w:r>
      <w:r>
        <w:rPr>
          <w:rFonts w:ascii="Times New Roman"/>
          <w:spacing w:val="-2"/>
          <w:sz w:val="24"/>
        </w:rPr>
        <w:t> </w:t>
      </w:r>
      <w:r>
        <w:rPr>
          <w:rFonts w:ascii="Times New Roman"/>
          <w:sz w:val="24"/>
        </w:rPr>
        <w:t>DRU-2019-7291</w:t>
      </w:r>
      <w:r>
        <w:rPr>
          <w:rFonts w:ascii="Times New Roman"/>
          <w:spacing w:val="-2"/>
          <w:sz w:val="24"/>
        </w:rPr>
        <w:t> </w:t>
      </w:r>
      <w:r>
        <w:rPr>
          <w:rFonts w:ascii="Times New Roman"/>
          <w:sz w:val="24"/>
        </w:rPr>
        <w:t>for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color w:val="FF0000"/>
          <w:sz w:val="24"/>
        </w:rPr>
        <w:t>DRUG</w:t>
      </w:r>
      <w:r>
        <w:rPr>
          <w:rFonts w:ascii="Times New Roman"/>
          <w:color w:val="FF0000"/>
          <w:spacing w:val="-3"/>
          <w:sz w:val="24"/>
        </w:rPr>
        <w:t> </w:t>
      </w:r>
      <w:r>
        <w:rPr>
          <w:rFonts w:ascii="Times New Roman"/>
          <w:sz w:val="24"/>
        </w:rPr>
        <w:t>for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the Treatment (</w:t>
      </w:r>
      <w:r>
        <w:rPr>
          <w:rFonts w:ascii="Times New Roman"/>
          <w:color w:val="FF0000"/>
          <w:sz w:val="24"/>
        </w:rPr>
        <w:t>OR PREVENTION use as appropriate</w:t>
      </w:r>
      <w:r>
        <w:rPr>
          <w:rFonts w:ascii="Times New Roman"/>
          <w:sz w:val="24"/>
        </w:rPr>
        <w:t>) of </w:t>
      </w:r>
      <w:r>
        <w:rPr>
          <w:rFonts w:ascii="Times New Roman"/>
          <w:color w:val="FF0000"/>
          <w:sz w:val="24"/>
        </w:rPr>
        <w:t>ORPHAN CONDITION </w:t>
      </w:r>
      <w:r>
        <w:rPr>
          <w:rFonts w:ascii="Times New Roman"/>
          <w:sz w:val="24"/>
        </w:rPr>
        <w:t>submitted on </w:t>
      </w:r>
      <w:r>
        <w:rPr>
          <w:rFonts w:ascii="Times New Roman"/>
          <w:color w:val="FF0000"/>
          <w:spacing w:val="-2"/>
          <w:sz w:val="24"/>
        </w:rPr>
        <w:t>DATE.</w:t>
      </w:r>
    </w:p>
    <w:p>
      <w:pPr>
        <w:pStyle w:val="BodyText"/>
        <w:spacing w:before="7"/>
        <w:rPr>
          <w:rFonts w:ascii="Times New Roman"/>
          <w:sz w:val="20"/>
        </w:rPr>
      </w:pPr>
    </w:p>
    <w:p>
      <w:pPr>
        <w:spacing w:line="240" w:lineRule="auto" w:before="0"/>
        <w:ind w:left="311" w:right="0" w:hanging="15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It is</w:t>
      </w:r>
      <w:r>
        <w:rPr>
          <w:rFonts w:ascii="Times New Roman" w:hAnsi="Times New Roman"/>
          <w:spacing w:val="-2"/>
          <w:sz w:val="24"/>
        </w:rPr>
        <w:t> </w:t>
      </w:r>
      <w:r>
        <w:rPr>
          <w:rFonts w:ascii="Times New Roman" w:hAnsi="Times New Roman"/>
          <w:sz w:val="24"/>
        </w:rPr>
        <w:t>hereby</w:t>
      </w:r>
      <w:r>
        <w:rPr>
          <w:rFonts w:ascii="Times New Roman" w:hAnsi="Times New Roman"/>
          <w:spacing w:val="-11"/>
          <w:sz w:val="24"/>
        </w:rPr>
        <w:t> </w:t>
      </w:r>
      <w:r>
        <w:rPr>
          <w:rFonts w:ascii="Times New Roman" w:hAnsi="Times New Roman"/>
          <w:sz w:val="24"/>
        </w:rPr>
        <w:t>certified</w:t>
      </w:r>
      <w:r>
        <w:rPr>
          <w:rFonts w:ascii="Times New Roman" w:hAnsi="Times New Roman"/>
          <w:spacing w:val="-2"/>
          <w:sz w:val="24"/>
        </w:rPr>
        <w:t> </w:t>
      </w:r>
      <w:r>
        <w:rPr>
          <w:rFonts w:ascii="Times New Roman" w:hAnsi="Times New Roman"/>
          <w:sz w:val="24"/>
        </w:rPr>
        <w:t>that</w:t>
      </w:r>
      <w:r>
        <w:rPr>
          <w:rFonts w:ascii="Times New Roman" w:hAnsi="Times New Roman"/>
          <w:spacing w:val="-1"/>
          <w:sz w:val="24"/>
        </w:rPr>
        <w:t> </w:t>
      </w:r>
      <w:r>
        <w:rPr>
          <w:rFonts w:ascii="Times New Roman" w:hAnsi="Times New Roman"/>
          <w:color w:val="FF0000"/>
          <w:sz w:val="24"/>
        </w:rPr>
        <w:t>CLIENT’s</w:t>
      </w:r>
      <w:r>
        <w:rPr>
          <w:rFonts w:ascii="Times New Roman" w:hAnsi="Times New Roman"/>
          <w:color w:val="FF0000"/>
          <w:spacing w:val="-5"/>
          <w:sz w:val="24"/>
        </w:rPr>
        <w:t> </w:t>
      </w:r>
      <w:r>
        <w:rPr>
          <w:rFonts w:ascii="Times New Roman" w:hAnsi="Times New Roman"/>
          <w:color w:val="FF0000"/>
          <w:sz w:val="24"/>
        </w:rPr>
        <w:t>NAME </w:t>
      </w:r>
      <w:r>
        <w:rPr>
          <w:rFonts w:ascii="Times New Roman" w:hAnsi="Times New Roman"/>
          <w:sz w:val="24"/>
        </w:rPr>
        <w:t>has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not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previously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submitted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pacing w:val="-4"/>
          <w:sz w:val="24"/>
        </w:rPr>
        <w:t> </w:t>
      </w:r>
      <w:r>
        <w:rPr>
          <w:rFonts w:ascii="Times New Roman" w:hAnsi="Times New Roman"/>
          <w:sz w:val="24"/>
        </w:rPr>
        <w:t>marketing</w:t>
      </w:r>
      <w:r>
        <w:rPr>
          <w:rFonts w:ascii="Times New Roman" w:hAnsi="Times New Roman"/>
          <w:spacing w:val="-6"/>
          <w:sz w:val="24"/>
        </w:rPr>
        <w:t> </w:t>
      </w:r>
      <w:r>
        <w:rPr>
          <w:rFonts w:ascii="Times New Roman" w:hAnsi="Times New Roman"/>
          <w:sz w:val="24"/>
        </w:rPr>
        <w:t>application to the FDA for the same active moiety for the same rare disease or condition prior to the submission of this request for orphan drug designation.</w:t>
      </w:r>
    </w:p>
    <w:p>
      <w:pPr>
        <w:pStyle w:val="BodyText"/>
        <w:spacing w:before="1"/>
        <w:rPr>
          <w:rFonts w:ascii="Times New Roman"/>
          <w:sz w:val="21"/>
        </w:rPr>
      </w:pPr>
    </w:p>
    <w:p>
      <w:pPr>
        <w:spacing w:line="240" w:lineRule="auto" w:before="0"/>
        <w:ind w:left="296" w:right="385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If you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have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any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questions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or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require</w:t>
      </w:r>
      <w:r>
        <w:rPr>
          <w:rFonts w:ascii="Times New Roman"/>
          <w:spacing w:val="-5"/>
          <w:sz w:val="24"/>
        </w:rPr>
        <w:t> </w:t>
      </w:r>
      <w:r>
        <w:rPr>
          <w:rFonts w:ascii="Times New Roman"/>
          <w:sz w:val="24"/>
        </w:rPr>
        <w:t>additional</w:t>
      </w:r>
      <w:r>
        <w:rPr>
          <w:rFonts w:ascii="Times New Roman"/>
          <w:spacing w:val="-3"/>
          <w:sz w:val="24"/>
        </w:rPr>
        <w:t> </w:t>
      </w:r>
      <w:r>
        <w:rPr>
          <w:rFonts w:ascii="Times New Roman"/>
          <w:sz w:val="24"/>
        </w:rPr>
        <w:t>information,</w:t>
      </w:r>
      <w:r>
        <w:rPr>
          <w:rFonts w:ascii="Times New Roman"/>
          <w:spacing w:val="-3"/>
          <w:sz w:val="24"/>
        </w:rPr>
        <w:t> </w:t>
      </w:r>
      <w:r>
        <w:rPr>
          <w:rFonts w:ascii="Times New Roman"/>
          <w:sz w:val="24"/>
        </w:rPr>
        <w:t>please</w:t>
      </w:r>
      <w:r>
        <w:rPr>
          <w:rFonts w:ascii="Times New Roman"/>
          <w:spacing w:val="-3"/>
          <w:sz w:val="24"/>
        </w:rPr>
        <w:t> </w:t>
      </w:r>
      <w:r>
        <w:rPr>
          <w:rFonts w:ascii="Times New Roman"/>
          <w:sz w:val="24"/>
        </w:rPr>
        <w:t>contact</w:t>
      </w:r>
      <w:r>
        <w:rPr>
          <w:rFonts w:ascii="Times New Roman"/>
          <w:spacing w:val="-2"/>
          <w:sz w:val="24"/>
        </w:rPr>
        <w:t> </w:t>
      </w:r>
      <w:r>
        <w:rPr>
          <w:rFonts w:ascii="Times New Roman"/>
          <w:color w:val="FF0000"/>
          <w:sz w:val="24"/>
        </w:rPr>
        <w:t>RPM/US</w:t>
      </w:r>
      <w:r>
        <w:rPr>
          <w:rFonts w:ascii="Times New Roman"/>
          <w:color w:val="FF0000"/>
          <w:spacing w:val="-5"/>
          <w:sz w:val="24"/>
        </w:rPr>
        <w:t> </w:t>
      </w:r>
      <w:r>
        <w:rPr>
          <w:rFonts w:ascii="Times New Roman"/>
          <w:color w:val="FF0000"/>
          <w:sz w:val="24"/>
        </w:rPr>
        <w:t>AGENT or Clients contact info if client is a US based company </w:t>
      </w:r>
      <w:r>
        <w:rPr>
          <w:rFonts w:ascii="Times New Roman"/>
          <w:sz w:val="24"/>
        </w:rPr>
        <w:t>by phone at </w:t>
      </w:r>
      <w:r>
        <w:rPr>
          <w:rFonts w:ascii="Times New Roman"/>
          <w:color w:val="FF0000"/>
          <w:sz w:val="24"/>
        </w:rPr>
        <w:t>xxx-xxx-xxxx </w:t>
      </w:r>
      <w:r>
        <w:rPr>
          <w:rFonts w:ascii="Times New Roman"/>
          <w:sz w:val="24"/>
        </w:rPr>
        <w:t>or email: </w:t>
      </w:r>
      <w:hyperlink r:id="rId29">
        <w:r>
          <w:rPr>
            <w:rFonts w:ascii="Times New Roman"/>
            <w:color w:val="0000FF"/>
            <w:spacing w:val="-2"/>
            <w:sz w:val="24"/>
            <w:u w:val="single" w:color="0000FF"/>
          </w:rPr>
          <w:t>name.name@company.com</w:t>
        </w:r>
        <w:r>
          <w:rPr>
            <w:rFonts w:ascii="Times New Roman"/>
            <w:spacing w:val="-2"/>
            <w:sz w:val="24"/>
          </w:rPr>
          <w:t>.</w:t>
        </w:r>
      </w:hyperlink>
    </w:p>
    <w:p>
      <w:pPr>
        <w:pStyle w:val="BodyText"/>
        <w:spacing w:before="3"/>
        <w:rPr>
          <w:rFonts w:ascii="Times New Roman"/>
          <w:sz w:val="23"/>
        </w:rPr>
      </w:pPr>
    </w:p>
    <w:p>
      <w:pPr>
        <w:spacing w:line="554" w:lineRule="auto" w:before="90"/>
        <w:ind w:left="296" w:right="7199" w:firstLine="0"/>
        <w:jc w:val="left"/>
        <w:rPr>
          <w:rFonts w:ascii="Times New Roman"/>
          <w:sz w:val="24"/>
        </w:rPr>
      </w:pPr>
      <w:r>
        <w:rPr>
          <w:rFonts w:ascii="Times New Roman"/>
          <w:sz w:val="24"/>
        </w:rPr>
        <w:t>Respectfully</w:t>
      </w:r>
      <w:r>
        <w:rPr>
          <w:rFonts w:ascii="Times New Roman"/>
          <w:spacing w:val="-15"/>
          <w:sz w:val="24"/>
        </w:rPr>
        <w:t> </w:t>
      </w:r>
      <w:r>
        <w:rPr>
          <w:rFonts w:ascii="Times New Roman"/>
          <w:sz w:val="24"/>
        </w:rPr>
        <w:t>submitted, Signature and</w:t>
      </w:r>
    </w:p>
    <w:p>
      <w:pPr>
        <w:spacing w:line="240" w:lineRule="auto" w:before="0"/>
        <w:ind w:left="296" w:right="8339" w:firstLine="0"/>
        <w:jc w:val="left"/>
        <w:rPr>
          <w:rFonts w:ascii="Times New Roman"/>
          <w:sz w:val="24"/>
        </w:rPr>
      </w:pPr>
      <w:r>
        <w:rPr>
          <w:rFonts w:ascii="Times New Roman"/>
          <w:spacing w:val="-4"/>
          <w:sz w:val="24"/>
        </w:rPr>
        <w:t>Name, </w:t>
      </w:r>
      <w:r>
        <w:rPr>
          <w:rFonts w:ascii="Times New Roman"/>
          <w:spacing w:val="-2"/>
          <w:sz w:val="24"/>
        </w:rPr>
        <w:t>position, address, </w:t>
      </w:r>
      <w:r>
        <w:rPr>
          <w:rFonts w:ascii="Times New Roman"/>
          <w:sz w:val="24"/>
        </w:rPr>
        <w:t>contact</w:t>
      </w:r>
      <w:r>
        <w:rPr>
          <w:rFonts w:ascii="Times New Roman"/>
          <w:spacing w:val="-15"/>
          <w:sz w:val="24"/>
        </w:rPr>
        <w:t> </w:t>
      </w:r>
      <w:r>
        <w:rPr>
          <w:rFonts w:ascii="Times New Roman"/>
          <w:sz w:val="24"/>
        </w:rPr>
        <w:t>info</w:t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3"/>
        <w:rPr>
          <w:rFonts w:ascii="Times New Roman"/>
          <w:sz w:val="15"/>
        </w:rPr>
      </w:pPr>
      <w:r>
        <w:rPr/>
        <w:pict>
          <v:rect style="position:absolute;margin-left:66pt;margin-top:9.97621pt;width:475.44pt;height:.24pt;mso-position-horizontal-relative:page;mso-position-vertical-relative:paragraph;z-index:-15725056;mso-wrap-distance-left:0;mso-wrap-distance-right:0" id="docshape17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35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3"/>
          <w:sz w:val="16"/>
        </w:rPr>
        <w:t> </w:t>
      </w:r>
      <w:r>
        <w:rPr>
          <w:sz w:val="16"/>
        </w:rPr>
        <w:t>11</w:t>
      </w:r>
      <w:r>
        <w:rPr>
          <w:spacing w:val="-5"/>
          <w:sz w:val="16"/>
        </w:rPr>
        <w:t> </w:t>
      </w:r>
      <w:r>
        <w:rPr>
          <w:sz w:val="16"/>
        </w:rPr>
        <w:t>of</w:t>
      </w:r>
      <w:r>
        <w:rPr>
          <w:spacing w:val="1"/>
          <w:sz w:val="16"/>
        </w:rPr>
        <w:t> </w:t>
      </w:r>
      <w:r>
        <w:rPr>
          <w:spacing w:val="-5"/>
          <w:sz w:val="16"/>
        </w:rPr>
        <w:t>11</w:t>
      </w:r>
    </w:p>
    <w:p>
      <w:pPr>
        <w:spacing w:line="244" w:lineRule="auto" w:before="0"/>
        <w:ind w:left="128" w:right="89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2"/>
          <w:sz w:val="16"/>
        </w:rPr>
        <w:t> </w:t>
      </w:r>
      <w:r>
        <w:rPr>
          <w:sz w:val="16"/>
        </w:rPr>
        <w:t>2022.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27"/>
          <w:footerReference w:type="default" r:id="rId28"/>
          <w:pgSz w:w="12240" w:h="15840"/>
          <w:pgMar w:header="744" w:footer="268" w:top="2540" w:bottom="460" w:left="1220" w:right="124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420" w:right="509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Dobrychlop,</w:t>
      </w:r>
      <w:r>
        <w:rPr>
          <w:spacing w:val="-11"/>
          <w:sz w:val="20"/>
        </w:rPr>
        <w:t> </w:t>
      </w:r>
      <w:r>
        <w:rPr>
          <w:sz w:val="20"/>
        </w:rPr>
        <w:t>Karolina</w:t>
      </w:r>
      <w:r>
        <w:rPr>
          <w:spacing w:val="37"/>
          <w:sz w:val="20"/>
        </w:rPr>
        <w:t> </w:t>
      </w:r>
      <w:r>
        <w:rPr>
          <w:sz w:val="20"/>
        </w:rPr>
        <w:t>(q1025820)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420" w:right="35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24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02:19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47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420" w:right="5942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Corley,</w:t>
      </w:r>
      <w:r>
        <w:rPr>
          <w:spacing w:val="-11"/>
          <w:sz w:val="20"/>
        </w:rPr>
        <w:t> </w:t>
      </w:r>
      <w:r>
        <w:rPr>
          <w:sz w:val="20"/>
        </w:rPr>
        <w:t>Helen</w:t>
      </w:r>
      <w:r>
        <w:rPr>
          <w:spacing w:val="37"/>
          <w:sz w:val="20"/>
        </w:rPr>
        <w:t> </w:t>
      </w:r>
      <w:r>
        <w:rPr>
          <w:sz w:val="20"/>
        </w:rPr>
        <w:t>(q730385)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420" w:right="35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24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03:02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47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420" w:right="548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Lewicky,</w:t>
      </w:r>
      <w:r>
        <w:rPr>
          <w:spacing w:val="-11"/>
          <w:sz w:val="20"/>
        </w:rPr>
        <w:t> </w:t>
      </w:r>
      <w:r>
        <w:rPr>
          <w:sz w:val="20"/>
        </w:rPr>
        <w:t>Tamara</w:t>
      </w:r>
      <w:r>
        <w:rPr>
          <w:spacing w:val="37"/>
          <w:sz w:val="20"/>
        </w:rPr>
        <w:t> </w:t>
      </w:r>
      <w:r>
        <w:rPr>
          <w:sz w:val="20"/>
        </w:rPr>
        <w:t>(q730348)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420" w:right="35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24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04:08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47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420" w:right="5942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NAJI,</w:t>
      </w:r>
      <w:r>
        <w:rPr>
          <w:spacing w:val="-11"/>
          <w:sz w:val="20"/>
        </w:rPr>
        <w:t> </w:t>
      </w:r>
      <w:r>
        <w:rPr>
          <w:sz w:val="20"/>
        </w:rPr>
        <w:t>Kenza</w:t>
      </w:r>
      <w:r>
        <w:rPr>
          <w:spacing w:val="36"/>
          <w:sz w:val="20"/>
        </w:rPr>
        <w:t> </w:t>
      </w:r>
      <w:r>
        <w:rPr>
          <w:sz w:val="20"/>
        </w:rPr>
        <w:t>(u1090913)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420" w:right="35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24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11:18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47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420" w:right="548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Glizer,</w:t>
      </w:r>
      <w:r>
        <w:rPr>
          <w:spacing w:val="-10"/>
          <w:sz w:val="20"/>
        </w:rPr>
        <w:t> </w:t>
      </w:r>
      <w:r>
        <w:rPr>
          <w:sz w:val="20"/>
        </w:rPr>
        <w:t>Veronica</w:t>
      </w:r>
      <w:r>
        <w:rPr>
          <w:spacing w:val="37"/>
          <w:sz w:val="20"/>
        </w:rPr>
        <w:t> </w:t>
      </w:r>
      <w:r>
        <w:rPr>
          <w:sz w:val="20"/>
        </w:rPr>
        <w:t>(q735279)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420" w:right="35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24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01:11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47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after="0"/>
        <w:jc w:val="left"/>
        <w:rPr>
          <w:sz w:val="20"/>
        </w:rPr>
        <w:sectPr>
          <w:headerReference w:type="default" r:id="rId30"/>
          <w:footerReference w:type="default" r:id="rId31"/>
          <w:pgSz w:w="12240" w:h="15840"/>
          <w:pgMar w:header="1448" w:footer="268" w:top="2840" w:bottom="460" w:left="1220" w:right="124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before="93"/>
        <w:ind w:left="420" w:right="0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3"/>
          <w:sz w:val="20"/>
        </w:rPr>
        <w:t> </w:t>
      </w:r>
      <w:r>
        <w:rPr>
          <w:sz w:val="20"/>
        </w:rPr>
        <w:t>SENGAR,</w:t>
      </w:r>
      <w:r>
        <w:rPr>
          <w:spacing w:val="-2"/>
          <w:sz w:val="20"/>
        </w:rPr>
        <w:t> </w:t>
      </w:r>
      <w:r>
        <w:rPr>
          <w:sz w:val="20"/>
        </w:rPr>
        <w:t>SATISH</w:t>
      </w:r>
      <w:r>
        <w:rPr>
          <w:spacing w:val="51"/>
          <w:sz w:val="20"/>
        </w:rPr>
        <w:t> </w:t>
      </w:r>
      <w:r>
        <w:rPr>
          <w:spacing w:val="-2"/>
          <w:sz w:val="20"/>
        </w:rPr>
        <w:t>(q1036027)</w:t>
      </w:r>
    </w:p>
    <w:p>
      <w:pPr>
        <w:spacing w:before="10"/>
        <w:ind w:left="420" w:right="0" w:firstLine="0"/>
        <w:jc w:val="left"/>
        <w:rPr>
          <w:sz w:val="20"/>
        </w:rPr>
      </w:pPr>
      <w:r>
        <w:rPr>
          <w:spacing w:val="-2"/>
          <w:sz w:val="20"/>
        </w:rPr>
        <w:t>Title:</w:t>
      </w:r>
    </w:p>
    <w:p>
      <w:pPr>
        <w:spacing w:line="249" w:lineRule="auto" w:before="10"/>
        <w:ind w:left="420" w:right="266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25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01:54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47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0"/>
        <w:ind w:left="420" w:right="509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Nandikonda,</w:t>
      </w:r>
      <w:r>
        <w:rPr>
          <w:spacing w:val="-11"/>
          <w:sz w:val="20"/>
        </w:rPr>
        <w:t> </w:t>
      </w:r>
      <w:r>
        <w:rPr>
          <w:sz w:val="20"/>
        </w:rPr>
        <w:t>Sruthi</w:t>
      </w:r>
      <w:r>
        <w:rPr>
          <w:spacing w:val="36"/>
          <w:sz w:val="20"/>
        </w:rPr>
        <w:t> </w:t>
      </w:r>
      <w:r>
        <w:rPr>
          <w:sz w:val="20"/>
        </w:rPr>
        <w:t>(u1076598)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420" w:right="266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25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08:34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47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0"/>
        <w:ind w:left="420" w:right="5942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Singh,</w:t>
      </w:r>
      <w:r>
        <w:rPr>
          <w:spacing w:val="-10"/>
          <w:sz w:val="20"/>
        </w:rPr>
        <w:t> </w:t>
      </w:r>
      <w:r>
        <w:rPr>
          <w:sz w:val="20"/>
        </w:rPr>
        <w:t>Priti</w:t>
      </w:r>
      <w:r>
        <w:rPr>
          <w:spacing w:val="36"/>
          <w:sz w:val="20"/>
        </w:rPr>
        <w:t> </w:t>
      </w:r>
      <w:r>
        <w:rPr>
          <w:sz w:val="20"/>
        </w:rPr>
        <w:t>(q823374)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420" w:right="35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30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04:43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47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pgSz w:w="12240" w:h="15840"/>
      <w:pgMar w:header="1448" w:footer="268" w:top="2840" w:bottom="460" w:left="1220" w:right="12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ourier New">
    <w:altName w:val="Courier New"/>
    <w:charset w:val="0"/>
    <w:family w:val="modern"/>
    <w:pitch w:val="fixed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84.286011pt;width:454.07999pt;height:.48pt;mso-position-horizontal-relative:page;mso-position-vertical-relative:page;z-index:-16244736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84.996216pt;width:434.95pt;height:48.9pt;mso-position-horizontal-relative:page;mso-position-vertical-relative:page;z-index:-16244224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076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1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11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  <w:p>
                <w:pPr>
                  <w:spacing w:before="101"/>
                  <w:ind w:left="687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CS_WI_RA0299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01-Jul-2022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84.526001pt;width:458.64001pt;height:.24pt;mso-position-horizontal-relative:page;mso-position-vertical-relative:page;z-index:-16243200" id="docshape4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84.996216pt;width:437.15pt;height:48.9pt;mso-position-horizontal-relative:page;mso-position-vertical-relative:page;z-index:-16242688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12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11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2022.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  <w:p>
                <w:pPr>
                  <w:spacing w:before="101"/>
                  <w:ind w:left="779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CS_WI_RA0299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01-Jul-2022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34.400024pt;width:475.44pt;height:.24pt;mso-position-horizontal-relative:page;mso-position-vertical-relative:page;z-index:-16241664" id="docshape8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34.870239pt;width:470.45pt;height:49.15pt;mso-position-horizontal-relative:page;mso-position-vertical-relative:page;z-index:-16241152" type="#_x0000_t202" id="docshape9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10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1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11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2022.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  <w:p>
                <w:pPr>
                  <w:spacing w:before="105"/>
                  <w:ind w:left="946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CS_WI_RA0299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01-Jul-2022</w:t>
                </w:r>
              </w:p>
            </w:txbxContent>
          </v:textbox>
          <w10:wrap type="none"/>
        </v:shape>
      </w:pict>
    </w: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2.753998pt;margin-top:767.575989pt;width:386.5pt;height:16.45pt;mso-position-horizontal-relative:page;mso-position-vertical-relative:page;z-index:-16240128" type="#_x0000_t202" id="docshape15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CS_WI_RA0299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01-Jul-2022</w:t>
                </w:r>
              </w:p>
            </w:txbxContent>
          </v:textbox>
          <w10:wrap type="none"/>
        </v:shape>
      </w:pict>
    </w: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2.753998pt;margin-top:767.575989pt;width:386.5pt;height:16.45pt;mso-position-horizontal-relative:page;mso-position-vertical-relative:page;z-index:-16238592" type="#_x0000_t202" id="docshape1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CS_WI_RA0299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01-Jul-2022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57.959999pt;margin-top:36.205997pt;width:479.3pt;height:90.45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58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line="235" w:lineRule="auto" w:before="8"/>
                        <w:ind w:left="105" w:right="184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Global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Regulatory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Affairs</w:t>
                      </w:r>
                      <w:r>
                        <w:rPr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–</w:t>
                      </w:r>
                      <w:r>
                        <w:rPr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Application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for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the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US and EU Orphan Drug Designation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CS_WI_RA0299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072768">
          <wp:simplePos x="0" y="0"/>
          <wp:positionH relativeFrom="page">
            <wp:posOffset>1155811</wp:posOffset>
          </wp:positionH>
          <wp:positionV relativeFrom="page">
            <wp:posOffset>911779</wp:posOffset>
          </wp:positionV>
          <wp:extent cx="2001261" cy="365291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36.960018pt;width:479.3pt;height:90.45pt;mso-position-horizontal-relative:page;mso-position-vertical-relative:page;z-index:15730176" type="#_x0000_t202" id="docshape7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58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line="235" w:lineRule="auto" w:before="8"/>
                        <w:ind w:left="105" w:right="184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Global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Regulatory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Affairs</w:t>
                      </w:r>
                      <w:r>
                        <w:rPr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–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Application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for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the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US and EU Orphan Drug Designation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72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CS_WI_RA0299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074304">
          <wp:simplePos x="0" y="0"/>
          <wp:positionH relativeFrom="page">
            <wp:posOffset>1262491</wp:posOffset>
          </wp:positionH>
          <wp:positionV relativeFrom="page">
            <wp:posOffset>921355</wp:posOffset>
          </wp:positionV>
          <wp:extent cx="2001261" cy="365291"/>
          <wp:effectExtent l="0" t="0" r="0" b="0"/>
          <wp:wrapNone/>
          <wp:docPr id="9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36.960018pt;width:479.3pt;height:90.45pt;mso-position-horizontal-relative:page;mso-position-vertical-relative:page;z-index:15731712" type="#_x0000_t202" id="docshape14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2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58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line="235" w:lineRule="auto" w:before="8"/>
                        <w:ind w:left="105" w:right="184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Global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Regulatory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Affairs</w:t>
                      </w:r>
                      <w:r>
                        <w:rPr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–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Application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for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the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US and EU Orphan Drug Designation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72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CS_WI_RA0299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075840">
          <wp:simplePos x="0" y="0"/>
          <wp:positionH relativeFrom="page">
            <wp:posOffset>1262491</wp:posOffset>
          </wp:positionH>
          <wp:positionV relativeFrom="page">
            <wp:posOffset>921355</wp:posOffset>
          </wp:positionV>
          <wp:extent cx="2001261" cy="365291"/>
          <wp:effectExtent l="0" t="0" r="0" b="0"/>
          <wp:wrapNone/>
          <wp:docPr id="11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7076864">
          <wp:simplePos x="0" y="0"/>
          <wp:positionH relativeFrom="page">
            <wp:posOffset>1780794</wp:posOffset>
          </wp:positionH>
          <wp:positionV relativeFrom="page">
            <wp:posOffset>1070610</wp:posOffset>
          </wp:positionV>
          <wp:extent cx="19812" cy="9905"/>
          <wp:effectExtent l="0" t="0" r="0" b="0"/>
          <wp:wrapNone/>
          <wp:docPr id="13" name="image4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4" name="image4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812" cy="9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pict>
        <v:shape style="position:absolute;margin-left:72.980003pt;margin-top:71.424278pt;width:465.9pt;height:71.95pt;mso-position-horizontal-relative:page;mso-position-vertical-relative:page;z-index:-16239104" type="#_x0000_t202" id="docshape18" filled="false" stroked="false">
          <v:textbox inset="0,0,0,0">
            <w:txbxContent>
              <w:p>
                <w:pPr>
                  <w:spacing w:line="321" w:lineRule="exact" w:before="10"/>
                  <w:ind w:left="47" w:right="14" w:firstLine="0"/>
                  <w:jc w:val="center"/>
                  <w:rPr>
                    <w:sz w:val="28"/>
                  </w:rPr>
                </w:pPr>
                <w:r>
                  <w:rPr>
                    <w:sz w:val="28"/>
                  </w:rPr>
                  <w:t>Standard</w:t>
                </w:r>
                <w:r>
                  <w:rPr>
                    <w:spacing w:val="-13"/>
                    <w:sz w:val="28"/>
                  </w:rPr>
                  <w:t> </w:t>
                </w:r>
                <w:r>
                  <w:rPr>
                    <w:sz w:val="28"/>
                  </w:rPr>
                  <w:t>Operating</w:t>
                </w:r>
                <w:r>
                  <w:rPr>
                    <w:spacing w:val="-12"/>
                    <w:sz w:val="28"/>
                  </w:rPr>
                  <w:t> </w:t>
                </w:r>
                <w:r>
                  <w:rPr>
                    <w:sz w:val="28"/>
                  </w:rPr>
                  <w:t>Procedure</w:t>
                </w:r>
                <w:r>
                  <w:rPr>
                    <w:spacing w:val="-12"/>
                    <w:sz w:val="28"/>
                  </w:rPr>
                  <w:t> </w:t>
                </w:r>
                <w:r>
                  <w:rPr>
                    <w:sz w:val="28"/>
                  </w:rPr>
                  <w:t>Approval</w:t>
                </w:r>
                <w:r>
                  <w:rPr>
                    <w:spacing w:val="-12"/>
                    <w:sz w:val="28"/>
                  </w:rPr>
                  <w:t> </w:t>
                </w:r>
                <w:r>
                  <w:rPr>
                    <w:spacing w:val="-2"/>
                    <w:sz w:val="28"/>
                  </w:rPr>
                  <w:t>Signature(s)</w:t>
                </w:r>
              </w:p>
              <w:p>
                <w:pPr>
                  <w:pStyle w:val="BodyText"/>
                  <w:spacing w:line="252" w:lineRule="exact"/>
                  <w:ind w:left="47" w:right="47"/>
                  <w:jc w:val="center"/>
                </w:pPr>
                <w:r>
                  <w:rPr/>
                  <w:t>This</w:t>
                </w:r>
                <w:r>
                  <w:rPr>
                    <w:spacing w:val="-6"/>
                  </w:rPr>
                  <w:t> </w:t>
                </w:r>
                <w:r>
                  <w:rPr/>
                  <w:t>is</w:t>
                </w:r>
                <w:r>
                  <w:rPr>
                    <w:spacing w:val="-6"/>
                  </w:rPr>
                  <w:t> </w:t>
                </w:r>
                <w:r>
                  <w:rPr/>
                  <w:t>a</w:t>
                </w:r>
                <w:r>
                  <w:rPr>
                    <w:spacing w:val="-7"/>
                  </w:rPr>
                  <w:t> </w:t>
                </w:r>
                <w:r>
                  <w:rPr/>
                  <w:t>representation</w:t>
                </w:r>
                <w:r>
                  <w:rPr>
                    <w:spacing w:val="-7"/>
                  </w:rPr>
                  <w:t> </w:t>
                </w:r>
                <w:r>
                  <w:rPr/>
                  <w:t>of</w:t>
                </w:r>
                <w:r>
                  <w:rPr>
                    <w:spacing w:val="-5"/>
                  </w:rPr>
                  <w:t> </w:t>
                </w:r>
                <w:r>
                  <w:rPr/>
                  <w:t>an</w:t>
                </w:r>
                <w:r>
                  <w:rPr>
                    <w:spacing w:val="-6"/>
                  </w:rPr>
                  <w:t> </w:t>
                </w:r>
                <w:r>
                  <w:rPr/>
                  <w:t>electronic</w:t>
                </w:r>
                <w:r>
                  <w:rPr>
                    <w:spacing w:val="-6"/>
                  </w:rPr>
                  <w:t> </w:t>
                </w:r>
                <w:r>
                  <w:rPr/>
                  <w:t>record</w:t>
                </w:r>
                <w:r>
                  <w:rPr>
                    <w:spacing w:val="-6"/>
                  </w:rPr>
                  <w:t> </w:t>
                </w:r>
                <w:r>
                  <w:rPr/>
                  <w:t>that</w:t>
                </w:r>
                <w:r>
                  <w:rPr>
                    <w:spacing w:val="-6"/>
                  </w:rPr>
                  <w:t> </w:t>
                </w:r>
                <w:r>
                  <w:rPr/>
                  <w:t>was</w:t>
                </w:r>
                <w:r>
                  <w:rPr>
                    <w:spacing w:val="-5"/>
                  </w:rPr>
                  <w:t> </w:t>
                </w:r>
                <w:r>
                  <w:rPr/>
                  <w:t>signed</w:t>
                </w:r>
                <w:r>
                  <w:rPr>
                    <w:spacing w:val="-6"/>
                  </w:rPr>
                  <w:t> </w:t>
                </w:r>
                <w:r>
                  <w:rPr/>
                  <w:t>electronically</w:t>
                </w:r>
                <w:r>
                  <w:rPr>
                    <w:spacing w:val="-6"/>
                  </w:rPr>
                  <w:t> </w:t>
                </w:r>
                <w:r>
                  <w:rPr/>
                  <w:t>in</w:t>
                </w:r>
                <w:r>
                  <w:rPr>
                    <w:spacing w:val="-6"/>
                  </w:rPr>
                  <w:t> </w:t>
                </w:r>
                <w:r>
                  <w:rPr/>
                  <w:t>Content</w:t>
                </w:r>
                <w:r>
                  <w:rPr>
                    <w:spacing w:val="-6"/>
                  </w:rPr>
                  <w:t> </w:t>
                </w:r>
                <w:r>
                  <w:rPr>
                    <w:spacing w:val="-2"/>
                  </w:rPr>
                  <w:t>Server.</w:t>
                </w:r>
              </w:p>
              <w:p>
                <w:pPr>
                  <w:pStyle w:val="BodyText"/>
                  <w:spacing w:line="276" w:lineRule="auto"/>
                  <w:ind w:left="47" w:right="42"/>
                  <w:jc w:val="center"/>
                </w:pPr>
                <w:r>
                  <w:rPr/>
                  <w:t>This</w:t>
                </w:r>
                <w:r>
                  <w:rPr>
                    <w:spacing w:val="-3"/>
                  </w:rPr>
                  <w:t> </w:t>
                </w:r>
                <w:r>
                  <w:rPr/>
                  <w:t>page</w:t>
                </w:r>
                <w:r>
                  <w:rPr>
                    <w:spacing w:val="-3"/>
                  </w:rPr>
                  <w:t> </w:t>
                </w:r>
                <w:r>
                  <w:rPr/>
                  <w:t>is</w:t>
                </w:r>
                <w:r>
                  <w:rPr>
                    <w:spacing w:val="-3"/>
                  </w:rPr>
                  <w:t> </w:t>
                </w:r>
                <w:r>
                  <w:rPr/>
                  <w:t>the</w:t>
                </w:r>
                <w:r>
                  <w:rPr>
                    <w:spacing w:val="-3"/>
                  </w:rPr>
                  <w:t> </w:t>
                </w:r>
                <w:r>
                  <w:rPr/>
                  <w:t>manifestation</w:t>
                </w:r>
                <w:r>
                  <w:rPr>
                    <w:spacing w:val="-3"/>
                  </w:rPr>
                  <w:t> </w:t>
                </w:r>
                <w:r>
                  <w:rPr/>
                  <w:t>of</w:t>
                </w:r>
                <w:r>
                  <w:rPr>
                    <w:spacing w:val="-3"/>
                  </w:rPr>
                  <w:t> </w:t>
                </w:r>
                <w:r>
                  <w:rPr/>
                  <w:t>the</w:t>
                </w:r>
                <w:r>
                  <w:rPr>
                    <w:spacing w:val="-4"/>
                  </w:rPr>
                  <w:t> </w:t>
                </w:r>
                <w:r>
                  <w:rPr/>
                  <w:t>electronic</w:t>
                </w:r>
                <w:r>
                  <w:rPr>
                    <w:spacing w:val="-4"/>
                  </w:rPr>
                  <w:t> </w:t>
                </w:r>
                <w:r>
                  <w:rPr/>
                  <w:t>signature(s)</w:t>
                </w:r>
                <w:r>
                  <w:rPr>
                    <w:spacing w:val="-3"/>
                  </w:rPr>
                  <w:t> </w:t>
                </w:r>
                <w:r>
                  <w:rPr/>
                  <w:t>used</w:t>
                </w:r>
                <w:r>
                  <w:rPr>
                    <w:spacing w:val="-3"/>
                  </w:rPr>
                  <w:t> </w:t>
                </w:r>
                <w:r>
                  <w:rPr/>
                  <w:t>in</w:t>
                </w:r>
                <w:r>
                  <w:rPr>
                    <w:spacing w:val="-3"/>
                  </w:rPr>
                  <w:t> </w:t>
                </w:r>
                <w:r>
                  <w:rPr/>
                  <w:t>compliance</w:t>
                </w:r>
                <w:r>
                  <w:rPr>
                    <w:spacing w:val="-3"/>
                  </w:rPr>
                  <w:t> </w:t>
                </w:r>
                <w:r>
                  <w:rPr/>
                  <w:t>with</w:t>
                </w:r>
                <w:r>
                  <w:rPr>
                    <w:spacing w:val="-3"/>
                  </w:rPr>
                  <w:t> </w:t>
                </w:r>
                <w:r>
                  <w:rPr/>
                  <w:t>the organization’s electronic signature policies and procedures</w:t>
                </w:r>
              </w:p>
              <w:p>
                <w:pPr>
                  <w:pStyle w:val="BodyText"/>
                  <w:ind w:left="47" w:right="163"/>
                  <w:jc w:val="center"/>
                </w:pPr>
                <w:r>
                  <w:rPr/>
                  <w:t>Refer</w:t>
                </w:r>
                <w:r>
                  <w:rPr>
                    <w:spacing w:val="-6"/>
                  </w:rPr>
                  <w:t> </w:t>
                </w:r>
                <w:r>
                  <w:rPr/>
                  <w:t>to</w:t>
                </w:r>
                <w:r>
                  <w:rPr>
                    <w:spacing w:val="-5"/>
                  </w:rPr>
                  <w:t> </w:t>
                </w:r>
                <w:r>
                  <w:rPr/>
                  <w:t>Signatories</w:t>
                </w:r>
                <w:r>
                  <w:rPr>
                    <w:spacing w:val="-6"/>
                  </w:rPr>
                  <w:t> </w:t>
                </w:r>
                <w:r>
                  <w:rPr/>
                  <w:t>CV</w:t>
                </w:r>
                <w:r>
                  <w:rPr>
                    <w:spacing w:val="-5"/>
                  </w:rPr>
                  <w:t> </w:t>
                </w:r>
                <w:r>
                  <w:rPr/>
                  <w:t>for</w:t>
                </w:r>
                <w:r>
                  <w:rPr>
                    <w:spacing w:val="-6"/>
                  </w:rPr>
                  <w:t> </w:t>
                </w:r>
                <w:r>
                  <w:rPr/>
                  <w:t>Business</w:t>
                </w:r>
                <w:r>
                  <w:rPr>
                    <w:spacing w:val="-5"/>
                  </w:rPr>
                  <w:t> </w:t>
                </w:r>
                <w:r>
                  <w:rPr>
                    <w:spacing w:val="-2"/>
                  </w:rPr>
                  <w:t>Title.</w:t>
                </w:r>
              </w:p>
            </w:txbxContent>
          </v:textbox>
          <w10:wrap type="none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3">
    <w:multiLevelType w:val="hybridMultilevel"/>
    <w:lvl w:ilvl="0">
      <w:start w:val="0"/>
      <w:numFmt w:val="bullet"/>
      <w:lvlText w:val=""/>
      <w:lvlJc w:val="left"/>
      <w:pPr>
        <w:ind w:left="59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6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3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9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6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2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9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5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23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59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6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4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0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6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2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81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474" w:hanging="360"/>
      </w:pPr>
      <w:rPr>
        <w:rFonts w:hint="default" w:ascii="Symbol" w:hAnsi="Symbol" w:eastAsia="Symbol" w:cs="Symbol"/>
        <w:b/>
        <w:bCs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5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3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8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4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2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9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887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1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2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79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82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2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02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63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2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4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46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112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6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3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0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7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4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13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112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6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3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0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7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4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13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3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8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80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30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81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32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82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33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4" w:hanging="720"/>
      </w:pPr>
      <w:rPr>
        <w:rFonts w:hint="default"/>
        <w:lang w:val="en-US" w:eastAsia="en-US" w:bidi="ar-SA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3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42"/>
      <w:ind w:left="114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www.ema.europa.eu/en/documents/regulatory-procedural-guideline/iris-guide-registration_en.pdf" TargetMode="External"/><Relationship Id="rId10" Type="http://schemas.openxmlformats.org/officeDocument/2006/relationships/hyperlink" Target="https://www.ema.europa.eu/en/human-regulatory/research-development/orphan-designation/applying-orphan-designation" TargetMode="External"/><Relationship Id="rId11" Type="http://schemas.openxmlformats.org/officeDocument/2006/relationships/hyperlink" Target="https://www.fda.gov/industry/designating-orphan-product-drugs-and-biological-products/corresponding-oopd-drug-designation-programs" TargetMode="External"/><Relationship Id="rId12" Type="http://schemas.openxmlformats.org/officeDocument/2006/relationships/hyperlink" Target="https://iris.ema.europa.eu/" TargetMode="External"/><Relationship Id="rId13" Type="http://schemas.openxmlformats.org/officeDocument/2006/relationships/hyperlink" Target="https://www.ema.europa.eu/en/human-regulatory/research-development/orphan-designation/applying-designation/submission-deadlines-orphan-designations" TargetMode="External"/><Relationship Id="rId14" Type="http://schemas.openxmlformats.org/officeDocument/2006/relationships/hyperlink" Target="https://elvis.quintiles.com/livelink/llisapi.dll/open/CS_WI_RA032" TargetMode="External"/><Relationship Id="rId15" Type="http://schemas.openxmlformats.org/officeDocument/2006/relationships/hyperlink" Target="https://elvis.quintiles.com/livelink/llisapi.dll/open/CS_TP_RA0295" TargetMode="External"/><Relationship Id="rId16" Type="http://schemas.openxmlformats.org/officeDocument/2006/relationships/hyperlink" Target="https://elvis.quintiles.com/livelink/llisapi.dll/open/CS_WI_RA0273" TargetMode="External"/><Relationship Id="rId17" Type="http://schemas.openxmlformats.org/officeDocument/2006/relationships/hyperlink" Target="https://elvis.quintiles.com/livelink/llisapi.dll/open/CS_TP_RA0302" TargetMode="External"/><Relationship Id="rId18" Type="http://schemas.openxmlformats.org/officeDocument/2006/relationships/hyperlink" Target="https://elvis.quintiles.com/livelink/llisapi.dll/open/CS_WI_RA0262" TargetMode="External"/><Relationship Id="rId19" Type="http://schemas.openxmlformats.org/officeDocument/2006/relationships/hyperlink" Target="https://www.fda.gov/industry/developing-products-rare-diseases-conditions/designating-orphan-product-drugs-and-biological-products" TargetMode="External"/><Relationship Id="rId20" Type="http://schemas.openxmlformats.org/officeDocument/2006/relationships/header" Target="header2.xml"/><Relationship Id="rId21" Type="http://schemas.openxmlformats.org/officeDocument/2006/relationships/footer" Target="footer3.xml"/><Relationship Id="rId22" Type="http://schemas.openxmlformats.org/officeDocument/2006/relationships/image" Target="media/image2.jpeg"/><Relationship Id="rId23" Type="http://schemas.openxmlformats.org/officeDocument/2006/relationships/header" Target="header3.xml"/><Relationship Id="rId24" Type="http://schemas.openxmlformats.org/officeDocument/2006/relationships/footer" Target="footer4.xml"/><Relationship Id="rId25" Type="http://schemas.openxmlformats.org/officeDocument/2006/relationships/image" Target="media/image3.png"/><Relationship Id="rId26" Type="http://schemas.openxmlformats.org/officeDocument/2006/relationships/hyperlink" Target="mailto:name.surname@iqvia.com" TargetMode="External"/><Relationship Id="rId27" Type="http://schemas.openxmlformats.org/officeDocument/2006/relationships/header" Target="header4.xml"/><Relationship Id="rId28" Type="http://schemas.openxmlformats.org/officeDocument/2006/relationships/footer" Target="footer5.xml"/><Relationship Id="rId29" Type="http://schemas.openxmlformats.org/officeDocument/2006/relationships/hyperlink" Target="mailto:name.name@company.com" TargetMode="External"/><Relationship Id="rId30" Type="http://schemas.openxmlformats.org/officeDocument/2006/relationships/header" Target="header5.xml"/><Relationship Id="rId31" Type="http://schemas.openxmlformats.org/officeDocument/2006/relationships/footer" Target="footer6.xml"/><Relationship Id="rId32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4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5.xml.rels><?xml version="1.0" encoding="UTF-8" standalone="yes"?>
<Relationships xmlns="http://schemas.openxmlformats.org/package/2006/relationships"><Relationship Id="rId1" Type="http://schemas.openxmlformats.org/officeDocument/2006/relationships/image" Target="media/image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2023-04-11T12:19:10Z</dcterms:created>
  <dcterms:modified xsi:type="dcterms:W3CDTF">2023-04-11T12:19:10Z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2022-05-20T00:00:00Z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