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60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01"/>
        <w:gridCol w:w="1289"/>
        <w:gridCol w:w="4188"/>
      </w:tblGrid>
      <w:tr>
        <w:trPr>
          <w:trHeight w:val="1303" w:hRule="atLeast"/>
        </w:trPr>
        <w:tc>
          <w:tcPr>
            <w:tcW w:w="3701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7" w:after="1"/>
              <w:ind w:left="0"/>
              <w:rPr>
                <w:rFonts w:ascii="Times New Roman"/>
                <w:sz w:val="17"/>
              </w:rPr>
            </w:pPr>
          </w:p>
          <w:p>
            <w:pPr>
              <w:pStyle w:val="TableParagraph"/>
              <w:ind w:left="479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477" w:type="dxa"/>
            <w:gridSpan w:val="2"/>
            <w:shd w:val="clear" w:color="auto" w:fill="E6E6E6"/>
          </w:tcPr>
          <w:p>
            <w:pPr>
              <w:pStyle w:val="TableParagraph"/>
              <w:spacing w:line="242" w:lineRule="auto"/>
              <w:ind w:left="375" w:right="327" w:firstLine="1060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z w:val="22"/>
                <w:vertAlign w:val="baseline"/>
              </w:rPr>
              <w:t> Work Instruction</w:t>
            </w:r>
            <w:r>
              <w:rPr>
                <w:b/>
                <w:spacing w:val="40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Statistical</w:t>
            </w:r>
            <w:r>
              <w:rPr>
                <w:b/>
                <w:spacing w:val="-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Review</w:t>
            </w:r>
            <w:r>
              <w:rPr>
                <w:b/>
                <w:spacing w:val="-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and</w:t>
            </w:r>
            <w:r>
              <w:rPr>
                <w:b/>
                <w:spacing w:val="-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Input</w:t>
            </w:r>
            <w:r>
              <w:rPr>
                <w:b/>
                <w:spacing w:val="-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to</w:t>
            </w:r>
            <w:r>
              <w:rPr>
                <w:b/>
                <w:spacing w:val="-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a</w:t>
            </w:r>
            <w:r>
              <w:rPr>
                <w:b/>
                <w:spacing w:val="-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Clinical</w:t>
            </w:r>
            <w:r>
              <w:rPr>
                <w:b/>
                <w:spacing w:val="-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Trial</w:t>
            </w:r>
          </w:p>
          <w:p>
            <w:pPr>
              <w:pStyle w:val="TableParagraph"/>
              <w:spacing w:line="246" w:lineRule="exact"/>
              <w:ind w:left="229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Protocol</w:t>
            </w:r>
          </w:p>
        </w:tc>
      </w:tr>
      <w:tr>
        <w:trPr>
          <w:trHeight w:val="512" w:hRule="atLeast"/>
        </w:trPr>
        <w:tc>
          <w:tcPr>
            <w:tcW w:w="499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41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24" w:lineRule="exact"/>
              <w:ind w:left="126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5"/>
              <w:ind w:left="126"/>
              <w:rPr>
                <w:sz w:val="20"/>
              </w:rPr>
            </w:pPr>
            <w:r>
              <w:rPr>
                <w:sz w:val="20"/>
              </w:rPr>
              <w:t>CS_WI_BS006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5"/>
                <w:sz w:val="20"/>
              </w:rPr>
              <w:t>14</w:t>
            </w:r>
          </w:p>
        </w:tc>
      </w:tr>
      <w:tr>
        <w:trPr>
          <w:trHeight w:val="513" w:hRule="atLeast"/>
        </w:trPr>
        <w:tc>
          <w:tcPr>
            <w:tcW w:w="49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25" w:lineRule="exact"/>
              <w:ind w:left="124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before="5"/>
              <w:ind w:left="124"/>
              <w:rPr>
                <w:sz w:val="20"/>
              </w:rPr>
            </w:pPr>
            <w:r>
              <w:rPr>
                <w:sz w:val="20"/>
              </w:rPr>
              <w:t>Carrie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Eason</w:t>
            </w:r>
          </w:p>
        </w:tc>
        <w:tc>
          <w:tcPr>
            <w:tcW w:w="4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25" w:lineRule="exact"/>
              <w:ind w:left="12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Authors:</w:t>
            </w:r>
          </w:p>
          <w:p>
            <w:pPr>
              <w:pStyle w:val="TableParagraph"/>
              <w:spacing w:before="5"/>
              <w:ind w:left="126"/>
              <w:rPr>
                <w:sz w:val="20"/>
              </w:rPr>
            </w:pPr>
            <w:r>
              <w:rPr>
                <w:sz w:val="20"/>
              </w:rPr>
              <w:t>Gino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Colavita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2"/>
        <w:rPr>
          <w:rFonts w:ascii="Times New Roman"/>
          <w:sz w:val="16"/>
        </w:rPr>
      </w:pPr>
    </w:p>
    <w:p>
      <w:pPr>
        <w:pStyle w:val="Heading1"/>
        <w:numPr>
          <w:ilvl w:val="0"/>
          <w:numId w:val="1"/>
        </w:numPr>
        <w:tabs>
          <w:tab w:pos="1279" w:val="left" w:leader="none"/>
          <w:tab w:pos="1280" w:val="left" w:leader="none"/>
        </w:tabs>
        <w:spacing w:line="240" w:lineRule="auto" w:before="94" w:after="0"/>
        <w:ind w:left="128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pStyle w:val="BodyText"/>
        <w:spacing w:before="121"/>
        <w:ind w:left="1280" w:right="589"/>
      </w:pPr>
      <w:r>
        <w:rPr/>
        <w:t>To</w:t>
      </w:r>
      <w:r>
        <w:rPr>
          <w:spacing w:val="-3"/>
        </w:rPr>
        <w:t> </w:t>
      </w:r>
      <w:r>
        <w:rPr/>
        <w:t>describe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statistical</w:t>
      </w:r>
      <w:r>
        <w:rPr>
          <w:spacing w:val="-3"/>
        </w:rPr>
        <w:t> </w:t>
      </w:r>
      <w:r>
        <w:rPr/>
        <w:t>input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review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clinical</w:t>
      </w:r>
      <w:r>
        <w:rPr>
          <w:spacing w:val="-3"/>
        </w:rPr>
        <w:t> </w:t>
      </w:r>
      <w:r>
        <w:rPr/>
        <w:t>study</w:t>
      </w:r>
      <w:r>
        <w:rPr>
          <w:spacing w:val="-3"/>
        </w:rPr>
        <w:t> </w:t>
      </w:r>
      <w:r>
        <w:rPr/>
        <w:t>protocol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terms</w:t>
      </w:r>
      <w:r>
        <w:rPr>
          <w:spacing w:val="-3"/>
        </w:rPr>
        <w:t> </w:t>
      </w:r>
      <w:r>
        <w:rPr/>
        <w:t>of objectives, proposed study design, conduct and statistical methodology.</w:t>
      </w:r>
    </w:p>
    <w:p>
      <w:pPr>
        <w:pStyle w:val="BodyText"/>
        <w:spacing w:before="8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79" w:val="left" w:leader="none"/>
          <w:tab w:pos="1280" w:val="left" w:leader="none"/>
        </w:tabs>
        <w:spacing w:line="240" w:lineRule="auto" w:before="0" w:after="0"/>
        <w:ind w:left="1280" w:right="0" w:hanging="720"/>
        <w:jc w:val="left"/>
      </w:pPr>
      <w:bookmarkStart w:name="SCOPE" w:id="2"/>
      <w:bookmarkEnd w:id="2"/>
      <w:r>
        <w:rPr>
          <w:spacing w:val="-2"/>
        </w:rPr>
        <w:t>SCOPE</w:t>
      </w:r>
    </w:p>
    <w:p>
      <w:pPr>
        <w:pStyle w:val="BodyText"/>
        <w:spacing w:before="5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822" w:val="left" w:leader="none"/>
          <w:tab w:pos="1823" w:val="left" w:leader="none"/>
        </w:tabs>
        <w:spacing w:line="240" w:lineRule="auto" w:before="0" w:after="0"/>
        <w:ind w:left="1822" w:right="1294" w:hanging="543"/>
        <w:jc w:val="left"/>
        <w:rPr>
          <w:sz w:val="22"/>
        </w:rPr>
      </w:pPr>
      <w:r>
        <w:rPr>
          <w:sz w:val="22"/>
        </w:rPr>
        <w:t>This</w:t>
      </w:r>
      <w:r>
        <w:rPr>
          <w:spacing w:val="-2"/>
          <w:sz w:val="22"/>
        </w:rPr>
        <w:t> </w:t>
      </w:r>
      <w:r>
        <w:rPr>
          <w:sz w:val="22"/>
        </w:rPr>
        <w:t>work</w:t>
      </w:r>
      <w:r>
        <w:rPr>
          <w:spacing w:val="-5"/>
          <w:sz w:val="22"/>
        </w:rPr>
        <w:t> </w:t>
      </w:r>
      <w:r>
        <w:rPr>
          <w:sz w:val="22"/>
        </w:rPr>
        <w:t>instruction</w:t>
      </w:r>
      <w:r>
        <w:rPr>
          <w:spacing w:val="-5"/>
          <w:sz w:val="22"/>
        </w:rPr>
        <w:t> </w:t>
      </w:r>
      <w:r>
        <w:rPr>
          <w:sz w:val="22"/>
        </w:rPr>
        <w:t>(WI)</w:t>
      </w:r>
      <w:r>
        <w:rPr>
          <w:spacing w:val="-9"/>
          <w:sz w:val="22"/>
        </w:rPr>
        <w:t> </w:t>
      </w:r>
      <w:r>
        <w:rPr>
          <w:sz w:val="22"/>
        </w:rPr>
        <w:t>applies</w:t>
      </w:r>
      <w:r>
        <w:rPr>
          <w:spacing w:val="-4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all</w:t>
      </w:r>
      <w:r>
        <w:rPr>
          <w:spacing w:val="-4"/>
          <w:sz w:val="22"/>
        </w:rPr>
        <w:t> </w:t>
      </w:r>
      <w:r>
        <w:rPr>
          <w:sz w:val="22"/>
        </w:rPr>
        <w:t>studies</w:t>
      </w:r>
      <w:r>
        <w:rPr>
          <w:spacing w:val="-4"/>
          <w:sz w:val="22"/>
        </w:rPr>
        <w:t> </w:t>
      </w:r>
      <w:r>
        <w:rPr>
          <w:sz w:val="22"/>
        </w:rPr>
        <w:t>globally</w:t>
      </w:r>
      <w:r>
        <w:rPr>
          <w:spacing w:val="-4"/>
          <w:sz w:val="22"/>
        </w:rPr>
        <w:t> </w:t>
      </w:r>
      <w:r>
        <w:rPr>
          <w:sz w:val="22"/>
        </w:rPr>
        <w:t>which</w:t>
      </w:r>
      <w:r>
        <w:rPr>
          <w:spacing w:val="-4"/>
          <w:sz w:val="22"/>
        </w:rPr>
        <w:t> </w:t>
      </w:r>
      <w:r>
        <w:rPr>
          <w:sz w:val="22"/>
        </w:rPr>
        <w:t>include IQVIA Biostatistics where:</w:t>
      </w:r>
    </w:p>
    <w:p>
      <w:pPr>
        <w:pStyle w:val="ListParagraph"/>
        <w:numPr>
          <w:ilvl w:val="2"/>
          <w:numId w:val="1"/>
        </w:numPr>
        <w:tabs>
          <w:tab w:pos="2719" w:val="left" w:leader="none"/>
          <w:tab w:pos="2720" w:val="left" w:leader="none"/>
        </w:tabs>
        <w:spacing w:line="240" w:lineRule="auto" w:before="118" w:after="0"/>
        <w:ind w:left="2720" w:right="0" w:hanging="720"/>
        <w:jc w:val="left"/>
        <w:rPr>
          <w:sz w:val="22"/>
        </w:rPr>
      </w:pPr>
      <w:r>
        <w:rPr>
          <w:sz w:val="22"/>
        </w:rPr>
        <w:t>Protocol</w:t>
      </w:r>
      <w:r>
        <w:rPr>
          <w:spacing w:val="-8"/>
          <w:sz w:val="22"/>
        </w:rPr>
        <w:t> </w:t>
      </w:r>
      <w:r>
        <w:rPr>
          <w:sz w:val="22"/>
        </w:rPr>
        <w:t>development</w:t>
      </w:r>
      <w:r>
        <w:rPr>
          <w:spacing w:val="-8"/>
          <w:sz w:val="22"/>
        </w:rPr>
        <w:t> </w:t>
      </w:r>
      <w:r>
        <w:rPr>
          <w:sz w:val="22"/>
        </w:rPr>
        <w:t>(including</w:t>
      </w:r>
      <w:r>
        <w:rPr>
          <w:spacing w:val="-7"/>
          <w:sz w:val="22"/>
        </w:rPr>
        <w:t> </w:t>
      </w:r>
      <w:r>
        <w:rPr>
          <w:sz w:val="22"/>
        </w:rPr>
        <w:t>amendments)</w:t>
      </w:r>
      <w:r>
        <w:rPr>
          <w:spacing w:val="-8"/>
          <w:sz w:val="22"/>
        </w:rPr>
        <w:t> </w:t>
      </w:r>
      <w:r>
        <w:rPr>
          <w:sz w:val="22"/>
        </w:rPr>
        <w:t>is</w:t>
      </w:r>
      <w:r>
        <w:rPr>
          <w:spacing w:val="-8"/>
          <w:sz w:val="22"/>
        </w:rPr>
        <w:t> </w:t>
      </w:r>
      <w:r>
        <w:rPr>
          <w:sz w:val="22"/>
        </w:rPr>
        <w:t>undertaken</w:t>
      </w:r>
      <w:r>
        <w:rPr>
          <w:spacing w:val="-7"/>
          <w:sz w:val="22"/>
        </w:rPr>
        <w:t> </w:t>
      </w:r>
      <w:r>
        <w:rPr>
          <w:sz w:val="22"/>
        </w:rPr>
        <w:t>by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IQVIA</w:t>
      </w:r>
    </w:p>
    <w:p>
      <w:pPr>
        <w:pStyle w:val="ListParagraph"/>
        <w:numPr>
          <w:ilvl w:val="2"/>
          <w:numId w:val="1"/>
        </w:numPr>
        <w:tabs>
          <w:tab w:pos="2719" w:val="left" w:leader="none"/>
          <w:tab w:pos="2720" w:val="left" w:leader="none"/>
        </w:tabs>
        <w:spacing w:line="240" w:lineRule="auto" w:before="121" w:after="0"/>
        <w:ind w:left="2720" w:right="0" w:hanging="720"/>
        <w:jc w:val="left"/>
        <w:rPr>
          <w:sz w:val="22"/>
        </w:rPr>
      </w:pPr>
      <w:r>
        <w:rPr>
          <w:sz w:val="22"/>
        </w:rPr>
        <w:t>Protocol</w:t>
      </w:r>
      <w:r>
        <w:rPr>
          <w:spacing w:val="-7"/>
          <w:sz w:val="22"/>
        </w:rPr>
        <w:t> </w:t>
      </w:r>
      <w:r>
        <w:rPr>
          <w:sz w:val="22"/>
        </w:rPr>
        <w:t>review</w:t>
      </w:r>
      <w:r>
        <w:rPr>
          <w:spacing w:val="-4"/>
          <w:sz w:val="22"/>
        </w:rPr>
        <w:t> </w:t>
      </w:r>
      <w:r>
        <w:rPr>
          <w:sz w:val="22"/>
        </w:rPr>
        <w:t>is</w:t>
      </w:r>
      <w:r>
        <w:rPr>
          <w:spacing w:val="-5"/>
          <w:sz w:val="22"/>
        </w:rPr>
        <w:t> </w:t>
      </w:r>
      <w:r>
        <w:rPr>
          <w:sz w:val="22"/>
        </w:rPr>
        <w:t>undertaken</w:t>
      </w:r>
      <w:r>
        <w:rPr>
          <w:spacing w:val="-4"/>
          <w:sz w:val="22"/>
        </w:rPr>
        <w:t> </w:t>
      </w:r>
      <w:r>
        <w:rPr>
          <w:sz w:val="22"/>
        </w:rPr>
        <w:t>by</w:t>
      </w:r>
      <w:r>
        <w:rPr>
          <w:spacing w:val="-2"/>
          <w:sz w:val="22"/>
        </w:rPr>
        <w:t> IQVIA</w:t>
      </w:r>
    </w:p>
    <w:p>
      <w:pPr>
        <w:pStyle w:val="BodyText"/>
        <w:spacing w:before="2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79" w:val="left" w:leader="none"/>
          <w:tab w:pos="1280" w:val="left" w:leader="none"/>
        </w:tabs>
        <w:spacing w:line="240" w:lineRule="auto" w:before="0" w:after="0"/>
        <w:ind w:left="1280" w:right="0" w:hanging="720"/>
        <w:jc w:val="left"/>
      </w:pPr>
      <w:bookmarkStart w:name="ROLES AND RESPONSIBILITIES" w:id="3"/>
      <w:bookmarkEnd w:id="3"/>
      <w:r>
        <w:rPr/>
        <w:t>ROLE</w:t>
      </w:r>
      <w:r>
        <w:rPr/>
        <w:t>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7"/>
        <w:ind w:left="1280"/>
      </w:pPr>
      <w:r>
        <w:rPr/>
        <w:t>The</w:t>
      </w:r>
      <w:r>
        <w:rPr>
          <w:spacing w:val="-7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14"/>
        </w:rPr>
        <w:t> </w:t>
      </w:r>
      <w:r>
        <w:rPr>
          <w:spacing w:val="-5"/>
        </w:rPr>
        <w:t>WI:</w:t>
      </w:r>
    </w:p>
    <w:p>
      <w:pPr>
        <w:pStyle w:val="BodyText"/>
        <w:spacing w:before="6"/>
        <w:rPr>
          <w:sz w:val="10"/>
        </w:rPr>
      </w:pPr>
    </w:p>
    <w:tbl>
      <w:tblPr>
        <w:tblW w:w="0" w:type="auto"/>
        <w:jc w:val="left"/>
        <w:tblInd w:w="1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84"/>
        <w:gridCol w:w="3595"/>
      </w:tblGrid>
      <w:tr>
        <w:trPr>
          <w:trHeight w:val="335" w:hRule="atLeast"/>
        </w:trPr>
        <w:tc>
          <w:tcPr>
            <w:tcW w:w="4584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0" w:hRule="atLeast"/>
        </w:trPr>
        <w:tc>
          <w:tcPr>
            <w:tcW w:w="4584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Statistical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(STL)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6.5</w:t>
            </w:r>
          </w:p>
        </w:tc>
      </w:tr>
      <w:tr>
        <w:trPr>
          <w:trHeight w:val="330" w:hRule="atLeast"/>
        </w:trPr>
        <w:tc>
          <w:tcPr>
            <w:tcW w:w="4584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Experienced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Biostatistician</w:t>
            </w:r>
            <w:r>
              <w:rPr>
                <w:spacing w:val="-13"/>
                <w:sz w:val="22"/>
              </w:rPr>
              <w:t> </w:t>
            </w:r>
            <w:r>
              <w:rPr>
                <w:spacing w:val="-4"/>
                <w:sz w:val="22"/>
              </w:rPr>
              <w:t>(EB)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6.5</w:t>
            </w:r>
          </w:p>
        </w:tc>
      </w:tr>
      <w:tr>
        <w:trPr>
          <w:trHeight w:val="335" w:hRule="atLeast"/>
        </w:trPr>
        <w:tc>
          <w:tcPr>
            <w:tcW w:w="4584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z w:val="22"/>
              </w:rPr>
              <w:t>Senior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Biostatistical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Reviewer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(SBR)</w:t>
            </w:r>
          </w:p>
        </w:tc>
        <w:tc>
          <w:tcPr>
            <w:tcW w:w="3595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6.4</w:t>
            </w:r>
          </w:p>
        </w:tc>
      </w:tr>
    </w:tbl>
    <w:p>
      <w:pPr>
        <w:pStyle w:val="BodyText"/>
        <w:spacing w:before="7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79" w:val="left" w:leader="none"/>
          <w:tab w:pos="1280" w:val="left" w:leader="none"/>
        </w:tabs>
        <w:spacing w:line="240" w:lineRule="auto" w:before="0" w:after="0"/>
        <w:ind w:left="1280" w:right="0" w:hanging="720"/>
        <w:jc w:val="left"/>
      </w:pPr>
      <w:bookmarkStart w:name="DEFINITIONS" w:id="4"/>
      <w:bookmarkEnd w:id="4"/>
      <w:r>
        <w:rPr>
          <w:spacing w:val="-2"/>
        </w:rPr>
        <w:t>DEFINITIONS</w:t>
      </w:r>
    </w:p>
    <w:p>
      <w:pPr>
        <w:pStyle w:val="BodyText"/>
        <w:rPr>
          <w:b/>
          <w:sz w:val="21"/>
        </w:rPr>
      </w:pPr>
    </w:p>
    <w:p>
      <w:pPr>
        <w:spacing w:before="0"/>
        <w:ind w:left="1280" w:right="0" w:firstLine="0"/>
        <w:jc w:val="left"/>
        <w:rPr>
          <w:b/>
          <w:sz w:val="22"/>
        </w:rPr>
      </w:pPr>
      <w:r>
        <w:rPr>
          <w:b/>
          <w:sz w:val="22"/>
        </w:rPr>
        <w:t>Experienced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Biostatistician:</w:t>
      </w:r>
    </w:p>
    <w:p>
      <w:pPr>
        <w:pStyle w:val="BodyText"/>
        <w:spacing w:before="122"/>
        <w:ind w:left="1280" w:right="589"/>
      </w:pP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absence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an</w:t>
      </w:r>
      <w:r>
        <w:rPr>
          <w:spacing w:val="-3"/>
        </w:rPr>
        <w:t> </w:t>
      </w:r>
      <w:r>
        <w:rPr/>
        <w:t>assigned</w:t>
      </w:r>
      <w:r>
        <w:rPr>
          <w:spacing w:val="-3"/>
        </w:rPr>
        <w:t> </w:t>
      </w:r>
      <w:r>
        <w:rPr/>
        <w:t>and/or</w:t>
      </w:r>
      <w:r>
        <w:rPr>
          <w:spacing w:val="-3"/>
        </w:rPr>
        <w:t> </w:t>
      </w:r>
      <w:r>
        <w:rPr/>
        <w:t>suitably</w:t>
      </w:r>
      <w:r>
        <w:rPr>
          <w:spacing w:val="-3"/>
        </w:rPr>
        <w:t> </w:t>
      </w:r>
      <w:r>
        <w:rPr/>
        <w:t>experienced</w:t>
      </w:r>
      <w:r>
        <w:rPr>
          <w:spacing w:val="-5"/>
        </w:rPr>
        <w:t> </w:t>
      </w:r>
      <w:r>
        <w:rPr/>
        <w:t>STL,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suitably</w:t>
      </w:r>
      <w:r>
        <w:rPr>
          <w:spacing w:val="-3"/>
        </w:rPr>
        <w:t> </w:t>
      </w:r>
      <w:r>
        <w:rPr/>
        <w:t>experienced Biostatistician assigned to apply specific statistical or therapeutic area knowledge to a defined scope of work (e.g. protocol writing). The EB must be capable of managing challenging discussions with the customer.</w:t>
      </w:r>
    </w:p>
    <w:p>
      <w:pPr>
        <w:pStyle w:val="BodyText"/>
        <w:spacing w:before="6"/>
        <w:rPr>
          <w:sz w:val="20"/>
        </w:rPr>
      </w:pPr>
    </w:p>
    <w:p>
      <w:pPr>
        <w:pStyle w:val="Heading1"/>
        <w:ind w:firstLine="0"/>
      </w:pPr>
      <w:r>
        <w:rPr>
          <w:spacing w:val="-2"/>
        </w:rPr>
        <w:t>ACCCA:</w:t>
      </w:r>
    </w:p>
    <w:p>
      <w:pPr>
        <w:spacing w:before="121"/>
        <w:ind w:left="1280" w:right="0" w:firstLine="0"/>
        <w:jc w:val="left"/>
        <w:rPr>
          <w:sz w:val="22"/>
        </w:rPr>
      </w:pPr>
      <w:r>
        <w:rPr>
          <w:b/>
          <w:sz w:val="22"/>
          <w:u w:val="single"/>
        </w:rPr>
        <w:t>A</w:t>
      </w:r>
      <w:r>
        <w:rPr>
          <w:b/>
          <w:sz w:val="22"/>
        </w:rPr>
        <w:t>ccuracy:</w:t>
      </w:r>
      <w:r>
        <w:rPr>
          <w:b/>
          <w:spacing w:val="-8"/>
          <w:sz w:val="22"/>
        </w:rPr>
        <w:t> </w:t>
      </w:r>
      <w:r>
        <w:rPr>
          <w:sz w:val="22"/>
        </w:rPr>
        <w:t>free</w:t>
      </w:r>
      <w:r>
        <w:rPr>
          <w:spacing w:val="-3"/>
          <w:sz w:val="22"/>
        </w:rPr>
        <w:t> </w:t>
      </w:r>
      <w:r>
        <w:rPr>
          <w:sz w:val="22"/>
        </w:rPr>
        <w:t>from</w:t>
      </w:r>
      <w:r>
        <w:rPr>
          <w:spacing w:val="-3"/>
          <w:sz w:val="22"/>
        </w:rPr>
        <w:t> </w:t>
      </w:r>
      <w:r>
        <w:rPr>
          <w:sz w:val="22"/>
        </w:rPr>
        <w:t>error</w:t>
      </w:r>
      <w:r>
        <w:rPr>
          <w:spacing w:val="-3"/>
          <w:sz w:val="22"/>
        </w:rPr>
        <w:t> </w:t>
      </w:r>
      <w:r>
        <w:rPr>
          <w:sz w:val="22"/>
        </w:rPr>
        <w:t>or</w:t>
      </w:r>
      <w:r>
        <w:rPr>
          <w:spacing w:val="-3"/>
          <w:sz w:val="22"/>
        </w:rPr>
        <w:t> </w:t>
      </w:r>
      <w:r>
        <w:rPr>
          <w:sz w:val="22"/>
        </w:rPr>
        <w:t>defect;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correct.</w:t>
      </w:r>
    </w:p>
    <w:p>
      <w:pPr>
        <w:spacing w:before="117"/>
        <w:ind w:left="1280" w:right="0" w:firstLine="0"/>
        <w:jc w:val="left"/>
        <w:rPr>
          <w:sz w:val="22"/>
        </w:rPr>
      </w:pPr>
      <w:r>
        <w:rPr>
          <w:b/>
          <w:sz w:val="22"/>
          <w:u w:val="single"/>
        </w:rPr>
        <w:t>C</w:t>
      </w:r>
      <w:r>
        <w:rPr>
          <w:b/>
          <w:sz w:val="22"/>
        </w:rPr>
        <w:t>onsistency:</w:t>
      </w:r>
      <w:r>
        <w:rPr>
          <w:b/>
          <w:spacing w:val="-8"/>
          <w:sz w:val="22"/>
        </w:rPr>
        <w:t> </w:t>
      </w:r>
      <w:r>
        <w:rPr>
          <w:sz w:val="22"/>
        </w:rPr>
        <w:t>not</w:t>
      </w:r>
      <w:r>
        <w:rPr>
          <w:spacing w:val="-12"/>
          <w:sz w:val="22"/>
        </w:rPr>
        <w:t> </w:t>
      </w:r>
      <w:r>
        <w:rPr>
          <w:sz w:val="22"/>
        </w:rPr>
        <w:t>self-contradictory;</w:t>
      </w:r>
      <w:r>
        <w:rPr>
          <w:spacing w:val="-11"/>
          <w:sz w:val="22"/>
        </w:rPr>
        <w:t> </w:t>
      </w:r>
      <w:r>
        <w:rPr>
          <w:spacing w:val="-2"/>
          <w:sz w:val="22"/>
        </w:rPr>
        <w:t>coherent.</w:t>
      </w:r>
    </w:p>
    <w:p>
      <w:pPr>
        <w:pStyle w:val="BodyText"/>
        <w:spacing w:line="242" w:lineRule="auto" w:before="121"/>
        <w:ind w:left="1280" w:right="589"/>
      </w:pPr>
      <w:r>
        <w:rPr>
          <w:b/>
          <w:u w:val="single"/>
        </w:rPr>
        <w:t>C</w:t>
      </w:r>
      <w:r>
        <w:rPr>
          <w:b/>
        </w:rPr>
        <w:t>larity: </w:t>
      </w:r>
      <w:r>
        <w:rPr/>
        <w:t>easily understood without ambiguity, excess verbiage or redundancy; comprehensible;</w:t>
      </w:r>
      <w:r>
        <w:rPr>
          <w:spacing w:val="-4"/>
        </w:rPr>
        <w:t> </w:t>
      </w:r>
      <w:r>
        <w:rPr/>
        <w:t>free</w:t>
      </w:r>
      <w:r>
        <w:rPr>
          <w:spacing w:val="-4"/>
        </w:rPr>
        <w:t> </w:t>
      </w:r>
      <w:r>
        <w:rPr/>
        <w:t>from</w:t>
      </w:r>
      <w:r>
        <w:rPr>
          <w:spacing w:val="-4"/>
        </w:rPr>
        <w:t> </w:t>
      </w:r>
      <w:r>
        <w:rPr/>
        <w:t>confusion,</w:t>
      </w:r>
      <w:r>
        <w:rPr>
          <w:spacing w:val="-4"/>
        </w:rPr>
        <w:t> </w:t>
      </w:r>
      <w:r>
        <w:rPr/>
        <w:t>uncertainty</w:t>
      </w:r>
      <w:r>
        <w:rPr>
          <w:spacing w:val="-4"/>
        </w:rPr>
        <w:t> </w:t>
      </w:r>
      <w:r>
        <w:rPr/>
        <w:t>or</w:t>
      </w:r>
      <w:r>
        <w:rPr>
          <w:spacing w:val="-4"/>
        </w:rPr>
        <w:t> </w:t>
      </w:r>
      <w:r>
        <w:rPr/>
        <w:t>doubt;</w:t>
      </w:r>
      <w:r>
        <w:rPr>
          <w:spacing w:val="-4"/>
        </w:rPr>
        <w:t> </w:t>
      </w:r>
      <w:r>
        <w:rPr/>
        <w:t>effective</w:t>
      </w:r>
      <w:r>
        <w:rPr>
          <w:spacing w:val="-4"/>
        </w:rPr>
        <w:t> </w:t>
      </w:r>
      <w:r>
        <w:rPr/>
        <w:t>layout</w:t>
      </w:r>
      <w:r>
        <w:rPr>
          <w:spacing w:val="-4"/>
        </w:rPr>
        <w:t> </w:t>
      </w:r>
      <w:r>
        <w:rPr/>
        <w:t>allows</w:t>
      </w:r>
      <w:r>
        <w:rPr>
          <w:spacing w:val="-4"/>
        </w:rPr>
        <w:t> </w:t>
      </w:r>
      <w:r>
        <w:rPr/>
        <w:t>for easy understanding (e.g. bullets, indentation).</w:t>
      </w:r>
    </w:p>
    <w:p>
      <w:pPr>
        <w:pStyle w:val="BodyText"/>
        <w:spacing w:before="112"/>
        <w:ind w:left="1280"/>
      </w:pPr>
      <w:r>
        <w:rPr>
          <w:b/>
          <w:u w:val="single"/>
        </w:rPr>
        <w:t>C</w:t>
      </w:r>
      <w:r>
        <w:rPr>
          <w:b/>
        </w:rPr>
        <w:t>ompleteness:</w:t>
      </w:r>
      <w:r>
        <w:rPr>
          <w:b/>
          <w:spacing w:val="-7"/>
        </w:rPr>
        <w:t> </w:t>
      </w:r>
      <w:r>
        <w:rPr/>
        <w:t>all</w:t>
      </w:r>
      <w:r>
        <w:rPr>
          <w:spacing w:val="-9"/>
        </w:rPr>
        <w:t> </w:t>
      </w:r>
      <w:r>
        <w:rPr/>
        <w:t>parts/elements</w:t>
      </w:r>
      <w:r>
        <w:rPr>
          <w:spacing w:val="-9"/>
        </w:rPr>
        <w:t> </w:t>
      </w:r>
      <w:r>
        <w:rPr/>
        <w:t>addressed;</w:t>
      </w:r>
      <w:r>
        <w:rPr>
          <w:spacing w:val="-7"/>
        </w:rPr>
        <w:t> </w:t>
      </w:r>
      <w:r>
        <w:rPr/>
        <w:t>lacking</w:t>
      </w:r>
      <w:r>
        <w:rPr>
          <w:spacing w:val="-9"/>
        </w:rPr>
        <w:t> </w:t>
      </w:r>
      <w:r>
        <w:rPr/>
        <w:t>nothing;</w:t>
      </w:r>
      <w:r>
        <w:rPr>
          <w:spacing w:val="-8"/>
        </w:rPr>
        <w:t> </w:t>
      </w:r>
      <w:r>
        <w:rPr/>
        <w:t>fully</w:t>
      </w:r>
      <w:r>
        <w:rPr>
          <w:spacing w:val="-9"/>
        </w:rPr>
        <w:t> </w:t>
      </w:r>
      <w:r>
        <w:rPr>
          <w:spacing w:val="-2"/>
        </w:rPr>
        <w:t>detailed.</w:t>
      </w:r>
    </w:p>
    <w:p>
      <w:pPr>
        <w:spacing w:before="122"/>
        <w:ind w:left="1280" w:right="0" w:firstLine="0"/>
        <w:jc w:val="left"/>
        <w:rPr>
          <w:sz w:val="22"/>
        </w:rPr>
      </w:pPr>
      <w:r>
        <w:rPr>
          <w:b/>
          <w:sz w:val="22"/>
          <w:u w:val="single"/>
        </w:rPr>
        <w:t>A</w:t>
      </w:r>
      <w:r>
        <w:rPr>
          <w:b/>
          <w:sz w:val="22"/>
        </w:rPr>
        <w:t>ppropriateness:</w:t>
      </w:r>
      <w:r>
        <w:rPr>
          <w:b/>
          <w:spacing w:val="-5"/>
          <w:sz w:val="22"/>
        </w:rPr>
        <w:t> </w:t>
      </w:r>
      <w:r>
        <w:rPr>
          <w:sz w:val="22"/>
        </w:rPr>
        <w:t>suitable</w:t>
      </w:r>
      <w:r>
        <w:rPr>
          <w:spacing w:val="-6"/>
          <w:sz w:val="22"/>
        </w:rPr>
        <w:t> </w:t>
      </w:r>
      <w:r>
        <w:rPr>
          <w:sz w:val="22"/>
        </w:rPr>
        <w:t>of</w:t>
      </w:r>
      <w:r>
        <w:rPr>
          <w:spacing w:val="-6"/>
          <w:sz w:val="22"/>
        </w:rPr>
        <w:t> </w:t>
      </w:r>
      <w:r>
        <w:rPr>
          <w:sz w:val="22"/>
        </w:rPr>
        <w:t>fitting</w:t>
      </w:r>
      <w:r>
        <w:rPr>
          <w:spacing w:val="-6"/>
          <w:sz w:val="22"/>
        </w:rPr>
        <w:t> </w:t>
      </w:r>
      <w:r>
        <w:rPr>
          <w:sz w:val="22"/>
        </w:rPr>
        <w:t>for</w:t>
      </w:r>
      <w:r>
        <w:rPr>
          <w:spacing w:val="-6"/>
          <w:sz w:val="22"/>
        </w:rPr>
        <w:t> </w:t>
      </w:r>
      <w:r>
        <w:rPr>
          <w:sz w:val="22"/>
        </w:rPr>
        <w:t>a</w:t>
      </w:r>
      <w:r>
        <w:rPr>
          <w:spacing w:val="-6"/>
          <w:sz w:val="22"/>
        </w:rPr>
        <w:t> </w:t>
      </w:r>
      <w:r>
        <w:rPr>
          <w:sz w:val="22"/>
        </w:rPr>
        <w:t>particular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purpose.</w:t>
      </w:r>
    </w:p>
    <w:p>
      <w:pPr>
        <w:spacing w:after="0"/>
        <w:jc w:val="left"/>
        <w:rPr>
          <w:sz w:val="22"/>
        </w:rPr>
        <w:sectPr>
          <w:footerReference w:type="default" r:id="rId5"/>
          <w:headerReference w:type="default" r:id="rId25"/>
          <w:headerReference w:type="first" r:id="rId26"/>
          <w:headerReference w:type="even" r:id="rId27"/>
          <w:footerReference w:type="first" r:id="rId28"/>
          <w:footerReference w:type="even" r:id="rId29"/>
          <w:type w:val="continuous"/>
          <w:pgSz w:w="12240" w:h="15840"/>
          <w:pgMar w:footer="1144" w:header="0" w:top="700" w:bottom="1340" w:left="880" w:right="880"/>
          <w:pgNumType w:start="1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Heading1"/>
        <w:numPr>
          <w:ilvl w:val="0"/>
          <w:numId w:val="1"/>
        </w:numPr>
        <w:tabs>
          <w:tab w:pos="1279" w:val="left" w:leader="none"/>
          <w:tab w:pos="1280" w:val="left" w:leader="none"/>
        </w:tabs>
        <w:spacing w:line="240" w:lineRule="auto" w:before="94" w:after="0"/>
        <w:ind w:left="1280" w:right="0" w:hanging="720"/>
        <w:jc w:val="left"/>
      </w:pPr>
      <w:bookmarkStart w:name="MATERIAL AND EQUIPMENT" w:id="5"/>
      <w:bookmarkEnd w:id="5"/>
      <w:r>
        <w:rPr/>
        <w:t>MA</w:t>
      </w:r>
      <w:r>
        <w:rPr/>
        <w:t>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6"/>
        <w:ind w:left="1280"/>
      </w:pPr>
      <w:bookmarkStart w:name="PROCEDURE" w:id="6"/>
      <w:bookmarkEnd w:id="6"/>
      <w:r>
        <w:rPr/>
      </w: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Applicable.</w:t>
      </w:r>
    </w:p>
    <w:p>
      <w:pPr>
        <w:pStyle w:val="BodyText"/>
        <w:spacing w:before="7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79" w:val="left" w:leader="none"/>
          <w:tab w:pos="1280" w:val="left" w:leader="none"/>
        </w:tabs>
        <w:spacing w:line="240" w:lineRule="auto" w:before="0" w:after="0"/>
        <w:ind w:left="1280" w:right="0" w:hanging="720"/>
        <w:jc w:val="left"/>
      </w:pPr>
      <w:r>
        <w:rPr>
          <w:spacing w:val="-2"/>
        </w:rPr>
        <w:t>PROCEDURE</w:t>
      </w:r>
    </w:p>
    <w:p>
      <w:pPr>
        <w:pStyle w:val="BodyText"/>
        <w:spacing w:before="11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823" w:val="left" w:leader="none"/>
        </w:tabs>
        <w:spacing w:line="240" w:lineRule="auto" w:before="0" w:after="0"/>
        <w:ind w:left="1822" w:right="0" w:hanging="452"/>
        <w:jc w:val="left"/>
        <w:rPr>
          <w:b/>
          <w:sz w:val="22"/>
        </w:rPr>
      </w:pPr>
      <w:r>
        <w:rPr>
          <w:b/>
          <w:sz w:val="22"/>
        </w:rPr>
        <w:t>Protocol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Considerations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46"/>
        <w:gridCol w:w="1157"/>
        <w:gridCol w:w="6269"/>
        <w:gridCol w:w="1843"/>
      </w:tblGrid>
      <w:tr>
        <w:trPr>
          <w:trHeight w:val="306" w:hRule="atLeast"/>
        </w:trPr>
        <w:tc>
          <w:tcPr>
            <w:tcW w:w="946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57" w:type="dxa"/>
            <w:shd w:val="clear" w:color="auto" w:fill="D9D9D9"/>
          </w:tcPr>
          <w:p>
            <w:pPr>
              <w:pStyle w:val="TableParagraph"/>
              <w:spacing w:before="38"/>
              <w:ind w:left="114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9" w:type="dxa"/>
            <w:shd w:val="clear" w:color="auto" w:fill="D9D9D9"/>
          </w:tcPr>
          <w:p>
            <w:pPr>
              <w:pStyle w:val="TableParagraph"/>
              <w:spacing w:before="38"/>
              <w:ind w:left="11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1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161" w:hRule="atLeast"/>
        </w:trPr>
        <w:tc>
          <w:tcPr>
            <w:tcW w:w="946" w:type="dxa"/>
          </w:tcPr>
          <w:p>
            <w:pPr>
              <w:pStyle w:val="TableParagraph"/>
              <w:spacing w:before="42"/>
              <w:ind w:left="24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57" w:type="dxa"/>
          </w:tcPr>
          <w:p>
            <w:pPr>
              <w:pStyle w:val="TableParagraph"/>
              <w:spacing w:line="244" w:lineRule="auto" w:before="38"/>
              <w:ind w:left="114"/>
              <w:rPr>
                <w:sz w:val="20"/>
              </w:rPr>
            </w:pPr>
            <w:r>
              <w:rPr>
                <w:spacing w:val="-2"/>
                <w:sz w:val="20"/>
              </w:rPr>
              <w:t>STL/EB/ </w:t>
            </w:r>
            <w:r>
              <w:rPr>
                <w:spacing w:val="-4"/>
                <w:sz w:val="20"/>
              </w:rPr>
              <w:t>SBR</w:t>
            </w:r>
          </w:p>
        </w:tc>
        <w:tc>
          <w:tcPr>
            <w:tcW w:w="6269" w:type="dxa"/>
          </w:tcPr>
          <w:p>
            <w:pPr>
              <w:pStyle w:val="TableParagraph"/>
              <w:spacing w:line="244" w:lineRule="auto" w:before="38"/>
              <w:ind w:left="114" w:right="206"/>
              <w:rPr>
                <w:sz w:val="20"/>
              </w:rPr>
            </w:pPr>
            <w:r>
              <w:rPr>
                <w:sz w:val="20"/>
              </w:rPr>
              <w:t>Contributes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amendments)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taking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following into consideration: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474" w:val="left" w:leader="none"/>
                <w:tab w:pos="475" w:val="left" w:leader="none"/>
              </w:tabs>
              <w:spacing w:line="232" w:lineRule="auto" w:before="41" w:after="0"/>
              <w:ind w:left="474" w:right="621" w:hanging="360"/>
              <w:jc w:val="left"/>
              <w:rPr>
                <w:sz w:val="20"/>
              </w:rPr>
            </w:pPr>
            <w:r>
              <w:rPr>
                <w:sz w:val="20"/>
              </w:rPr>
              <w:t>Relevant regulatory guidelines (e.g. Food and Drug Administration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[FDA],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European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Medicines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Agency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[EMA])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474" w:val="left" w:leader="none"/>
                <w:tab w:pos="475" w:val="left" w:leader="none"/>
              </w:tabs>
              <w:spacing w:line="240" w:lineRule="auto" w:before="4" w:after="0"/>
              <w:ind w:left="474" w:right="421" w:hanging="360"/>
              <w:jc w:val="left"/>
              <w:rPr>
                <w:sz w:val="20"/>
              </w:rPr>
            </w:pPr>
            <w:r>
              <w:rPr>
                <w:sz w:val="20"/>
              </w:rPr>
              <w:t>International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Council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Harmonisation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(ICH)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guidelines: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E3, E6, E9 and others as appropriate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474" w:val="left" w:leader="none"/>
                <w:tab w:pos="475" w:val="left" w:leader="none"/>
              </w:tabs>
              <w:spacing w:line="240" w:lineRule="auto" w:before="0" w:after="0"/>
              <w:ind w:left="474" w:right="769" w:hanging="360"/>
              <w:jc w:val="left"/>
              <w:rPr>
                <w:sz w:val="20"/>
              </w:rPr>
            </w:pPr>
            <w:r>
              <w:rPr>
                <w:sz w:val="20"/>
              </w:rPr>
              <w:t>Guidelines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relating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study’s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therapeutic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area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and/or </w:t>
            </w:r>
            <w:r>
              <w:rPr>
                <w:spacing w:val="-2"/>
                <w:sz w:val="20"/>
              </w:rPr>
              <w:t>indication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474" w:val="left" w:leader="none"/>
                <w:tab w:pos="475" w:val="left" w:leader="none"/>
              </w:tabs>
              <w:spacing w:line="240" w:lineRule="exact" w:before="0" w:after="0"/>
              <w:ind w:left="47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Relevant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literature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474" w:val="left" w:leader="none"/>
                <w:tab w:pos="475" w:val="left" w:leader="none"/>
              </w:tabs>
              <w:spacing w:line="245" w:lineRule="exact" w:before="0" w:after="0"/>
              <w:ind w:left="47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development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474" w:val="left" w:leader="none"/>
                <w:tab w:pos="475" w:val="left" w:leader="none"/>
              </w:tabs>
              <w:spacing w:line="245" w:lineRule="exact" w:before="0" w:after="0"/>
              <w:ind w:left="47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Similar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studies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programs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474" w:val="left" w:leader="none"/>
                <w:tab w:pos="475" w:val="left" w:leader="none"/>
              </w:tabs>
              <w:spacing w:line="242" w:lineRule="exact" w:before="0" w:after="0"/>
              <w:ind w:left="47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Summary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basis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similar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compounds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474" w:val="left" w:leader="none"/>
                <w:tab w:pos="475" w:val="left" w:leader="none"/>
              </w:tabs>
              <w:spacing w:line="240" w:lineRule="auto" w:before="0" w:after="0"/>
              <w:ind w:left="474" w:right="219" w:hanging="360"/>
              <w:jc w:val="left"/>
              <w:rPr>
                <w:sz w:val="20"/>
              </w:rPr>
            </w:pPr>
            <w:r>
              <w:rPr>
                <w:sz w:val="22"/>
              </w:rPr>
              <w:t>Approaches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QC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0"/>
              </w:rPr>
              <w:t>(QC)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(CS_WI_BS015)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Approaches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to QC: Appendix A – QC of the Protocol (CS_OD_BS0225)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474" w:val="left" w:leader="none"/>
                <w:tab w:pos="475" w:val="left" w:leader="none"/>
              </w:tabs>
              <w:spacing w:line="240" w:lineRule="auto" w:before="0" w:after="0"/>
              <w:ind w:left="474" w:right="1056" w:hanging="360"/>
              <w:jc w:val="left"/>
              <w:rPr>
                <w:sz w:val="20"/>
              </w:rPr>
            </w:pPr>
            <w:r>
              <w:rPr>
                <w:sz w:val="20"/>
              </w:rPr>
              <w:t>Preparation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CP-generated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Documents (PI_WI_PK0210) for studies including Early Clinical Development biostatistics support</w:t>
            </w:r>
          </w:p>
        </w:tc>
        <w:tc>
          <w:tcPr>
            <w:tcW w:w="1843" w:type="dxa"/>
          </w:tcPr>
          <w:p>
            <w:pPr>
              <w:pStyle w:val="TableParagraph"/>
              <w:spacing w:line="242" w:lineRule="auto" w:before="38"/>
              <w:ind w:left="114" w:right="356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protocol authoring and </w:t>
            </w:r>
            <w:r>
              <w:rPr>
                <w:spacing w:val="-2"/>
                <w:sz w:val="20"/>
              </w:rPr>
              <w:t>review</w:t>
            </w:r>
          </w:p>
        </w:tc>
      </w:tr>
    </w:tbl>
    <w:p>
      <w:pPr>
        <w:pStyle w:val="BodyText"/>
        <w:spacing w:before="5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823" w:val="left" w:leader="none"/>
        </w:tabs>
        <w:spacing w:line="240" w:lineRule="auto" w:before="1" w:after="0"/>
        <w:ind w:left="1822" w:right="0" w:hanging="452"/>
        <w:jc w:val="left"/>
        <w:rPr>
          <w:b/>
          <w:sz w:val="22"/>
        </w:rPr>
      </w:pPr>
      <w:r>
        <w:rPr>
          <w:b/>
          <w:sz w:val="22"/>
        </w:rPr>
        <w:t>Statistical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Contributions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Protocol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65"/>
        <w:gridCol w:w="1157"/>
        <w:gridCol w:w="6269"/>
        <w:gridCol w:w="1843"/>
      </w:tblGrid>
      <w:tr>
        <w:trPr>
          <w:trHeight w:val="311" w:hRule="atLeast"/>
        </w:trPr>
        <w:tc>
          <w:tcPr>
            <w:tcW w:w="965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57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9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756" w:hRule="atLeast"/>
        </w:trPr>
        <w:tc>
          <w:tcPr>
            <w:tcW w:w="965" w:type="dxa"/>
          </w:tcPr>
          <w:p>
            <w:pPr>
              <w:pStyle w:val="TableParagraph"/>
              <w:spacing w:before="42"/>
              <w:ind w:left="0" w:right="246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57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STL/EB</w:t>
            </w:r>
          </w:p>
        </w:tc>
        <w:tc>
          <w:tcPr>
            <w:tcW w:w="6269" w:type="dxa"/>
          </w:tcPr>
          <w:p>
            <w:pPr>
              <w:pStyle w:val="TableParagraph"/>
              <w:spacing w:before="38"/>
              <w:ind w:right="206"/>
              <w:rPr>
                <w:sz w:val="20"/>
              </w:rPr>
            </w:pPr>
            <w:r>
              <w:rPr>
                <w:sz w:val="20"/>
              </w:rPr>
              <w:t>Contributes to the preparation of sections of the protocol (or amendments) in compliance with Producing a Clinical Study Protocol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(CS_WI_MW006)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Producing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Protocol Amendment (CS_WI_MW0236) which relate to: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469" w:val="left" w:leader="none"/>
                <w:tab w:pos="470" w:val="left" w:leader="none"/>
              </w:tabs>
              <w:spacing w:line="243" w:lineRule="exact" w:before="41" w:after="0"/>
              <w:ind w:left="46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Study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design,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including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sample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size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406" w:hanging="360"/>
              <w:jc w:val="left"/>
              <w:rPr>
                <w:sz w:val="20"/>
              </w:rPr>
            </w:pPr>
            <w:r>
              <w:rPr>
                <w:sz w:val="20"/>
              </w:rPr>
              <w:t>Collection,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management,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analysis,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reporting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4"/>
                <w:sz w:val="20"/>
              </w:rPr>
              <w:t>data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366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protocol </w:t>
            </w:r>
            <w:r>
              <w:rPr>
                <w:spacing w:val="-2"/>
                <w:sz w:val="20"/>
              </w:rPr>
              <w:t>authoring</w:t>
            </w:r>
          </w:p>
        </w:tc>
      </w:tr>
      <w:tr>
        <w:trPr>
          <w:trHeight w:val="2241" w:hRule="atLeast"/>
        </w:trPr>
        <w:tc>
          <w:tcPr>
            <w:tcW w:w="965" w:type="dxa"/>
          </w:tcPr>
          <w:p>
            <w:pPr>
              <w:pStyle w:val="TableParagraph"/>
              <w:spacing w:before="42"/>
              <w:ind w:left="0" w:right="246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57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STL/EB</w:t>
            </w:r>
          </w:p>
        </w:tc>
        <w:tc>
          <w:tcPr>
            <w:tcW w:w="6269" w:type="dxa"/>
          </w:tcPr>
          <w:p>
            <w:pPr>
              <w:pStyle w:val="TableParagraph"/>
              <w:spacing w:before="38"/>
              <w:ind w:right="23"/>
              <w:rPr>
                <w:sz w:val="20"/>
              </w:rPr>
            </w:pPr>
            <w:r>
              <w:rPr>
                <w:sz w:val="20"/>
              </w:rPr>
              <w:t>Authors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sections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provides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Lead Medical Writer (MW) to author the relevant sections. If writing sections of the protocol, the STL/EB must: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469" w:val="left" w:leader="none"/>
                <w:tab w:pos="470" w:val="left" w:leader="none"/>
              </w:tabs>
              <w:spacing w:line="245" w:lineRule="exact" w:before="40" w:after="0"/>
              <w:ind w:left="46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Author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text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manner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complies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ACCCA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definition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469" w:val="left" w:leader="none"/>
                <w:tab w:pos="470" w:val="left" w:leader="none"/>
              </w:tabs>
              <w:spacing w:line="232" w:lineRule="auto" w:before="6" w:after="0"/>
              <w:ind w:left="469" w:right="344" w:hanging="360"/>
              <w:jc w:val="left"/>
              <w:rPr>
                <w:sz w:val="20"/>
              </w:rPr>
            </w:pPr>
            <w:r>
              <w:rPr>
                <w:sz w:val="20"/>
              </w:rPr>
              <w:t>Follow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style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Lead </w:t>
            </w:r>
            <w:r>
              <w:rPr>
                <w:spacing w:val="-6"/>
                <w:sz w:val="20"/>
              </w:rPr>
              <w:t>MW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469" w:val="left" w:leader="none"/>
                <w:tab w:pos="470" w:val="left" w:leader="none"/>
              </w:tabs>
              <w:spacing w:line="245" w:lineRule="exact" w:before="4" w:after="0"/>
              <w:ind w:left="46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Follow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template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MW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307" w:hanging="360"/>
              <w:jc w:val="left"/>
              <w:rPr>
                <w:sz w:val="20"/>
              </w:rPr>
            </w:pPr>
            <w:r>
              <w:rPr>
                <w:sz w:val="20"/>
              </w:rPr>
              <w:t>Format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newly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written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sections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predefined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MS Word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styles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template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MW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366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protocol </w:t>
            </w:r>
            <w:r>
              <w:rPr>
                <w:spacing w:val="-2"/>
                <w:sz w:val="20"/>
              </w:rPr>
              <w:t>authoring</w:t>
            </w:r>
          </w:p>
        </w:tc>
      </w:tr>
    </w:tbl>
    <w:p>
      <w:pPr>
        <w:spacing w:after="0"/>
        <w:rPr>
          <w:sz w:val="20"/>
        </w:rPr>
        <w:sectPr>
          <w:headerReference w:type="default" r:id="rId7"/>
          <w:footerReference w:type="default" r:id="rId8"/>
          <w:pgSz w:w="12240" w:h="15840"/>
          <w:pgMar w:header="725" w:footer="1064" w:top="2520" w:bottom="1260" w:left="880" w:right="88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65"/>
        <w:gridCol w:w="1157"/>
        <w:gridCol w:w="6269"/>
        <w:gridCol w:w="1843"/>
      </w:tblGrid>
      <w:tr>
        <w:trPr>
          <w:trHeight w:val="306" w:hRule="atLeast"/>
        </w:trPr>
        <w:tc>
          <w:tcPr>
            <w:tcW w:w="965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57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9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462" w:hRule="atLeast"/>
        </w:trPr>
        <w:tc>
          <w:tcPr>
            <w:tcW w:w="965" w:type="dxa"/>
          </w:tcPr>
          <w:p>
            <w:pPr>
              <w:pStyle w:val="TableParagraph"/>
              <w:spacing w:before="47"/>
              <w:ind w:left="0" w:right="246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157" w:type="dxa"/>
          </w:tcPr>
          <w:p>
            <w:pPr>
              <w:pStyle w:val="TableParagraph"/>
              <w:spacing w:before="47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STL/EB</w:t>
            </w:r>
          </w:p>
        </w:tc>
        <w:tc>
          <w:tcPr>
            <w:tcW w:w="6269" w:type="dxa"/>
          </w:tcPr>
          <w:p>
            <w:pPr>
              <w:pStyle w:val="TableParagraph"/>
              <w:spacing w:before="42"/>
              <w:ind w:right="206"/>
              <w:rPr>
                <w:sz w:val="20"/>
              </w:rPr>
            </w:pPr>
            <w:r>
              <w:rPr>
                <w:sz w:val="20"/>
              </w:rPr>
              <w:t>If included in scope of work, calculates the sample size based on the assumptions provided by the customer or medical team or historical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more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prior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studies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completed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at IQVIA or as available in literature.</w:t>
            </w:r>
          </w:p>
          <w:p>
            <w:pPr>
              <w:pStyle w:val="TableParagraph"/>
              <w:spacing w:before="40"/>
              <w:rPr>
                <w:sz w:val="20"/>
              </w:rPr>
            </w:pPr>
            <w:r>
              <w:rPr>
                <w:sz w:val="20"/>
              </w:rPr>
              <w:t>Otherwise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verifies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sample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sizes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parameters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methods described in the sample size section.</w:t>
            </w:r>
          </w:p>
          <w:p>
            <w:pPr>
              <w:pStyle w:val="TableParagraph"/>
              <w:spacing w:before="40"/>
              <w:rPr>
                <w:sz w:val="20"/>
              </w:rPr>
            </w:pPr>
            <w:r>
              <w:rPr>
                <w:sz w:val="20"/>
              </w:rPr>
              <w:t>Archives programs and outputs for sample size calculations in compliance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Master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(TMF)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(CS_OP_TMF0007)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 Management and Filing of Biostatistics Documentation </w:t>
            </w:r>
            <w:r>
              <w:rPr>
                <w:spacing w:val="-2"/>
                <w:sz w:val="20"/>
              </w:rPr>
              <w:t>(CS_WI_BS0237).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 w:right="366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protocol </w:t>
            </w:r>
            <w:r>
              <w:rPr>
                <w:spacing w:val="-2"/>
                <w:sz w:val="20"/>
              </w:rPr>
              <w:t>authoring</w:t>
            </w:r>
          </w:p>
        </w:tc>
      </w:tr>
      <w:tr>
        <w:trPr>
          <w:trHeight w:val="541" w:hRule="atLeast"/>
        </w:trPr>
        <w:tc>
          <w:tcPr>
            <w:tcW w:w="965" w:type="dxa"/>
          </w:tcPr>
          <w:p>
            <w:pPr>
              <w:pStyle w:val="TableParagraph"/>
              <w:spacing w:before="42"/>
              <w:ind w:left="0" w:right="246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157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STL/EB</w:t>
            </w:r>
          </w:p>
        </w:tc>
        <w:tc>
          <w:tcPr>
            <w:tcW w:w="6269" w:type="dxa"/>
          </w:tcPr>
          <w:p>
            <w:pPr>
              <w:pStyle w:val="TableParagraph"/>
              <w:spacing w:before="38"/>
              <w:ind w:right="206"/>
              <w:rPr>
                <w:sz w:val="20"/>
              </w:rPr>
            </w:pPr>
            <w:r>
              <w:rPr>
                <w:sz w:val="20"/>
              </w:rPr>
              <w:t>Arranges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senior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biostatistical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consolidation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 the written protocol sections.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366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protocol </w:t>
            </w:r>
            <w:r>
              <w:rPr>
                <w:spacing w:val="-2"/>
                <w:sz w:val="20"/>
              </w:rPr>
              <w:t>review</w:t>
            </w:r>
          </w:p>
        </w:tc>
      </w:tr>
    </w:tbl>
    <w:p>
      <w:pPr>
        <w:pStyle w:val="BodyText"/>
        <w:spacing w:before="5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823" w:val="left" w:leader="none"/>
        </w:tabs>
        <w:spacing w:line="240" w:lineRule="auto" w:before="93" w:after="0"/>
        <w:ind w:left="1822" w:right="0" w:hanging="452"/>
        <w:jc w:val="left"/>
        <w:rPr>
          <w:b/>
          <w:sz w:val="22"/>
        </w:rPr>
      </w:pPr>
      <w:r>
        <w:rPr>
          <w:b/>
          <w:sz w:val="22"/>
        </w:rPr>
        <w:t>Statistical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Protocol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Review</w:t>
      </w:r>
    </w:p>
    <w:p>
      <w:pPr>
        <w:pStyle w:val="BodyText"/>
        <w:spacing w:before="7"/>
        <w:rPr>
          <w:b/>
          <w:sz w:val="10"/>
        </w:rPr>
      </w:pPr>
    </w:p>
    <w:tbl>
      <w:tblPr>
        <w:tblW w:w="0" w:type="auto"/>
        <w:jc w:val="left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94"/>
        <w:gridCol w:w="1133"/>
        <w:gridCol w:w="6240"/>
        <w:gridCol w:w="1843"/>
      </w:tblGrid>
      <w:tr>
        <w:trPr>
          <w:trHeight w:val="311" w:hRule="atLeast"/>
        </w:trPr>
        <w:tc>
          <w:tcPr>
            <w:tcW w:w="994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33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40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458" w:hRule="atLeast"/>
        </w:trPr>
        <w:tc>
          <w:tcPr>
            <w:tcW w:w="994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33" w:type="dxa"/>
          </w:tcPr>
          <w:p>
            <w:pPr>
              <w:pStyle w:val="TableParagraph"/>
              <w:spacing w:line="280" w:lineRule="auto" w:before="42"/>
              <w:rPr>
                <w:sz w:val="20"/>
              </w:rPr>
            </w:pPr>
            <w:r>
              <w:rPr>
                <w:spacing w:val="-2"/>
                <w:sz w:val="20"/>
              </w:rPr>
              <w:t>STL/EB/ </w:t>
            </w:r>
            <w:r>
              <w:rPr>
                <w:spacing w:val="-4"/>
                <w:sz w:val="20"/>
              </w:rPr>
              <w:t>SBR</w:t>
            </w:r>
          </w:p>
        </w:tc>
        <w:tc>
          <w:tcPr>
            <w:tcW w:w="6240" w:type="dxa"/>
          </w:tcPr>
          <w:p>
            <w:pPr>
              <w:pStyle w:val="TableParagraph"/>
              <w:spacing w:before="38"/>
              <w:ind w:right="169"/>
              <w:rPr>
                <w:sz w:val="20"/>
              </w:rPr>
            </w:pPr>
            <w:r>
              <w:rPr>
                <w:sz w:val="20"/>
              </w:rPr>
              <w:t>Comments freely on all aspects of the protocol, in compliance with Producing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(CS_WI_MW006)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Producing a Clinical Study Protocol Amendment (CS_WI_MW0236), as applicable. Consider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checks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included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Approaches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QC: Appendix A – QC of the Protocol l (CS_OD_BS0225) when performing the review.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internal review cycle</w:t>
            </w:r>
          </w:p>
        </w:tc>
      </w:tr>
      <w:tr>
        <w:trPr>
          <w:trHeight w:val="772" w:hRule="atLeast"/>
        </w:trPr>
        <w:tc>
          <w:tcPr>
            <w:tcW w:w="994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133" w:type="dxa"/>
            <w:vMerge w:val="restart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STL/EB</w:t>
            </w:r>
          </w:p>
        </w:tc>
        <w:tc>
          <w:tcPr>
            <w:tcW w:w="6240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z w:val="20"/>
              </w:rPr>
              <w:t>Documents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Feedback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(CS_FM_BS007).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41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protocol has been </w:t>
            </w:r>
            <w:r>
              <w:rPr>
                <w:spacing w:val="-2"/>
                <w:sz w:val="20"/>
              </w:rPr>
              <w:t>reviewed</w:t>
            </w:r>
          </w:p>
        </w:tc>
      </w:tr>
      <w:tr>
        <w:trPr>
          <w:trHeight w:val="767" w:hRule="atLeast"/>
        </w:trPr>
        <w:tc>
          <w:tcPr>
            <w:tcW w:w="994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113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40" w:type="dxa"/>
          </w:tcPr>
          <w:p>
            <w:pPr>
              <w:pStyle w:val="TableParagraph"/>
              <w:spacing w:before="38"/>
              <w:ind w:right="214"/>
              <w:jc w:val="both"/>
              <w:rPr>
                <w:sz w:val="20"/>
              </w:rPr>
            </w:pPr>
            <w:r>
              <w:rPr>
                <w:sz w:val="20"/>
              </w:rPr>
              <w:t>Signs the Internal Signature Page for Medical Writing Deliverables (CS_FM_MW007)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corresponding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form,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evidence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 the completed protocol review.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255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requested by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MW</w:t>
            </w:r>
          </w:p>
        </w:tc>
      </w:tr>
      <w:tr>
        <w:trPr>
          <w:trHeight w:val="311" w:hRule="atLeast"/>
        </w:trPr>
        <w:tc>
          <w:tcPr>
            <w:tcW w:w="994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6.3.4</w:t>
            </w:r>
          </w:p>
        </w:tc>
        <w:tc>
          <w:tcPr>
            <w:tcW w:w="113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40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z w:val="20"/>
              </w:rPr>
              <w:t>Attends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meetings.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requested</w:t>
            </w:r>
          </w:p>
        </w:tc>
      </w:tr>
      <w:tr>
        <w:trPr>
          <w:trHeight w:val="537" w:hRule="atLeast"/>
        </w:trPr>
        <w:tc>
          <w:tcPr>
            <w:tcW w:w="994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6.3.5</w:t>
            </w:r>
          </w:p>
        </w:tc>
        <w:tc>
          <w:tcPr>
            <w:tcW w:w="1133" w:type="dxa"/>
            <w:vMerge w:val="restart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SBR</w:t>
            </w:r>
          </w:p>
        </w:tc>
        <w:tc>
          <w:tcPr>
            <w:tcW w:w="6240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any sections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written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STL/EB,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 specified in Approaches to QC (CS_WI_BS015).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internal review cycle</w:t>
            </w:r>
          </w:p>
        </w:tc>
      </w:tr>
      <w:tr>
        <w:trPr>
          <w:trHeight w:val="541" w:hRule="atLeast"/>
        </w:trPr>
        <w:tc>
          <w:tcPr>
            <w:tcW w:w="994" w:type="dxa"/>
          </w:tcPr>
          <w:p>
            <w:pPr>
              <w:pStyle w:val="TableParagraph"/>
              <w:spacing w:before="4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6.3.6</w:t>
            </w:r>
          </w:p>
        </w:tc>
        <w:tc>
          <w:tcPr>
            <w:tcW w:w="113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40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z w:val="20"/>
              </w:rPr>
              <w:t>Performs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sample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size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determinations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compliance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 Approaches to QC (CS_WI_BS015), when performed by IQVIA.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42" w:hRule="atLeast"/>
        </w:trPr>
        <w:tc>
          <w:tcPr>
            <w:tcW w:w="994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6.3.7</w:t>
            </w:r>
          </w:p>
        </w:tc>
        <w:tc>
          <w:tcPr>
            <w:tcW w:w="113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40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Documents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(including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sample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size)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Feedback Form (CS_FM_BS007).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67" w:hRule="atLeast"/>
        </w:trPr>
        <w:tc>
          <w:tcPr>
            <w:tcW w:w="994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6.3.8</w:t>
            </w:r>
          </w:p>
        </w:tc>
        <w:tc>
          <w:tcPr>
            <w:tcW w:w="1133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STL/EB</w:t>
            </w:r>
          </w:p>
        </w:tc>
        <w:tc>
          <w:tcPr>
            <w:tcW w:w="6240" w:type="dxa"/>
          </w:tcPr>
          <w:p>
            <w:pPr>
              <w:pStyle w:val="TableParagraph"/>
              <w:spacing w:before="38"/>
              <w:ind w:right="169"/>
              <w:rPr>
                <w:sz w:val="20"/>
              </w:rPr>
            </w:pPr>
            <w:r>
              <w:rPr>
                <w:sz w:val="20"/>
              </w:rPr>
              <w:t>Forwards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consolidated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comments,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preferably as MS Word tracked changes (annotated protocol), to the Lead </w:t>
            </w:r>
            <w:r>
              <w:rPr>
                <w:spacing w:val="-4"/>
                <w:sz w:val="20"/>
              </w:rPr>
              <w:t>MW.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internal review cycle</w:t>
            </w:r>
          </w:p>
        </w:tc>
      </w:tr>
    </w:tbl>
    <w:p>
      <w:pPr>
        <w:pStyle w:val="BodyText"/>
        <w:spacing w:before="9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823" w:val="left" w:leader="none"/>
        </w:tabs>
        <w:spacing w:line="240" w:lineRule="auto" w:before="0" w:after="0"/>
        <w:ind w:left="1822" w:right="0" w:hanging="452"/>
        <w:jc w:val="left"/>
        <w:rPr>
          <w:b/>
          <w:sz w:val="22"/>
        </w:rPr>
      </w:pPr>
      <w:r>
        <w:rPr>
          <w:b/>
          <w:sz w:val="22"/>
        </w:rPr>
        <w:t>Statistical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Considerations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header="725" w:footer="1064" w:top="2520" w:bottom="1340" w:left="880" w:right="88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94"/>
        <w:gridCol w:w="1133"/>
        <w:gridCol w:w="6096"/>
        <w:gridCol w:w="1987"/>
      </w:tblGrid>
      <w:tr>
        <w:trPr>
          <w:trHeight w:val="306" w:hRule="atLeast"/>
        </w:trPr>
        <w:tc>
          <w:tcPr>
            <w:tcW w:w="994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33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096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98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1159" w:hRule="atLeast"/>
        </w:trPr>
        <w:tc>
          <w:tcPr>
            <w:tcW w:w="994" w:type="dxa"/>
          </w:tcPr>
          <w:p>
            <w:pPr>
              <w:pStyle w:val="TableParagraph"/>
              <w:spacing w:before="4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33" w:type="dxa"/>
          </w:tcPr>
          <w:p>
            <w:pPr>
              <w:pStyle w:val="TableParagraph"/>
              <w:spacing w:line="276" w:lineRule="auto" w:before="47"/>
              <w:rPr>
                <w:sz w:val="20"/>
              </w:rPr>
            </w:pPr>
            <w:r>
              <w:rPr>
                <w:spacing w:val="-2"/>
                <w:sz w:val="20"/>
              </w:rPr>
              <w:t>STL/EB/ </w:t>
            </w:r>
            <w:r>
              <w:rPr>
                <w:spacing w:val="-4"/>
                <w:sz w:val="20"/>
              </w:rPr>
              <w:t>SBR</w:t>
            </w:r>
          </w:p>
        </w:tc>
        <w:tc>
          <w:tcPr>
            <w:tcW w:w="6096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z w:val="20"/>
              </w:rPr>
              <w:t>Verifies that the protocol contains statistically valid statements in sufficient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detail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areas,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study: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0" w:lineRule="auto" w:before="41" w:after="0"/>
              <w:ind w:left="469" w:right="103" w:hanging="360"/>
              <w:jc w:val="left"/>
              <w:rPr>
                <w:sz w:val="20"/>
              </w:rPr>
            </w:pPr>
            <w:r>
              <w:rPr>
                <w:sz w:val="20"/>
              </w:rPr>
              <w:t>Objectives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clearly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terms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endpoints and hierarchy of priorities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387" w:hanging="360"/>
              <w:jc w:val="left"/>
              <w:rPr>
                <w:sz w:val="20"/>
              </w:rPr>
            </w:pPr>
            <w:r>
              <w:rPr>
                <w:sz w:val="20"/>
              </w:rPr>
              <w:t>Efficacy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safety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endpoints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reflect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accepted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norms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relevant field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5" w:lineRule="exact" w:before="0" w:after="0"/>
              <w:ind w:left="46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Endpoints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validated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earlier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studies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literature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37" w:lineRule="auto" w:before="0" w:after="0"/>
              <w:ind w:left="469" w:right="110" w:hanging="360"/>
              <w:jc w:val="left"/>
              <w:rPr>
                <w:sz w:val="20"/>
              </w:rPr>
            </w:pPr>
            <w:r>
              <w:rPr>
                <w:sz w:val="20"/>
              </w:rPr>
              <w:t>Suitability of the study design in terms of the study and program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objectives,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nature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disease,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endpoints,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practical constraints (e.g. availability of subjects) and efficiency (i.e. exposure of as few subjects as possible)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5" w:lineRule="exact" w:before="1" w:after="0"/>
              <w:ind w:left="46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Relevant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literature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guidelines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545" w:hanging="360"/>
              <w:jc w:val="left"/>
              <w:rPr>
                <w:sz w:val="20"/>
              </w:rPr>
            </w:pPr>
            <w:r>
              <w:rPr>
                <w:sz w:val="20"/>
              </w:rPr>
              <w:t>Inclusion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exclusion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criteria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(including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subject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re-entry </w:t>
            </w:r>
            <w:r>
              <w:rPr>
                <w:spacing w:val="-2"/>
                <w:sz w:val="20"/>
              </w:rPr>
              <w:t>details)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287" w:hanging="360"/>
              <w:jc w:val="left"/>
              <w:rPr>
                <w:sz w:val="20"/>
              </w:rPr>
            </w:pPr>
            <w:r>
              <w:rPr>
                <w:sz w:val="20"/>
              </w:rPr>
              <w:t>Treatment assignment (randomization, stratification), if applicable,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means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maintaining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breaking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blind (in emergencies)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621" w:hanging="360"/>
              <w:jc w:val="left"/>
              <w:rPr>
                <w:sz w:val="20"/>
              </w:rPr>
            </w:pPr>
            <w:r>
              <w:rPr>
                <w:sz w:val="20"/>
              </w:rPr>
              <w:t>Patient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measures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findings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could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indirect unblinding are clearly identified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3" w:lineRule="exact" w:before="0" w:after="0"/>
              <w:ind w:left="46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blinded,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reasons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means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minimizing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4"/>
                <w:sz w:val="20"/>
              </w:rPr>
              <w:t>bias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2" w:lineRule="exact" w:before="0" w:after="0"/>
              <w:ind w:left="46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Methods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determining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sample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size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195" w:hanging="360"/>
              <w:jc w:val="left"/>
              <w:rPr>
                <w:sz w:val="20"/>
              </w:rPr>
            </w:pPr>
            <w:r>
              <w:rPr>
                <w:sz w:val="20"/>
              </w:rPr>
              <w:t>Assumptions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sample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size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estimates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based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(e.g. response rates from previous studies, variability, decision </w:t>
            </w:r>
            <w:r>
              <w:rPr>
                <w:spacing w:val="-2"/>
                <w:sz w:val="20"/>
              </w:rPr>
              <w:t>criteria)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37" w:lineRule="auto" w:before="0" w:after="0"/>
              <w:ind w:left="469" w:right="176" w:hanging="360"/>
              <w:jc w:val="left"/>
              <w:rPr>
                <w:sz w:val="20"/>
              </w:rPr>
            </w:pPr>
            <w:r>
              <w:rPr>
                <w:sz w:val="20"/>
              </w:rPr>
              <w:t>All necessary details for recalculation and verification of sample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sizes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parameters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methods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described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 the sample size calculation section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396" w:hanging="360"/>
              <w:jc w:val="left"/>
              <w:rPr>
                <w:sz w:val="20"/>
              </w:rPr>
            </w:pPr>
            <w:r>
              <w:rPr>
                <w:sz w:val="20"/>
              </w:rPr>
              <w:t>Stopping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rules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clearly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specified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justified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terms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 the study objectives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111" w:hanging="360"/>
              <w:jc w:val="left"/>
              <w:rPr>
                <w:sz w:val="20"/>
              </w:rPr>
            </w:pPr>
            <w:r>
              <w:rPr>
                <w:sz w:val="20"/>
              </w:rPr>
              <w:t>Method of data collection and timing: verifies that the data are relevant, meaningful, reliably measured, with sufficient precision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appropriate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intervals;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unnecessary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 </w:t>
            </w:r>
            <w:r>
              <w:rPr>
                <w:spacing w:val="-2"/>
                <w:sz w:val="20"/>
              </w:rPr>
              <w:t>collected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108" w:hanging="360"/>
              <w:jc w:val="left"/>
              <w:rPr>
                <w:sz w:val="20"/>
              </w:rPr>
            </w:pPr>
            <w:r>
              <w:rPr>
                <w:sz w:val="20"/>
              </w:rPr>
              <w:t>Information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planned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interim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analyses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treatment arms for efficacy or safety, either formal; including details on any planned Data Monitoring Committee or informal; methods to maintain study integrity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588" w:hanging="360"/>
              <w:jc w:val="left"/>
              <w:rPr>
                <w:sz w:val="20"/>
              </w:rPr>
            </w:pPr>
            <w:r>
              <w:rPr>
                <w:sz w:val="20"/>
              </w:rPr>
              <w:t>Adjustments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Type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error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rate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planned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interim </w:t>
            </w:r>
            <w:r>
              <w:rPr>
                <w:spacing w:val="-2"/>
                <w:sz w:val="20"/>
              </w:rPr>
              <w:t>analysis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0" w:lineRule="exact" w:before="0" w:after="0"/>
              <w:ind w:left="46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Details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hypotheses,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decision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criteria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significance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levels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978" w:hanging="360"/>
              <w:jc w:val="left"/>
              <w:rPr>
                <w:sz w:val="20"/>
              </w:rPr>
            </w:pPr>
            <w:r>
              <w:rPr>
                <w:sz w:val="20"/>
              </w:rPr>
              <w:t>Details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estimation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parameters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planned comparisons or contrasts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3" w:lineRule="exact" w:before="0" w:after="0"/>
              <w:ind w:left="46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Methods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account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multiplicity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30" w:lineRule="exact" w:before="0" w:after="0"/>
              <w:ind w:left="469" w:right="724" w:hanging="360"/>
              <w:jc w:val="left"/>
              <w:rPr>
                <w:sz w:val="20"/>
              </w:rPr>
            </w:pPr>
            <w:r>
              <w:rPr>
                <w:sz w:val="20"/>
              </w:rPr>
              <w:t>Rules to determine subject evaluability (with respect to analysis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sets),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especially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cases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deviation, intercurrent events, withdrawal or dropout</w:t>
            </w:r>
          </w:p>
        </w:tc>
        <w:tc>
          <w:tcPr>
            <w:tcW w:w="1987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z w:val="20"/>
              </w:rPr>
              <w:t>During protocol drafting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64" w:top="2520" w:bottom="1260" w:left="880" w:right="88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94"/>
        <w:gridCol w:w="1133"/>
        <w:gridCol w:w="6096"/>
        <w:gridCol w:w="1987"/>
      </w:tblGrid>
      <w:tr>
        <w:trPr>
          <w:trHeight w:val="306" w:hRule="atLeast"/>
        </w:trPr>
        <w:tc>
          <w:tcPr>
            <w:tcW w:w="994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33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096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98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305" w:hRule="atLeast"/>
        </w:trPr>
        <w:tc>
          <w:tcPr>
            <w:tcW w:w="994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133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096" w:type="dxa"/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469" w:val="left" w:leader="none"/>
                <w:tab w:pos="470" w:val="left" w:leader="none"/>
              </w:tabs>
              <w:spacing w:line="245" w:lineRule="exact" w:before="0" w:after="0"/>
              <w:ind w:left="46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Methods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handling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imputing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missing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data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589" w:hanging="360"/>
              <w:jc w:val="left"/>
              <w:rPr>
                <w:sz w:val="20"/>
              </w:rPr>
            </w:pPr>
            <w:r>
              <w:rPr>
                <w:sz w:val="20"/>
              </w:rPr>
              <w:t>Suitability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captured,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proposed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analysis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meet the study and program objectives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69" w:val="left" w:leader="none"/>
                <w:tab w:pos="470" w:val="left" w:leader="none"/>
              </w:tabs>
              <w:spacing w:line="237" w:lineRule="auto" w:before="2" w:after="0"/>
              <w:ind w:left="469" w:right="455" w:hanging="360"/>
              <w:jc w:val="left"/>
              <w:rPr>
                <w:sz w:val="20"/>
              </w:rPr>
            </w:pPr>
            <w:r>
              <w:rPr>
                <w:sz w:val="20"/>
              </w:rPr>
              <w:t>General strategy for dealing with each type of data (e.g. demographic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background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characteristics,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compliance, efficacy, safety)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69" w:val="left" w:leader="none"/>
                <w:tab w:pos="470" w:val="left" w:leader="none"/>
              </w:tabs>
              <w:spacing w:line="240" w:lineRule="auto" w:before="1" w:after="0"/>
              <w:ind w:left="469" w:right="133" w:hanging="360"/>
              <w:jc w:val="left"/>
              <w:rPr>
                <w:sz w:val="20"/>
              </w:rPr>
            </w:pPr>
            <w:r>
              <w:rPr>
                <w:sz w:val="20"/>
              </w:rPr>
              <w:t>Statistical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methodology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primary,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secondary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 other analyses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224" w:hanging="360"/>
              <w:jc w:val="left"/>
              <w:rPr>
                <w:sz w:val="20"/>
              </w:rPr>
            </w:pPr>
            <w:r>
              <w:rPr>
                <w:sz w:val="20"/>
              </w:rPr>
              <w:t>Definition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estimands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impact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study </w:t>
            </w:r>
            <w:r>
              <w:rPr>
                <w:spacing w:val="-2"/>
                <w:sz w:val="20"/>
              </w:rPr>
              <w:t>design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359" w:hanging="360"/>
              <w:jc w:val="left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alternative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approaches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event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violates statistical assumptions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796" w:hanging="360"/>
              <w:jc w:val="left"/>
              <w:rPr>
                <w:sz w:val="20"/>
              </w:rPr>
            </w:pPr>
            <w:r>
              <w:rPr>
                <w:sz w:val="20"/>
              </w:rPr>
              <w:t>General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accuracy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consistency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within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between sections of the protocol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132" w:hanging="360"/>
              <w:jc w:val="left"/>
              <w:rPr>
                <w:sz w:val="20"/>
              </w:rPr>
            </w:pPr>
            <w:r>
              <w:rPr>
                <w:sz w:val="20"/>
              </w:rPr>
              <w:t>Factors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management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study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183" w:hanging="360"/>
              <w:jc w:val="left"/>
              <w:rPr>
                <w:sz w:val="20"/>
              </w:rPr>
            </w:pPr>
            <w:r>
              <w:rPr>
                <w:sz w:val="20"/>
              </w:rPr>
              <w:t>Any other statistical factors relevant to the study. Issues will vary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study.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above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comprehensive</w:t>
            </w:r>
          </w:p>
        </w:tc>
        <w:tc>
          <w:tcPr>
            <w:tcW w:w="1987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823" w:val="left" w:leader="none"/>
        </w:tabs>
        <w:spacing w:line="240" w:lineRule="auto" w:before="94" w:after="0"/>
        <w:ind w:left="1822" w:right="0" w:hanging="452"/>
        <w:jc w:val="left"/>
        <w:rPr>
          <w:b/>
          <w:sz w:val="22"/>
        </w:rPr>
      </w:pPr>
      <w:r>
        <w:rPr>
          <w:b/>
          <w:spacing w:val="-2"/>
          <w:sz w:val="22"/>
        </w:rPr>
        <w:t>Documentation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94"/>
        <w:gridCol w:w="1133"/>
        <w:gridCol w:w="6096"/>
        <w:gridCol w:w="1987"/>
      </w:tblGrid>
      <w:tr>
        <w:trPr>
          <w:trHeight w:val="311" w:hRule="atLeast"/>
        </w:trPr>
        <w:tc>
          <w:tcPr>
            <w:tcW w:w="994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33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096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98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997" w:hRule="atLeast"/>
        </w:trPr>
        <w:tc>
          <w:tcPr>
            <w:tcW w:w="994" w:type="dxa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133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STL/EB</w:t>
            </w:r>
          </w:p>
        </w:tc>
        <w:tc>
          <w:tcPr>
            <w:tcW w:w="6096" w:type="dxa"/>
          </w:tcPr>
          <w:p>
            <w:pPr>
              <w:pStyle w:val="TableParagraph"/>
              <w:spacing w:before="38"/>
              <w:ind w:right="162"/>
              <w:rPr>
                <w:sz w:val="20"/>
              </w:rPr>
            </w:pPr>
            <w:r>
              <w:rPr>
                <w:sz w:val="20"/>
              </w:rPr>
              <w:t>Files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Reviewer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Feedback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(CS_FM_BS007)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compliance with Trial Master File (TMF) (CS_OP_TMF0007) and Management and Filing of Biostatistics Documentation </w:t>
            </w:r>
            <w:r>
              <w:rPr>
                <w:spacing w:val="-2"/>
                <w:sz w:val="20"/>
              </w:rPr>
              <w:t>(CS_WI_BS0237).</w:t>
            </w:r>
          </w:p>
        </w:tc>
        <w:tc>
          <w:tcPr>
            <w:tcW w:w="1987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is </w:t>
            </w:r>
            <w:r>
              <w:rPr>
                <w:spacing w:val="-2"/>
                <w:sz w:val="20"/>
              </w:rPr>
              <w:t>complete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79" w:val="left" w:leader="none"/>
          <w:tab w:pos="1280" w:val="left" w:leader="none"/>
        </w:tabs>
        <w:spacing w:line="240" w:lineRule="auto" w:before="0" w:after="7"/>
        <w:ind w:left="1280" w:right="0" w:hanging="720"/>
        <w:jc w:val="left"/>
        <w:rPr>
          <w:b/>
          <w:sz w:val="22"/>
        </w:rPr>
      </w:pPr>
      <w:bookmarkStart w:name="SUPPORTING DOCUMENTATION" w:id="7"/>
      <w:bookmarkEnd w:id="7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tbl>
      <w:tblPr>
        <w:tblW w:w="0" w:type="auto"/>
        <w:jc w:val="left"/>
        <w:tblInd w:w="1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82"/>
        <w:gridCol w:w="6519"/>
      </w:tblGrid>
      <w:tr>
        <w:trPr>
          <w:trHeight w:val="282" w:hRule="atLeast"/>
        </w:trPr>
        <w:tc>
          <w:tcPr>
            <w:tcW w:w="3682" w:type="dxa"/>
            <w:shd w:val="clear" w:color="auto" w:fill="D9D9D9"/>
          </w:tcPr>
          <w:p>
            <w:pPr>
              <w:pStyle w:val="TableParagraph"/>
              <w:spacing w:line="238" w:lineRule="exact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519" w:type="dxa"/>
            <w:shd w:val="clear" w:color="auto" w:fill="D9D9D9"/>
          </w:tcPr>
          <w:p>
            <w:pPr>
              <w:pStyle w:val="TableParagraph"/>
              <w:spacing w:line="238" w:lineRule="exact"/>
              <w:ind w:left="11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278" w:hRule="atLeast"/>
        </w:trPr>
        <w:tc>
          <w:tcPr>
            <w:tcW w:w="3682" w:type="dxa"/>
            <w:shd w:val="clear" w:color="auto" w:fill="D9D9D9"/>
          </w:tcPr>
          <w:p>
            <w:pPr>
              <w:pStyle w:val="TableParagraph"/>
              <w:spacing w:line="238" w:lineRule="exact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519" w:type="dxa"/>
            <w:shd w:val="clear" w:color="auto" w:fill="D9D9D9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460" w:hRule="atLeast"/>
        </w:trPr>
        <w:tc>
          <w:tcPr>
            <w:tcW w:w="3682" w:type="dxa"/>
          </w:tcPr>
          <w:p>
            <w:pPr>
              <w:pStyle w:val="TableParagraph"/>
              <w:spacing w:before="86"/>
              <w:ind w:left="926"/>
              <w:rPr>
                <w:sz w:val="22"/>
              </w:rPr>
            </w:pPr>
            <w:r>
              <w:rPr>
                <w:b/>
                <w:sz w:val="22"/>
              </w:rPr>
              <w:t>7.1</w:t>
            </w:r>
            <w:r>
              <w:rPr>
                <w:b/>
                <w:spacing w:val="51"/>
                <w:w w:val="150"/>
                <w:sz w:val="22"/>
              </w:rPr>
              <w:t> </w:t>
            </w:r>
            <w:hyperlink r:id="rId9">
              <w:r>
                <w:rPr>
                  <w:color w:val="0000FF"/>
                  <w:spacing w:val="-2"/>
                  <w:sz w:val="22"/>
                  <w:u w:val="single" w:color="0000FF"/>
                </w:rPr>
                <w:t>CS_FM_BS007</w:t>
              </w:r>
            </w:hyperlink>
          </w:p>
        </w:tc>
        <w:tc>
          <w:tcPr>
            <w:tcW w:w="6519" w:type="dxa"/>
          </w:tcPr>
          <w:p>
            <w:pPr>
              <w:pStyle w:val="TableParagraph"/>
              <w:spacing w:before="100"/>
              <w:ind w:left="114"/>
              <w:rPr>
                <w:sz w:val="22"/>
              </w:rPr>
            </w:pPr>
            <w:r>
              <w:rPr>
                <w:sz w:val="22"/>
              </w:rPr>
              <w:t>Reviewer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Feedback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4"/>
                <w:sz w:val="22"/>
              </w:rPr>
              <w:t>Form</w:t>
            </w:r>
          </w:p>
        </w:tc>
      </w:tr>
      <w:tr>
        <w:trPr>
          <w:trHeight w:val="369" w:hRule="atLeast"/>
        </w:trPr>
        <w:tc>
          <w:tcPr>
            <w:tcW w:w="3682" w:type="dxa"/>
          </w:tcPr>
          <w:p>
            <w:pPr>
              <w:pStyle w:val="TableParagraph"/>
              <w:ind w:left="926"/>
              <w:rPr>
                <w:sz w:val="22"/>
              </w:rPr>
            </w:pPr>
            <w:r>
              <w:rPr>
                <w:b/>
                <w:sz w:val="22"/>
              </w:rPr>
              <w:t>7.2</w:t>
            </w:r>
            <w:r>
              <w:rPr>
                <w:b/>
                <w:spacing w:val="51"/>
                <w:w w:val="150"/>
                <w:sz w:val="22"/>
              </w:rPr>
              <w:t> </w:t>
            </w:r>
            <w:hyperlink r:id="rId10">
              <w:r>
                <w:rPr>
                  <w:color w:val="0000FF"/>
                  <w:spacing w:val="-2"/>
                  <w:sz w:val="22"/>
                  <w:u w:val="single" w:color="0000FF"/>
                </w:rPr>
                <w:t>CS_FM_MW007</w:t>
              </w:r>
            </w:hyperlink>
          </w:p>
        </w:tc>
        <w:tc>
          <w:tcPr>
            <w:tcW w:w="6519" w:type="dxa"/>
          </w:tcPr>
          <w:p>
            <w:pPr>
              <w:pStyle w:val="TableParagraph"/>
              <w:spacing w:before="57"/>
              <w:ind w:left="114"/>
              <w:rPr>
                <w:sz w:val="22"/>
              </w:rPr>
            </w:pPr>
            <w:r>
              <w:rPr>
                <w:sz w:val="22"/>
              </w:rPr>
              <w:t>Internal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Signature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Page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Deliverables</w:t>
            </w:r>
          </w:p>
        </w:tc>
      </w:tr>
      <w:tr>
        <w:trPr>
          <w:trHeight w:val="373" w:hRule="atLeast"/>
        </w:trPr>
        <w:tc>
          <w:tcPr>
            <w:tcW w:w="3682" w:type="dxa"/>
          </w:tcPr>
          <w:p>
            <w:pPr>
              <w:pStyle w:val="TableParagraph"/>
              <w:ind w:left="926"/>
              <w:rPr>
                <w:sz w:val="22"/>
              </w:rPr>
            </w:pPr>
            <w:r>
              <w:rPr>
                <w:b/>
                <w:sz w:val="22"/>
              </w:rPr>
              <w:t>7.3</w:t>
            </w:r>
            <w:r>
              <w:rPr>
                <w:b/>
                <w:spacing w:val="51"/>
                <w:w w:val="150"/>
                <w:sz w:val="22"/>
              </w:rPr>
              <w:t> </w:t>
            </w:r>
            <w:hyperlink r:id="rId11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CS_WI_BS015</w:t>
              </w:r>
            </w:hyperlink>
          </w:p>
        </w:tc>
        <w:tc>
          <w:tcPr>
            <w:tcW w:w="6519" w:type="dxa"/>
          </w:tcPr>
          <w:p>
            <w:pPr>
              <w:pStyle w:val="TableParagraph"/>
              <w:spacing w:before="62"/>
              <w:ind w:left="114"/>
              <w:rPr>
                <w:sz w:val="22"/>
              </w:rPr>
            </w:pPr>
            <w:r>
              <w:rPr>
                <w:sz w:val="22"/>
              </w:rPr>
              <w:t>Approaches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QC</w:t>
            </w:r>
          </w:p>
        </w:tc>
      </w:tr>
      <w:tr>
        <w:trPr>
          <w:trHeight w:val="374" w:hRule="atLeast"/>
        </w:trPr>
        <w:tc>
          <w:tcPr>
            <w:tcW w:w="3682" w:type="dxa"/>
          </w:tcPr>
          <w:p>
            <w:pPr>
              <w:pStyle w:val="TableParagraph"/>
              <w:ind w:left="926"/>
              <w:rPr>
                <w:sz w:val="22"/>
              </w:rPr>
            </w:pPr>
            <w:r>
              <w:rPr>
                <w:b/>
                <w:sz w:val="22"/>
              </w:rPr>
              <w:t>7.4</w:t>
            </w:r>
            <w:r>
              <w:rPr>
                <w:b/>
                <w:spacing w:val="51"/>
                <w:w w:val="150"/>
                <w:sz w:val="22"/>
              </w:rPr>
              <w:t> </w:t>
            </w:r>
            <w:hyperlink r:id="rId12">
              <w:r>
                <w:rPr>
                  <w:color w:val="0000FF"/>
                  <w:spacing w:val="-2"/>
                  <w:sz w:val="22"/>
                  <w:u w:val="single" w:color="0000FF"/>
                </w:rPr>
                <w:t>CS_WI_MW006</w:t>
              </w:r>
            </w:hyperlink>
          </w:p>
        </w:tc>
        <w:tc>
          <w:tcPr>
            <w:tcW w:w="6519" w:type="dxa"/>
          </w:tcPr>
          <w:p>
            <w:pPr>
              <w:pStyle w:val="TableParagraph"/>
              <w:spacing w:before="57"/>
              <w:ind w:left="114"/>
              <w:rPr>
                <w:sz w:val="22"/>
              </w:rPr>
            </w:pPr>
            <w:r>
              <w:rPr>
                <w:sz w:val="22"/>
              </w:rPr>
              <w:t>Producing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Study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Protocol</w:t>
            </w:r>
          </w:p>
        </w:tc>
      </w:tr>
      <w:tr>
        <w:trPr>
          <w:trHeight w:val="373" w:hRule="atLeast"/>
        </w:trPr>
        <w:tc>
          <w:tcPr>
            <w:tcW w:w="3682" w:type="dxa"/>
          </w:tcPr>
          <w:p>
            <w:pPr>
              <w:pStyle w:val="TableParagraph"/>
              <w:ind w:left="926"/>
              <w:rPr>
                <w:sz w:val="22"/>
              </w:rPr>
            </w:pPr>
            <w:r>
              <w:rPr>
                <w:b/>
                <w:sz w:val="22"/>
              </w:rPr>
              <w:t>7.5</w:t>
            </w:r>
            <w:r>
              <w:rPr>
                <w:b/>
                <w:spacing w:val="51"/>
                <w:w w:val="150"/>
                <w:sz w:val="22"/>
              </w:rPr>
              <w:t> </w:t>
            </w:r>
            <w:hyperlink r:id="rId13">
              <w:r>
                <w:rPr>
                  <w:color w:val="0000FF"/>
                  <w:spacing w:val="-2"/>
                  <w:sz w:val="22"/>
                  <w:u w:val="single" w:color="0000FF"/>
                </w:rPr>
                <w:t>CS_WI_MW0236</w:t>
              </w:r>
            </w:hyperlink>
          </w:p>
        </w:tc>
        <w:tc>
          <w:tcPr>
            <w:tcW w:w="6519" w:type="dxa"/>
          </w:tcPr>
          <w:p>
            <w:pPr>
              <w:pStyle w:val="TableParagraph"/>
              <w:spacing w:before="57"/>
              <w:ind w:left="114"/>
              <w:rPr>
                <w:sz w:val="22"/>
              </w:rPr>
            </w:pPr>
            <w:r>
              <w:rPr>
                <w:sz w:val="22"/>
              </w:rPr>
              <w:t>Producing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Study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Protocol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Amendment</w:t>
            </w:r>
          </w:p>
        </w:tc>
      </w:tr>
      <w:tr>
        <w:trPr>
          <w:trHeight w:val="369" w:hRule="atLeast"/>
        </w:trPr>
        <w:tc>
          <w:tcPr>
            <w:tcW w:w="3682" w:type="dxa"/>
          </w:tcPr>
          <w:p>
            <w:pPr>
              <w:pStyle w:val="TableParagraph"/>
              <w:ind w:left="926"/>
              <w:rPr>
                <w:sz w:val="22"/>
              </w:rPr>
            </w:pPr>
            <w:r>
              <w:rPr>
                <w:b/>
                <w:sz w:val="22"/>
              </w:rPr>
              <w:t>7.6</w:t>
            </w:r>
            <w:r>
              <w:rPr>
                <w:b/>
                <w:spacing w:val="51"/>
                <w:w w:val="150"/>
                <w:sz w:val="22"/>
              </w:rPr>
              <w:t> </w:t>
            </w:r>
            <w:hyperlink r:id="rId14">
              <w:r>
                <w:rPr>
                  <w:color w:val="0000FF"/>
                  <w:spacing w:val="-2"/>
                  <w:sz w:val="22"/>
                  <w:u w:val="single" w:color="0000FF"/>
                </w:rPr>
                <w:t>CS_OP_TMF0007</w:t>
              </w:r>
            </w:hyperlink>
          </w:p>
        </w:tc>
        <w:tc>
          <w:tcPr>
            <w:tcW w:w="6519" w:type="dxa"/>
          </w:tcPr>
          <w:p>
            <w:pPr>
              <w:pStyle w:val="TableParagraph"/>
              <w:spacing w:before="57"/>
              <w:ind w:left="114"/>
              <w:rPr>
                <w:sz w:val="22"/>
              </w:rPr>
            </w:pPr>
            <w:r>
              <w:rPr>
                <w:sz w:val="22"/>
              </w:rPr>
              <w:t>Trial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Master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File</w:t>
            </w:r>
            <w:r>
              <w:rPr>
                <w:spacing w:val="-2"/>
                <w:sz w:val="22"/>
              </w:rPr>
              <w:t> (TMF)</w:t>
            </w:r>
          </w:p>
        </w:tc>
      </w:tr>
      <w:tr>
        <w:trPr>
          <w:trHeight w:val="373" w:hRule="atLeast"/>
        </w:trPr>
        <w:tc>
          <w:tcPr>
            <w:tcW w:w="3682" w:type="dxa"/>
          </w:tcPr>
          <w:p>
            <w:pPr>
              <w:pStyle w:val="TableParagraph"/>
              <w:spacing w:before="4"/>
              <w:ind w:left="926"/>
              <w:rPr>
                <w:sz w:val="22"/>
              </w:rPr>
            </w:pPr>
            <w:r>
              <w:rPr>
                <w:b/>
                <w:sz w:val="22"/>
              </w:rPr>
              <w:t>7.7</w:t>
            </w:r>
            <w:r>
              <w:rPr>
                <w:b/>
                <w:spacing w:val="51"/>
                <w:w w:val="150"/>
                <w:sz w:val="22"/>
              </w:rPr>
              <w:t> </w:t>
            </w:r>
            <w:hyperlink r:id="rId15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CS_WI_BS0237</w:t>
              </w:r>
            </w:hyperlink>
          </w:p>
        </w:tc>
        <w:tc>
          <w:tcPr>
            <w:tcW w:w="6519" w:type="dxa"/>
          </w:tcPr>
          <w:p>
            <w:pPr>
              <w:pStyle w:val="TableParagraph"/>
              <w:spacing w:before="62"/>
              <w:ind w:left="114"/>
              <w:rPr>
                <w:sz w:val="22"/>
              </w:rPr>
            </w:pPr>
            <w:r>
              <w:rPr>
                <w:sz w:val="22"/>
              </w:rPr>
              <w:t>Management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Filing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Biostatistics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Documentation</w:t>
            </w:r>
          </w:p>
        </w:tc>
      </w:tr>
      <w:tr>
        <w:trPr>
          <w:trHeight w:val="374" w:hRule="atLeast"/>
        </w:trPr>
        <w:tc>
          <w:tcPr>
            <w:tcW w:w="3682" w:type="dxa"/>
          </w:tcPr>
          <w:p>
            <w:pPr>
              <w:pStyle w:val="TableParagraph"/>
              <w:ind w:left="926"/>
              <w:rPr>
                <w:sz w:val="22"/>
              </w:rPr>
            </w:pPr>
            <w:r>
              <w:rPr>
                <w:b/>
                <w:sz w:val="22"/>
              </w:rPr>
              <w:t>7.8</w:t>
            </w:r>
            <w:r>
              <w:rPr>
                <w:b/>
                <w:spacing w:val="51"/>
                <w:w w:val="150"/>
                <w:sz w:val="22"/>
              </w:rPr>
              <w:t> </w:t>
            </w:r>
            <w:hyperlink r:id="rId16">
              <w:r>
                <w:rPr>
                  <w:color w:val="0000FF"/>
                  <w:spacing w:val="-2"/>
                  <w:sz w:val="22"/>
                  <w:u w:val="single" w:color="0000FF"/>
                </w:rPr>
                <w:t>PI_WI_PK0210</w:t>
              </w:r>
            </w:hyperlink>
          </w:p>
        </w:tc>
        <w:tc>
          <w:tcPr>
            <w:tcW w:w="6519" w:type="dxa"/>
          </w:tcPr>
          <w:p>
            <w:pPr>
              <w:pStyle w:val="TableParagraph"/>
              <w:spacing w:before="62"/>
              <w:ind w:left="114"/>
              <w:rPr>
                <w:sz w:val="22"/>
              </w:rPr>
            </w:pPr>
            <w:r>
              <w:rPr>
                <w:sz w:val="22"/>
              </w:rPr>
              <w:t>Preparation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CP-generated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Documents</w:t>
            </w:r>
          </w:p>
        </w:tc>
      </w:tr>
      <w:tr>
        <w:trPr>
          <w:trHeight w:val="374" w:hRule="atLeast"/>
        </w:trPr>
        <w:tc>
          <w:tcPr>
            <w:tcW w:w="3682" w:type="dxa"/>
          </w:tcPr>
          <w:p>
            <w:pPr>
              <w:pStyle w:val="TableParagraph"/>
              <w:ind w:left="926"/>
              <w:rPr>
                <w:sz w:val="22"/>
              </w:rPr>
            </w:pPr>
            <w:r>
              <w:rPr>
                <w:b/>
                <w:sz w:val="22"/>
              </w:rPr>
              <w:t>7.9</w:t>
            </w:r>
            <w:r>
              <w:rPr>
                <w:b/>
                <w:spacing w:val="51"/>
                <w:w w:val="150"/>
                <w:sz w:val="22"/>
              </w:rPr>
              <w:t> </w:t>
            </w:r>
            <w:hyperlink r:id="rId17">
              <w:r>
                <w:rPr>
                  <w:color w:val="0000FF"/>
                  <w:spacing w:val="-2"/>
                  <w:sz w:val="22"/>
                  <w:u w:val="single" w:color="0000FF"/>
                </w:rPr>
                <w:t>CS_OD_BS0225</w:t>
              </w:r>
            </w:hyperlink>
          </w:p>
        </w:tc>
        <w:tc>
          <w:tcPr>
            <w:tcW w:w="6519" w:type="dxa"/>
          </w:tcPr>
          <w:p>
            <w:pPr>
              <w:pStyle w:val="TableParagraph"/>
              <w:spacing w:before="57"/>
              <w:ind w:left="114"/>
              <w:rPr>
                <w:sz w:val="22"/>
              </w:rPr>
            </w:pPr>
            <w:r>
              <w:rPr>
                <w:sz w:val="22"/>
              </w:rPr>
              <w:t>Approaches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QC: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Appendix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–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QC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Protocol</w:t>
            </w:r>
          </w:p>
        </w:tc>
      </w:tr>
      <w:tr>
        <w:trPr>
          <w:trHeight w:val="292" w:hRule="atLeast"/>
        </w:trPr>
        <w:tc>
          <w:tcPr>
            <w:tcW w:w="3682" w:type="dxa"/>
            <w:shd w:val="clear" w:color="auto" w:fill="D9D9D9"/>
          </w:tcPr>
          <w:p>
            <w:pPr>
              <w:pStyle w:val="TableParagraph"/>
              <w:spacing w:line="248" w:lineRule="exact"/>
              <w:ind w:left="71"/>
              <w:rPr>
                <w:b/>
                <w:sz w:val="22"/>
              </w:rPr>
            </w:pPr>
            <w:bookmarkStart w:name="External References" w:id="8"/>
            <w:bookmarkEnd w:id="8"/>
            <w:r>
              <w:rPr/>
            </w:r>
            <w:r>
              <w:rPr>
                <w:b/>
                <w:sz w:val="22"/>
              </w:rPr>
              <w:t>External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519" w:type="dxa"/>
            <w:shd w:val="clear" w:color="auto" w:fill="D9D9D9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</w:tbl>
    <w:p>
      <w:pPr>
        <w:spacing w:after="0"/>
        <w:rPr>
          <w:rFonts w:ascii="Times New Roman"/>
          <w:sz w:val="20"/>
        </w:rPr>
        <w:sectPr>
          <w:pgSz w:w="12240" w:h="15840"/>
          <w:pgMar w:header="725" w:footer="1064" w:top="2520" w:bottom="1260" w:left="880" w:right="88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82"/>
        <w:gridCol w:w="6519"/>
      </w:tblGrid>
      <w:tr>
        <w:trPr>
          <w:trHeight w:val="277" w:hRule="atLeast"/>
        </w:trPr>
        <w:tc>
          <w:tcPr>
            <w:tcW w:w="3682" w:type="dxa"/>
            <w:shd w:val="clear" w:color="auto" w:fill="D9D9D9"/>
          </w:tcPr>
          <w:p>
            <w:pPr>
              <w:pStyle w:val="TableParagraph"/>
              <w:spacing w:line="238" w:lineRule="exact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519" w:type="dxa"/>
            <w:shd w:val="clear" w:color="auto" w:fill="D9D9D9"/>
          </w:tcPr>
          <w:p>
            <w:pPr>
              <w:pStyle w:val="TableParagraph"/>
              <w:spacing w:line="238" w:lineRule="exact"/>
              <w:ind w:left="11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74" w:hRule="atLeast"/>
        </w:trPr>
        <w:tc>
          <w:tcPr>
            <w:tcW w:w="3682" w:type="dxa"/>
          </w:tcPr>
          <w:p>
            <w:pPr>
              <w:pStyle w:val="TableParagraph"/>
              <w:ind w:left="926"/>
              <w:rPr>
                <w:sz w:val="22"/>
              </w:rPr>
            </w:pPr>
            <w:r>
              <w:rPr>
                <w:b/>
                <w:sz w:val="22"/>
              </w:rPr>
              <w:t>7.10</w:t>
            </w:r>
            <w:r>
              <w:rPr>
                <w:b/>
                <w:spacing w:val="20"/>
                <w:sz w:val="22"/>
              </w:rPr>
              <w:t> </w:t>
            </w:r>
            <w:r>
              <w:rPr>
                <w:sz w:val="22"/>
              </w:rPr>
              <w:t>ICH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7"/>
                <w:sz w:val="22"/>
              </w:rPr>
              <w:t>E3</w:t>
            </w:r>
          </w:p>
        </w:tc>
        <w:tc>
          <w:tcPr>
            <w:tcW w:w="6519" w:type="dxa"/>
          </w:tcPr>
          <w:p>
            <w:pPr>
              <w:pStyle w:val="TableParagraph"/>
              <w:spacing w:before="33"/>
              <w:ind w:left="114"/>
              <w:rPr>
                <w:sz w:val="22"/>
              </w:rPr>
            </w:pPr>
            <w:r>
              <w:rPr>
                <w:sz w:val="22"/>
              </w:rPr>
              <w:t>Structure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Content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Study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Reports</w:t>
            </w:r>
          </w:p>
        </w:tc>
      </w:tr>
      <w:tr>
        <w:trPr>
          <w:trHeight w:val="374" w:hRule="atLeast"/>
        </w:trPr>
        <w:tc>
          <w:tcPr>
            <w:tcW w:w="3682" w:type="dxa"/>
          </w:tcPr>
          <w:p>
            <w:pPr>
              <w:pStyle w:val="TableParagraph"/>
              <w:ind w:left="926"/>
              <w:rPr>
                <w:sz w:val="22"/>
              </w:rPr>
            </w:pPr>
            <w:r>
              <w:rPr>
                <w:b/>
                <w:sz w:val="22"/>
              </w:rPr>
              <w:t>7.11</w:t>
            </w:r>
            <w:r>
              <w:rPr>
                <w:b/>
                <w:spacing w:val="20"/>
                <w:sz w:val="22"/>
              </w:rPr>
              <w:t> </w:t>
            </w:r>
            <w:r>
              <w:rPr>
                <w:sz w:val="22"/>
              </w:rPr>
              <w:t>ICH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7"/>
                <w:sz w:val="22"/>
              </w:rPr>
              <w:t>E6</w:t>
            </w:r>
          </w:p>
        </w:tc>
        <w:tc>
          <w:tcPr>
            <w:tcW w:w="6519" w:type="dxa"/>
          </w:tcPr>
          <w:p>
            <w:pPr>
              <w:pStyle w:val="TableParagraph"/>
              <w:spacing w:before="33"/>
              <w:ind w:left="114"/>
              <w:rPr>
                <w:sz w:val="22"/>
              </w:rPr>
            </w:pPr>
            <w:r>
              <w:rPr>
                <w:sz w:val="22"/>
              </w:rPr>
              <w:t>Guideline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Good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Practice</w:t>
            </w:r>
          </w:p>
        </w:tc>
      </w:tr>
      <w:tr>
        <w:trPr>
          <w:trHeight w:val="374" w:hRule="atLeast"/>
        </w:trPr>
        <w:tc>
          <w:tcPr>
            <w:tcW w:w="3682" w:type="dxa"/>
          </w:tcPr>
          <w:p>
            <w:pPr>
              <w:pStyle w:val="TableParagraph"/>
              <w:ind w:left="926"/>
              <w:rPr>
                <w:sz w:val="22"/>
              </w:rPr>
            </w:pPr>
            <w:r>
              <w:rPr>
                <w:b/>
                <w:sz w:val="22"/>
              </w:rPr>
              <w:t>7.12</w:t>
            </w:r>
            <w:r>
              <w:rPr>
                <w:b/>
                <w:spacing w:val="20"/>
                <w:sz w:val="22"/>
              </w:rPr>
              <w:t> </w:t>
            </w:r>
            <w:r>
              <w:rPr>
                <w:sz w:val="22"/>
              </w:rPr>
              <w:t>ICH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7"/>
                <w:sz w:val="22"/>
              </w:rPr>
              <w:t>E9</w:t>
            </w:r>
          </w:p>
        </w:tc>
        <w:tc>
          <w:tcPr>
            <w:tcW w:w="6519" w:type="dxa"/>
          </w:tcPr>
          <w:p>
            <w:pPr>
              <w:pStyle w:val="TableParagraph"/>
              <w:spacing w:before="33"/>
              <w:ind w:left="114"/>
              <w:rPr>
                <w:sz w:val="22"/>
              </w:rPr>
            </w:pPr>
            <w:r>
              <w:rPr>
                <w:sz w:val="22"/>
              </w:rPr>
              <w:t>Statistical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Principles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Trials</w:t>
            </w:r>
          </w:p>
        </w:tc>
      </w:tr>
    </w:tbl>
    <w:p>
      <w:pPr>
        <w:pStyle w:val="BodyText"/>
        <w:spacing w:before="11"/>
        <w:rPr>
          <w:b/>
          <w:sz w:val="11"/>
        </w:rPr>
      </w:pPr>
    </w:p>
    <w:p>
      <w:pPr>
        <w:pStyle w:val="ListParagraph"/>
        <w:numPr>
          <w:ilvl w:val="0"/>
          <w:numId w:val="1"/>
        </w:numPr>
        <w:tabs>
          <w:tab w:pos="1279" w:val="left" w:leader="none"/>
          <w:tab w:pos="1280" w:val="left" w:leader="none"/>
        </w:tabs>
        <w:spacing w:line="240" w:lineRule="auto" w:before="93" w:after="7"/>
        <w:ind w:left="1280" w:right="0" w:hanging="720"/>
        <w:jc w:val="left"/>
        <w:rPr>
          <w:b/>
          <w:sz w:val="22"/>
        </w:rPr>
      </w:pPr>
      <w:bookmarkStart w:name="SUPERSEDES" w:id="9"/>
      <w:bookmarkEnd w:id="9"/>
      <w:r>
        <w:rPr>
          <w:b/>
          <w:spacing w:val="-2"/>
          <w:sz w:val="22"/>
        </w:rPr>
        <w:t>SUPERSEDES</w:t>
      </w:r>
    </w:p>
    <w:tbl>
      <w:tblPr>
        <w:tblW w:w="0" w:type="auto"/>
        <w:jc w:val="left"/>
        <w:tblInd w:w="1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82"/>
        <w:gridCol w:w="4047"/>
        <w:gridCol w:w="2473"/>
      </w:tblGrid>
      <w:tr>
        <w:trPr>
          <w:trHeight w:val="287" w:hRule="atLeast"/>
        </w:trPr>
        <w:tc>
          <w:tcPr>
            <w:tcW w:w="3682" w:type="dxa"/>
            <w:shd w:val="clear" w:color="auto" w:fill="BFBFBF"/>
          </w:tcPr>
          <w:p>
            <w:pPr>
              <w:pStyle w:val="TableParagraph"/>
              <w:spacing w:line="248" w:lineRule="exact"/>
              <w:ind w:left="110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4047" w:type="dxa"/>
            <w:shd w:val="clear" w:color="auto" w:fill="BFBFBF"/>
          </w:tcPr>
          <w:p>
            <w:pPr>
              <w:pStyle w:val="TableParagraph"/>
              <w:spacing w:line="248" w:lineRule="exact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473" w:type="dxa"/>
            <w:shd w:val="clear" w:color="auto" w:fill="BFBFBF"/>
          </w:tcPr>
          <w:p>
            <w:pPr>
              <w:pStyle w:val="TableParagraph"/>
              <w:spacing w:line="248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614" w:hRule="atLeast"/>
        </w:trPr>
        <w:tc>
          <w:tcPr>
            <w:tcW w:w="3682" w:type="dxa"/>
          </w:tcPr>
          <w:p>
            <w:pPr>
              <w:pStyle w:val="TableParagraph"/>
              <w:spacing w:before="3"/>
              <w:ind w:left="0"/>
              <w:rPr>
                <w:b/>
                <w:sz w:val="21"/>
              </w:rPr>
            </w:pPr>
          </w:p>
          <w:p>
            <w:pPr>
              <w:pStyle w:val="TableParagraph"/>
              <w:ind w:left="921"/>
              <w:rPr>
                <w:sz w:val="22"/>
              </w:rPr>
            </w:pPr>
            <w:r>
              <w:rPr>
                <w:b/>
                <w:sz w:val="22"/>
              </w:rPr>
              <w:t>8.1</w:t>
            </w:r>
            <w:r>
              <w:rPr>
                <w:b/>
                <w:spacing w:val="51"/>
                <w:w w:val="150"/>
                <w:sz w:val="22"/>
              </w:rPr>
              <w:t> </w:t>
            </w:r>
            <w:r>
              <w:rPr>
                <w:spacing w:val="-2"/>
                <w:sz w:val="22"/>
              </w:rPr>
              <w:t>CS_WI_BS006</w:t>
            </w:r>
          </w:p>
        </w:tc>
        <w:tc>
          <w:tcPr>
            <w:tcW w:w="4047" w:type="dxa"/>
          </w:tcPr>
          <w:p>
            <w:pPr>
              <w:pStyle w:val="TableParagraph"/>
              <w:ind w:right="143"/>
              <w:rPr>
                <w:sz w:val="22"/>
              </w:rPr>
            </w:pPr>
            <w:r>
              <w:rPr>
                <w:sz w:val="22"/>
              </w:rPr>
              <w:t>Statistical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Input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 Clinical Trial Protocol</w:t>
            </w:r>
          </w:p>
        </w:tc>
        <w:tc>
          <w:tcPr>
            <w:tcW w:w="247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13</w:t>
            </w:r>
          </w:p>
        </w:tc>
      </w:tr>
    </w:tbl>
    <w:p>
      <w:pPr>
        <w:pStyle w:val="BodyText"/>
        <w:rPr>
          <w:b/>
          <w:sz w:val="24"/>
        </w:rPr>
      </w:pPr>
    </w:p>
    <w:p>
      <w:pPr>
        <w:pStyle w:val="ListParagraph"/>
        <w:numPr>
          <w:ilvl w:val="0"/>
          <w:numId w:val="1"/>
        </w:numPr>
        <w:tabs>
          <w:tab w:pos="1279" w:val="left" w:leader="none"/>
          <w:tab w:pos="1280" w:val="left" w:leader="none"/>
        </w:tabs>
        <w:spacing w:line="240" w:lineRule="auto" w:before="214" w:after="6"/>
        <w:ind w:left="1280" w:right="0" w:hanging="720"/>
        <w:jc w:val="left"/>
        <w:rPr>
          <w:b/>
          <w:sz w:val="22"/>
        </w:rPr>
      </w:pPr>
      <w:bookmarkStart w:name="MODIFICATION FROM PREVIOUS REVISION" w:id="10"/>
      <w:bookmarkEnd w:id="10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tbl>
      <w:tblPr>
        <w:tblW w:w="0" w:type="auto"/>
        <w:jc w:val="left"/>
        <w:tblInd w:w="2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446"/>
        <w:gridCol w:w="3297"/>
        <w:gridCol w:w="3297"/>
      </w:tblGrid>
      <w:tr>
        <w:trPr>
          <w:trHeight w:val="321" w:hRule="atLeast"/>
        </w:trPr>
        <w:tc>
          <w:tcPr>
            <w:tcW w:w="3446" w:type="dxa"/>
            <w:shd w:val="clear" w:color="auto" w:fill="BFBFBF"/>
          </w:tcPr>
          <w:p>
            <w:pPr>
              <w:pStyle w:val="TableParagraph"/>
              <w:spacing w:before="28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7" w:type="dxa"/>
            <w:shd w:val="clear" w:color="auto" w:fill="BFBFBF"/>
          </w:tcPr>
          <w:p>
            <w:pPr>
              <w:pStyle w:val="TableParagraph"/>
              <w:spacing w:before="28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297" w:type="dxa"/>
            <w:shd w:val="clear" w:color="auto" w:fill="BFBFBF"/>
          </w:tcPr>
          <w:p>
            <w:pPr>
              <w:pStyle w:val="TableParagraph"/>
              <w:spacing w:before="28"/>
              <w:ind w:left="106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561" w:hRule="atLeast"/>
        </w:trPr>
        <w:tc>
          <w:tcPr>
            <w:tcW w:w="3446" w:type="dxa"/>
          </w:tcPr>
          <w:p>
            <w:pPr>
              <w:pStyle w:val="TableParagraph"/>
              <w:spacing w:line="232" w:lineRule="auto" w:before="30"/>
              <w:ind w:left="105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minor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spelling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and grammatical issues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All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ind w:left="106"/>
              <w:rPr>
                <w:sz w:val="22"/>
              </w:rPr>
            </w:pPr>
            <w:r>
              <w:rPr>
                <w:sz w:val="22"/>
              </w:rPr>
              <w:t>Improve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consistency</w:t>
            </w:r>
          </w:p>
        </w:tc>
      </w:tr>
      <w:tr>
        <w:trPr>
          <w:trHeight w:val="1761" w:hRule="atLeast"/>
        </w:trPr>
        <w:tc>
          <w:tcPr>
            <w:tcW w:w="3446" w:type="dxa"/>
          </w:tcPr>
          <w:p>
            <w:pPr>
              <w:pStyle w:val="TableParagraph"/>
              <w:spacing w:line="228" w:lineRule="auto" w:before="34"/>
              <w:ind w:left="105" w:right="98"/>
              <w:rPr>
                <w:sz w:val="22"/>
              </w:rPr>
            </w:pPr>
            <w:r>
              <w:rPr>
                <w:sz w:val="22"/>
              </w:rPr>
              <w:t>Updated reference from Management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Master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File (CS_OP_RM0296) to Trial Master File (CS_OP_TMF0007) and Management and Filing of Biostatistics Documentation </w:t>
            </w:r>
            <w:r>
              <w:rPr>
                <w:spacing w:val="-2"/>
                <w:sz w:val="22"/>
              </w:rPr>
              <w:t>(CS_WI_BS0237).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z w:val="22"/>
              </w:rPr>
              <w:t>6.2.3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6.5.1</w:t>
            </w:r>
          </w:p>
        </w:tc>
        <w:tc>
          <w:tcPr>
            <w:tcW w:w="3297" w:type="dxa"/>
          </w:tcPr>
          <w:p>
            <w:pPr>
              <w:pStyle w:val="TableParagraph"/>
              <w:spacing w:line="228" w:lineRule="auto" w:before="34"/>
              <w:ind w:left="106"/>
              <w:rPr>
                <w:sz w:val="22"/>
              </w:rPr>
            </w:pPr>
            <w:r>
              <w:rPr>
                <w:sz w:val="22"/>
              </w:rPr>
              <w:t>Previous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document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obsolete. Replaced with two new </w:t>
            </w:r>
            <w:r>
              <w:rPr>
                <w:spacing w:val="-2"/>
                <w:sz w:val="22"/>
              </w:rPr>
              <w:t>documents.</w:t>
            </w:r>
          </w:p>
        </w:tc>
      </w:tr>
      <w:tr>
        <w:trPr>
          <w:trHeight w:val="1036" w:hRule="atLeast"/>
        </w:trPr>
        <w:tc>
          <w:tcPr>
            <w:tcW w:w="3446" w:type="dxa"/>
          </w:tcPr>
          <w:p>
            <w:pPr>
              <w:pStyle w:val="TableParagraph"/>
              <w:spacing w:line="228" w:lineRule="auto" w:before="34"/>
              <w:ind w:left="105" w:right="98"/>
              <w:rPr>
                <w:sz w:val="22"/>
              </w:rPr>
            </w:pPr>
            <w:r>
              <w:rPr>
                <w:sz w:val="22"/>
              </w:rPr>
              <w:t>Title of CS_WI_MW006 updated to “Producing a Clinical Study Protocol”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reference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added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 </w:t>
            </w:r>
            <w:r>
              <w:rPr>
                <w:spacing w:val="-2"/>
                <w:sz w:val="22"/>
              </w:rPr>
              <w:t>sections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z w:val="22"/>
              </w:rPr>
              <w:t>6.2.1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6.3.1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ind w:left="106"/>
              <w:rPr>
                <w:sz w:val="22"/>
              </w:rPr>
            </w:pPr>
            <w:r>
              <w:rPr>
                <w:sz w:val="22"/>
              </w:rPr>
              <w:t>Document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name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change</w:t>
            </w:r>
          </w:p>
        </w:tc>
      </w:tr>
      <w:tr>
        <w:trPr>
          <w:trHeight w:val="801" w:hRule="atLeast"/>
        </w:trPr>
        <w:tc>
          <w:tcPr>
            <w:tcW w:w="3446" w:type="dxa"/>
          </w:tcPr>
          <w:p>
            <w:pPr>
              <w:pStyle w:val="TableParagraph"/>
              <w:spacing w:line="230" w:lineRule="auto" w:before="32"/>
              <w:ind w:left="105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reference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Producing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 Clinical Study Protocol Amendment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(CS_WI_MW0236)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z w:val="22"/>
              </w:rPr>
              <w:t>6.2.1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6.3.1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ind w:left="106"/>
              <w:rPr>
                <w:sz w:val="22"/>
              </w:rPr>
            </w:pPr>
            <w:r>
              <w:rPr>
                <w:sz w:val="22"/>
              </w:rPr>
              <w:t>New</w:t>
            </w:r>
            <w:r>
              <w:rPr>
                <w:spacing w:val="-2"/>
                <w:sz w:val="22"/>
              </w:rPr>
              <w:t> document</w:t>
            </w:r>
          </w:p>
        </w:tc>
      </w:tr>
      <w:tr>
        <w:trPr>
          <w:trHeight w:val="1041" w:hRule="atLeast"/>
        </w:trPr>
        <w:tc>
          <w:tcPr>
            <w:tcW w:w="3446" w:type="dxa"/>
          </w:tcPr>
          <w:p>
            <w:pPr>
              <w:pStyle w:val="TableParagraph"/>
              <w:spacing w:line="230" w:lineRule="auto" w:before="32"/>
              <w:ind w:left="105"/>
              <w:rPr>
                <w:sz w:val="22"/>
              </w:rPr>
            </w:pPr>
            <w:r>
              <w:rPr>
                <w:sz w:val="22"/>
              </w:rPr>
              <w:t>Added reference to CS_OD_BS0225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(Approaches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to QC: Appendix A – QC of the </w:t>
            </w:r>
            <w:r>
              <w:rPr>
                <w:spacing w:val="-2"/>
                <w:sz w:val="22"/>
              </w:rPr>
              <w:t>Protocol)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6.3</w:t>
            </w:r>
          </w:p>
        </w:tc>
        <w:tc>
          <w:tcPr>
            <w:tcW w:w="3297" w:type="dxa"/>
          </w:tcPr>
          <w:p>
            <w:pPr>
              <w:pStyle w:val="TableParagraph"/>
              <w:spacing w:line="232" w:lineRule="auto" w:before="30"/>
              <w:ind w:left="106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used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internal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protocol review process</w:t>
            </w:r>
          </w:p>
        </w:tc>
      </w:tr>
      <w:tr>
        <w:trPr>
          <w:trHeight w:val="561" w:hRule="atLeast"/>
        </w:trPr>
        <w:tc>
          <w:tcPr>
            <w:tcW w:w="3446" w:type="dxa"/>
          </w:tcPr>
          <w:p>
            <w:pPr>
              <w:pStyle w:val="TableParagraph"/>
              <w:spacing w:line="228" w:lineRule="auto" w:before="34"/>
              <w:ind w:left="105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reference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ICH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E6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list of external references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w w:val="100"/>
                <w:sz w:val="22"/>
              </w:rPr>
              <w:t>7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ind w:left="106"/>
              <w:rPr>
                <w:sz w:val="22"/>
              </w:rPr>
            </w:pPr>
            <w:r>
              <w:rPr>
                <w:sz w:val="22"/>
              </w:rPr>
              <w:t>Mentioned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Section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6.1.1</w:t>
            </w:r>
          </w:p>
        </w:tc>
      </w:tr>
      <w:tr>
        <w:trPr>
          <w:trHeight w:val="1276" w:hRule="atLeast"/>
        </w:trPr>
        <w:tc>
          <w:tcPr>
            <w:tcW w:w="3446" w:type="dxa"/>
          </w:tcPr>
          <w:p>
            <w:pPr>
              <w:pStyle w:val="TableParagraph"/>
              <w:spacing w:line="228" w:lineRule="auto" w:before="34"/>
              <w:ind w:left="105" w:right="476"/>
              <w:jc w:val="both"/>
              <w:rPr>
                <w:sz w:val="22"/>
              </w:rPr>
            </w:pPr>
            <w:r>
              <w:rPr>
                <w:sz w:val="22"/>
              </w:rPr>
              <w:t>Deleted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Section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Working with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(if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IQVIA writes the protocol)</w:t>
            </w:r>
          </w:p>
        </w:tc>
        <w:tc>
          <w:tcPr>
            <w:tcW w:w="3297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6.5</w:t>
            </w:r>
          </w:p>
        </w:tc>
        <w:tc>
          <w:tcPr>
            <w:tcW w:w="3297" w:type="dxa"/>
          </w:tcPr>
          <w:p>
            <w:pPr>
              <w:pStyle w:val="TableParagraph"/>
              <w:spacing w:line="228" w:lineRule="auto" w:before="34"/>
              <w:ind w:left="106" w:right="179"/>
              <w:rPr>
                <w:sz w:val="22"/>
              </w:rPr>
            </w:pPr>
            <w:r>
              <w:rPr>
                <w:sz w:val="22"/>
              </w:rPr>
              <w:t>CS_WI_MW006 and CS_WI_MW0236 already references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sections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6.2.1 and 6.3.1, and contain all required information.</w:t>
            </w:r>
          </w:p>
        </w:tc>
      </w:tr>
    </w:tbl>
    <w:p>
      <w:pPr>
        <w:spacing w:after="0" w:line="228" w:lineRule="auto"/>
        <w:rPr>
          <w:sz w:val="22"/>
        </w:rPr>
        <w:sectPr>
          <w:pgSz w:w="12240" w:h="15840"/>
          <w:pgMar w:header="725" w:footer="1064" w:top="2520" w:bottom="1340" w:left="880" w:right="880"/>
        </w:sect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6"/>
        <w:rPr>
          <w:b/>
          <w:sz w:val="16"/>
        </w:rPr>
      </w:pPr>
    </w:p>
    <w:p>
      <w:pPr>
        <w:pStyle w:val="ListParagraph"/>
        <w:numPr>
          <w:ilvl w:val="0"/>
          <w:numId w:val="1"/>
        </w:numPr>
        <w:tabs>
          <w:tab w:pos="1279" w:val="left" w:leader="none"/>
          <w:tab w:pos="1280" w:val="left" w:leader="none"/>
        </w:tabs>
        <w:spacing w:line="240" w:lineRule="auto" w:before="94" w:after="0"/>
        <w:ind w:left="1280" w:right="0" w:hanging="720"/>
        <w:jc w:val="left"/>
        <w:rPr>
          <w:b/>
          <w:sz w:val="22"/>
        </w:rPr>
      </w:pPr>
      <w:bookmarkStart w:name="APPENDICES" w:id="11"/>
      <w:bookmarkEnd w:id="11"/>
      <w:r>
        <w:rPr>
          <w:b/>
          <w:spacing w:val="-2"/>
          <w:sz w:val="22"/>
        </w:rPr>
        <w:t>APPENDICES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823" w:val="left" w:leader="none"/>
        </w:tabs>
        <w:spacing w:line="240" w:lineRule="auto" w:before="0" w:after="0"/>
        <w:ind w:left="1822" w:right="0" w:hanging="543"/>
        <w:jc w:val="left"/>
        <w:rPr>
          <w:b/>
          <w:sz w:val="22"/>
        </w:rPr>
      </w:pPr>
      <w:r>
        <w:rPr>
          <w:b/>
          <w:sz w:val="22"/>
        </w:rPr>
        <w:t>Appendix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6"/>
          <w:sz w:val="22"/>
        </w:rPr>
        <w:t> </w:t>
      </w:r>
      <w:r>
        <w:rPr>
          <w:b/>
          <w:sz w:val="22"/>
        </w:rPr>
        <w:t>Protocol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Input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Workflow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header="725" w:footer="1064" w:top="2520" w:bottom="1340" w:left="880" w:right="88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spacing w:before="94"/>
        <w:ind w:left="560" w:right="0" w:firstLine="0"/>
        <w:jc w:val="left"/>
        <w:rPr>
          <w:b/>
          <w:sz w:val="22"/>
        </w:rPr>
      </w:pPr>
      <w:r>
        <w:rPr>
          <w:b/>
          <w:sz w:val="22"/>
        </w:rPr>
        <w:t>Appendix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0"/>
          <w:sz w:val="22"/>
        </w:rPr>
        <w:t> </w:t>
      </w:r>
      <w:r>
        <w:rPr>
          <w:b/>
          <w:sz w:val="22"/>
        </w:rPr>
        <w:t>Protocol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Input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Workflow</w:t>
      </w:r>
    </w:p>
    <w:p>
      <w:pPr>
        <w:pStyle w:val="BodyText"/>
        <w:spacing w:before="8"/>
        <w:rPr>
          <w:b/>
          <w:sz w:val="8"/>
        </w:rPr>
      </w:pPr>
      <w:r>
        <w:rPr/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"/>
        <w:rPr>
          <w:b/>
          <w:sz w:val="17"/>
        </w:rPr>
      </w:pPr>
      <w:r>
        <w:rPr/>
      </w:r>
    </w:p>
    <w:p>
      <w:pPr>
        <w:spacing w:line="183" w:lineRule="exact" w:before="22"/>
        <w:ind w:left="4832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8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8</w:t>
      </w:r>
    </w:p>
    <w:p>
      <w:pPr>
        <w:spacing w:line="240" w:lineRule="auto" w:before="0"/>
        <w:ind w:left="559" w:right="589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4"/>
          <w:sz w:val="16"/>
        </w:rPr>
        <w:t> </w:t>
      </w:r>
      <w:r>
        <w:rPr>
          <w:sz w:val="16"/>
        </w:rPr>
        <w:t>1999,</w:t>
      </w:r>
      <w:r>
        <w:rPr>
          <w:spacing w:val="-2"/>
          <w:sz w:val="16"/>
        </w:rPr>
        <w:t> </w:t>
      </w:r>
      <w:r>
        <w:rPr>
          <w:sz w:val="16"/>
        </w:rPr>
        <w:t>2000,</w:t>
      </w:r>
      <w:r>
        <w:rPr>
          <w:spacing w:val="-2"/>
          <w:sz w:val="16"/>
        </w:rPr>
        <w:t> </w:t>
      </w:r>
      <w:r>
        <w:rPr>
          <w:sz w:val="16"/>
        </w:rPr>
        <w:t>2003,</w:t>
      </w:r>
      <w:r>
        <w:rPr>
          <w:spacing w:val="-2"/>
          <w:sz w:val="16"/>
        </w:rPr>
        <w:t> </w:t>
      </w:r>
      <w:r>
        <w:rPr>
          <w:sz w:val="16"/>
        </w:rPr>
        <w:t>2006,</w:t>
      </w:r>
      <w:r>
        <w:rPr>
          <w:spacing w:val="-2"/>
          <w:sz w:val="16"/>
        </w:rPr>
        <w:t> </w:t>
      </w:r>
      <w:r>
        <w:rPr>
          <w:sz w:val="16"/>
        </w:rPr>
        <w:t>2008,</w:t>
      </w:r>
      <w:r>
        <w:rPr>
          <w:spacing w:val="-2"/>
          <w:sz w:val="16"/>
        </w:rPr>
        <w:t> </w:t>
      </w:r>
      <w:r>
        <w:rPr>
          <w:sz w:val="16"/>
        </w:rPr>
        <w:t>2010,</w:t>
      </w:r>
      <w:r>
        <w:rPr>
          <w:spacing w:val="-2"/>
          <w:sz w:val="16"/>
        </w:rPr>
        <w:t> </w:t>
      </w:r>
      <w:r>
        <w:rPr>
          <w:sz w:val="16"/>
        </w:rPr>
        <w:t>2011,</w:t>
      </w:r>
      <w:r>
        <w:rPr>
          <w:spacing w:val="-2"/>
          <w:sz w:val="16"/>
        </w:rPr>
        <w:t> </w:t>
      </w:r>
      <w:r>
        <w:rPr>
          <w:sz w:val="16"/>
        </w:rPr>
        <w:t>2013,</w:t>
      </w:r>
      <w:r>
        <w:rPr>
          <w:spacing w:val="-2"/>
          <w:sz w:val="16"/>
        </w:rPr>
        <w:t> </w:t>
      </w:r>
      <w:r>
        <w:rPr>
          <w:sz w:val="16"/>
        </w:rPr>
        <w:t>2015,</w:t>
      </w:r>
      <w:r>
        <w:rPr>
          <w:spacing w:val="-2"/>
          <w:sz w:val="16"/>
        </w:rPr>
        <w:t> </w:t>
      </w:r>
      <w:r>
        <w:rPr>
          <w:sz w:val="16"/>
        </w:rPr>
        <w:t>2017,</w:t>
      </w:r>
      <w:r>
        <w:rPr>
          <w:spacing w:val="-1"/>
          <w:sz w:val="16"/>
        </w:rPr>
        <w:t> </w:t>
      </w:r>
      <w:r>
        <w:rPr>
          <w:sz w:val="16"/>
        </w:rPr>
        <w:t>2019,</w:t>
      </w:r>
      <w:r>
        <w:rPr>
          <w:spacing w:val="-2"/>
          <w:sz w:val="16"/>
        </w:rPr>
        <w:t> </w:t>
      </w:r>
      <w:r>
        <w:rPr>
          <w:sz w:val="16"/>
        </w:rPr>
        <w:t>2022</w:t>
      </w:r>
      <w:r>
        <w:rPr>
          <w:spacing w:val="-2"/>
          <w:sz w:val="16"/>
        </w:rPr>
        <w:t> </w:t>
      </w:r>
      <w:r>
        <w:rPr>
          <w:sz w:val="16"/>
        </w:rPr>
        <w:t>IQVIA.</w:t>
      </w:r>
      <w:r>
        <w:rPr>
          <w:spacing w:val="39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2"/>
          <w:sz w:val="16"/>
        </w:rPr>
        <w:t> </w:t>
      </w:r>
      <w:r>
        <w:rPr>
          <w:sz w:val="16"/>
        </w:rPr>
        <w:t>of this document are confidential and proprietary to IQVIA Holdings Inc. and its subsidiaries.</w:t>
      </w:r>
      <w:r>
        <w:rPr>
          <w:spacing w:val="40"/>
          <w:sz w:val="16"/>
        </w:rPr>
        <w:t> </w:t>
      </w:r>
      <w:r>
        <w:rPr>
          <w:sz w:val="16"/>
        </w:rPr>
        <w:t>Unauthorized use, disclosure or reproduction is strictly prohibited.</w:t>
      </w:r>
    </w:p>
    <w:p>
      <w:pPr>
        <w:spacing w:after="0" w:line="240" w:lineRule="auto"/>
        <w:jc w:val="left"/>
        <w:rPr>
          <w:sz w:val="16"/>
        </w:rPr>
        <w:sectPr>
          <w:headerReference w:type="default" r:id="rId18"/>
          <w:footerReference w:type="default" r:id="rId19"/>
          <w:pgSz w:w="12240" w:h="15840"/>
          <w:pgMar w:header="725" w:footer="268" w:top="2520" w:bottom="460" w:left="880" w:right="880"/>
        </w:sectPr>
      </w:pPr>
    </w:p>
    <w:p>
      <w:pPr>
        <w:spacing w:line="321" w:lineRule="exact" w:before="79"/>
        <w:ind w:left="628" w:right="598" w:firstLine="0"/>
        <w:jc w:val="center"/>
        <w:rPr>
          <w:sz w:val="28"/>
        </w:rPr>
      </w:pPr>
      <w:r>
        <w:rPr/>
      </w:r>
      <w:bookmarkStart w:name="265862612_1_0_sgTemplateFile.pdf" w:id="12"/>
      <w:bookmarkEnd w:id="12"/>
      <w:r>
        <w:rPr/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628" w:right="628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628" w:right="627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510" w:right="628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760" w:right="585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Willmott,</w:t>
      </w:r>
      <w:r>
        <w:rPr>
          <w:spacing w:val="-10"/>
          <w:sz w:val="20"/>
        </w:rPr>
        <w:t> </w:t>
      </w:r>
      <w:r>
        <w:rPr>
          <w:sz w:val="20"/>
        </w:rPr>
        <w:t>Corinne</w:t>
      </w:r>
      <w:r>
        <w:rPr>
          <w:spacing w:val="36"/>
          <w:sz w:val="20"/>
        </w:rPr>
        <w:t> </w:t>
      </w:r>
      <w:r>
        <w:rPr>
          <w:sz w:val="20"/>
        </w:rPr>
        <w:t>(q778849)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60" w:right="360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09</w:t>
      </w:r>
      <w:r>
        <w:rPr>
          <w:spacing w:val="-5"/>
          <w:sz w:val="20"/>
        </w:rPr>
        <w:t> </w:t>
      </w:r>
      <w:r>
        <w:rPr>
          <w:sz w:val="20"/>
        </w:rPr>
        <w:t>February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11:30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81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60" w:right="585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Bickford,</w:t>
      </w:r>
      <w:r>
        <w:rPr>
          <w:spacing w:val="-10"/>
          <w:sz w:val="20"/>
        </w:rPr>
        <w:t> </w:t>
      </w:r>
      <w:r>
        <w:rPr>
          <w:sz w:val="20"/>
        </w:rPr>
        <w:t>Emma</w:t>
      </w:r>
      <w:r>
        <w:rPr>
          <w:spacing w:val="36"/>
          <w:sz w:val="20"/>
        </w:rPr>
        <w:t> </w:t>
      </w:r>
      <w:r>
        <w:rPr>
          <w:sz w:val="20"/>
        </w:rPr>
        <w:t>(q637065)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60" w:right="360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10</w:t>
      </w:r>
      <w:r>
        <w:rPr>
          <w:spacing w:val="-5"/>
          <w:sz w:val="20"/>
        </w:rPr>
        <w:t> </w:t>
      </w:r>
      <w:r>
        <w:rPr>
          <w:sz w:val="20"/>
        </w:rPr>
        <w:t>February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04:08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81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21"/>
      <w:footerReference w:type="default" r:id="rId22"/>
      <w:pgSz w:w="12240" w:h="15840"/>
      <w:pgMar w:header="0" w:footer="268" w:top="1360" w:bottom="460" w:left="880" w:right="8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5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22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585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47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1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273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835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39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960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22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585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47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1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273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835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39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960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9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9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9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9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9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9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47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5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35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1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9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69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4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2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03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2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822" w:hanging="543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2720" w:hanging="720"/>
        <w:jc w:val="left"/>
      </w:pPr>
      <w:rPr>
        <w:rFonts w:hint="default" w:ascii="Arial" w:hAnsi="Arial" w:eastAsia="Arial" w:cs="Arial"/>
        <w:b/>
        <w:bCs/>
        <w:i w:val="0"/>
        <w:iCs w:val="0"/>
        <w:w w:val="100"/>
        <w:sz w:val="22"/>
        <w:szCs w:val="22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690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60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30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00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70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40" w:hanging="720"/>
      </w:pPr>
      <w:rPr>
        <w:rFonts w:hint="default"/>
        <w:lang w:val="en-US" w:eastAsia="en-US" w:bidi="ar-SA"/>
      </w:rPr>
    </w:lvl>
  </w:abstract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28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28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09"/>
    </w:pPr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yperlink" Target="https://elvis.quintiles.com/livelink/llisapi.dll/open/CS_FM_BS007" TargetMode="External"/><Relationship Id="rId10" Type="http://schemas.openxmlformats.org/officeDocument/2006/relationships/hyperlink" Target="https://elvis.quintiles.com/livelink/llisapi.dll/open/CS_FM_MW007" TargetMode="External"/><Relationship Id="rId11" Type="http://schemas.openxmlformats.org/officeDocument/2006/relationships/hyperlink" Target="https://elvis.quintiles.com/livelink/llisapi.dll/open/CS_WI_BS015" TargetMode="External"/><Relationship Id="rId12" Type="http://schemas.openxmlformats.org/officeDocument/2006/relationships/hyperlink" Target="https://elvis.quintiles.com/livelink/llisapi.dll/open/CS_WI_MW006" TargetMode="External"/><Relationship Id="rId13" Type="http://schemas.openxmlformats.org/officeDocument/2006/relationships/hyperlink" Target="https://elvis.quintiles.com/livelink/llisapi.dll/open/CS_WI_MW0236" TargetMode="External"/><Relationship Id="rId14" Type="http://schemas.openxmlformats.org/officeDocument/2006/relationships/hyperlink" Target="https://elvis.quintiles.com/livelink/llisapi.dll/open/CS_OP_TMF0007" TargetMode="External"/><Relationship Id="rId15" Type="http://schemas.openxmlformats.org/officeDocument/2006/relationships/hyperlink" Target="https://elvis.quintiles.com/livelink/llisapi.dll/open/CS_WI_BS0237" TargetMode="External"/><Relationship Id="rId16" Type="http://schemas.openxmlformats.org/officeDocument/2006/relationships/hyperlink" Target="https://elvis.quintiles.com/livelink/llisapi.dll/open/PI_WI_PK0210" TargetMode="External"/><Relationship Id="rId17" Type="http://schemas.openxmlformats.org/officeDocument/2006/relationships/hyperlink" Target="https://elvis.quintiles.com/livelink/llisapi.dll/open/CS_OD_BS0225" TargetMode="External"/><Relationship Id="rId18" Type="http://schemas.openxmlformats.org/officeDocument/2006/relationships/header" Target="header2.xml"/><Relationship Id="rId19" Type="http://schemas.openxmlformats.org/officeDocument/2006/relationships/footer" Target="footer3.xml"/><Relationship Id="rId20" Type="http://schemas.openxmlformats.org/officeDocument/2006/relationships/image" Target="media/image2.png"/><Relationship Id="rId21" Type="http://schemas.openxmlformats.org/officeDocument/2006/relationships/header" Target="header3.xml"/><Relationship Id="rId22" Type="http://schemas.openxmlformats.org/officeDocument/2006/relationships/footer" Target="footer4.xml"/><Relationship Id="rId23" Type="http://schemas.openxmlformats.org/officeDocument/2006/relationships/image" Target="media/image3.png"/><Relationship Id="rId24" Type="http://schemas.openxmlformats.org/officeDocument/2006/relationships/numbering" Target="numbering.xml"/><Relationship Id="rId25" Type="http://schemas.openxmlformats.org/officeDocument/2006/relationships/header" Target="header4.xml"/><Relationship Id="rId26" Type="http://schemas.openxmlformats.org/officeDocument/2006/relationships/header" Target="header5.xml"/><Relationship Id="rId27" Type="http://schemas.openxmlformats.org/officeDocument/2006/relationships/header" Target="header6.xml"/><Relationship Id="rId28" Type="http://schemas.openxmlformats.org/officeDocument/2006/relationships/footer" Target="footer5.xml"/><Relationship Id="rId29" Type="http://schemas.openxmlformats.org/officeDocument/2006/relationships/footer" Target="footer6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:title>265862612_1_0_sgMainFile.pdf</dc:title>
  <dcterms:created xsi:type="dcterms:W3CDTF">2023-04-11T15:30:41Z</dcterms:created>
  <dcterms:modified xsi:type="dcterms:W3CDTF">2023-04-11T15:30:41Z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5.3.2 Windows Nov 12 2015 Library 10.1.0</vt:lpwstr>
  </property>
  <property fmtid="{D5CDD505-2E9C-101B-9397-08002B2CF9AE}" pid="3" name="Created">
    <vt:filetime>2022-02-09T00:00:00Z</vt:filetime>
  </property>
  <property fmtid="{D5CDD505-2E9C-101B-9397-08002B2CF9AE}" pid="4" name="Creator">
    <vt:lpwstr>Appligent StampPDF Batch 5.3.2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