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ind w:left="1288" w:right="308" w:hanging="34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Handling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Data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Transfers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CS_WI_BS020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Ian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Sanderson</w:t>
            </w:r>
          </w:p>
        </w:tc>
      </w:tr>
    </w:tbl>
    <w:p>
      <w:pPr>
        <w:pStyle w:val="BodyText"/>
        <w:spacing w:before="2"/>
        <w:rPr>
          <w:rFonts w:ascii="Times New Roman"/>
          <w:sz w:val="15"/>
        </w:rPr>
      </w:pPr>
    </w:p>
    <w:p>
      <w:pPr>
        <w:pStyle w:val="Heading1"/>
        <w:numPr>
          <w:ilvl w:val="1"/>
          <w:numId w:val="1"/>
        </w:numPr>
        <w:tabs>
          <w:tab w:pos="1082" w:val="left" w:leader="none"/>
          <w:tab w:pos="1083" w:val="left" w:leader="none"/>
        </w:tabs>
        <w:spacing w:line="240" w:lineRule="auto" w:before="94" w:after="0"/>
        <w:ind w:left="1082" w:right="0" w:hanging="543"/>
        <w:jc w:val="left"/>
      </w:pPr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1672" w:val="left" w:leader="none"/>
          <w:tab w:pos="1673" w:val="left" w:leader="none"/>
        </w:tabs>
        <w:spacing w:line="240" w:lineRule="auto" w:before="1" w:after="0"/>
        <w:ind w:left="1672" w:right="1215" w:hanging="591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transfers</w:t>
      </w:r>
      <w:r>
        <w:rPr>
          <w:spacing w:val="-3"/>
          <w:sz w:val="22"/>
        </w:rPr>
        <w:t> </w:t>
      </w:r>
      <w:r>
        <w:rPr>
          <w:sz w:val="22"/>
        </w:rPr>
        <w:t>received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sent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Biostatistics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 project-specific Biostatistics Data Transfer Guidelines (DTG).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numPr>
          <w:ilvl w:val="1"/>
          <w:numId w:val="2"/>
        </w:numPr>
        <w:tabs>
          <w:tab w:pos="1082" w:val="left" w:leader="none"/>
          <w:tab w:pos="1083" w:val="left" w:leader="none"/>
        </w:tabs>
        <w:spacing w:line="240" w:lineRule="auto" w:before="1" w:after="0"/>
        <w:ind w:left="1082" w:right="0" w:hanging="543"/>
        <w:jc w:val="left"/>
      </w:pPr>
      <w:r>
        <w:rPr>
          <w:spacing w:val="-2"/>
        </w:rPr>
        <w:t>SCOPE</w:t>
      </w:r>
    </w:p>
    <w:p>
      <w:pPr>
        <w:pStyle w:val="ListParagraph"/>
        <w:numPr>
          <w:ilvl w:val="1"/>
          <w:numId w:val="2"/>
        </w:numPr>
        <w:tabs>
          <w:tab w:pos="1672" w:val="left" w:leader="none"/>
          <w:tab w:pos="1673" w:val="left" w:leader="none"/>
        </w:tabs>
        <w:spacing w:line="240" w:lineRule="auto" w:before="6" w:after="0"/>
        <w:ind w:left="1672" w:right="0" w:hanging="591"/>
        <w:jc w:val="left"/>
        <w:rPr>
          <w:sz w:val="22"/>
        </w:rPr>
      </w:pPr>
      <w:bookmarkStart w:name="ROLES AND RESPONSIBILITIES" w:id="1"/>
      <w:bookmarkEnd w:id="1"/>
      <w:r>
        <w:rPr>
          <w:sz w:val="22"/>
        </w:rPr>
        <w:t>Applie</w:t>
      </w:r>
      <w:r>
        <w:rPr>
          <w:sz w:val="22"/>
        </w:rPr>
        <w:t>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projects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IQVIA</w:t>
      </w:r>
      <w:r>
        <w:rPr>
          <w:spacing w:val="-8"/>
          <w:sz w:val="22"/>
        </w:rPr>
        <w:t> </w:t>
      </w:r>
      <w:r>
        <w:rPr>
          <w:sz w:val="22"/>
        </w:rPr>
        <w:t>Biostatistics</w:t>
      </w:r>
      <w:r>
        <w:rPr>
          <w:spacing w:val="-6"/>
          <w:sz w:val="22"/>
        </w:rPr>
        <w:t> </w:t>
      </w:r>
      <w:r>
        <w:rPr>
          <w:sz w:val="22"/>
        </w:rPr>
        <w:t>sends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receives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(PTL)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6.1, 6.2,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(QC)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</w:tbl>
    <w:p>
      <w:pPr>
        <w:pStyle w:val="BodyText"/>
        <w:spacing w:before="4"/>
        <w:rPr>
          <w:sz w:val="32"/>
        </w:rPr>
      </w:pPr>
    </w:p>
    <w:p>
      <w:pPr>
        <w:pStyle w:val="BodyText"/>
        <w:ind w:left="1260" w:right="1019"/>
      </w:pPr>
      <w:r>
        <w:rPr/>
        <w:t>The</w:t>
      </w:r>
      <w:r>
        <w:rPr>
          <w:spacing w:val="-5"/>
        </w:rPr>
        <w:t> </w:t>
      </w:r>
      <w:r>
        <w:rPr/>
        <w:t>QC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appropriate reviewer</w:t>
      </w:r>
      <w:r>
        <w:rPr>
          <w:spacing w:val="-4"/>
        </w:rPr>
        <w:t> </w:t>
      </w:r>
      <w:r>
        <w:rPr/>
        <w:t>(statistician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programmer)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 necessary QC knowledge.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DEFINITIONS" w:id="2"/>
      <w:bookmarkEnd w:id="2"/>
      <w:r>
        <w:rPr>
          <w:spacing w:val="-2"/>
        </w:rPr>
        <w:t>DEFINITIONS</w:t>
      </w:r>
    </w:p>
    <w:p>
      <w:pPr>
        <w:pStyle w:val="BodyText"/>
        <w:spacing w:before="127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MATERIAL AND EQUIPMENT" w:id="3"/>
      <w:bookmarkEnd w:id="3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7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PROCEDURE" w:id="4"/>
      <w:bookmarkEnd w:id="4"/>
      <w:r>
        <w:rPr>
          <w:spacing w:val="-2"/>
        </w:rPr>
        <w:t>PROCEDURE</w:t>
      </w:r>
    </w:p>
    <w:p>
      <w:pPr>
        <w:pStyle w:val="BodyText"/>
        <w:spacing w:before="6"/>
        <w:ind w:left="1259"/>
      </w:pPr>
      <w:r>
        <w:rPr/>
        <w:t>This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summarizes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transfers:</w:t>
      </w:r>
    </w:p>
    <w:p>
      <w:pPr>
        <w:pStyle w:val="ListParagraph"/>
        <w:numPr>
          <w:ilvl w:val="0"/>
          <w:numId w:val="4"/>
        </w:numPr>
        <w:tabs>
          <w:tab w:pos="1979" w:val="left" w:leader="none"/>
          <w:tab w:pos="1980" w:val="left" w:leader="none"/>
        </w:tabs>
        <w:spacing w:line="269" w:lineRule="exact" w:before="1" w:after="0"/>
        <w:ind w:left="1980" w:right="0" w:hanging="361"/>
        <w:jc w:val="left"/>
        <w:rPr>
          <w:sz w:val="22"/>
        </w:rPr>
      </w:pPr>
      <w:r>
        <w:rPr>
          <w:sz w:val="22"/>
        </w:rPr>
        <w:t>Transfers</w:t>
      </w:r>
      <w:r>
        <w:rPr>
          <w:spacing w:val="-6"/>
          <w:sz w:val="22"/>
        </w:rPr>
        <w:t> </w:t>
      </w:r>
      <w:r>
        <w:rPr>
          <w:sz w:val="22"/>
        </w:rPr>
        <w:t>received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Biostatistics</w:t>
      </w:r>
    </w:p>
    <w:p>
      <w:pPr>
        <w:pStyle w:val="ListParagraph"/>
        <w:numPr>
          <w:ilvl w:val="1"/>
          <w:numId w:val="4"/>
        </w:numPr>
        <w:tabs>
          <w:tab w:pos="2249" w:val="left" w:leader="none"/>
        </w:tabs>
        <w:spacing w:line="261" w:lineRule="exact" w:before="0" w:after="0"/>
        <w:ind w:left="2248" w:right="0" w:hanging="270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IQVIA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(DM)</w:t>
      </w:r>
    </w:p>
    <w:p>
      <w:pPr>
        <w:pStyle w:val="ListParagraph"/>
        <w:numPr>
          <w:ilvl w:val="1"/>
          <w:numId w:val="4"/>
        </w:numPr>
        <w:tabs>
          <w:tab w:pos="2249" w:val="left" w:leader="none"/>
        </w:tabs>
        <w:spacing w:line="252" w:lineRule="exact" w:before="0" w:after="0"/>
        <w:ind w:left="2248" w:right="0" w:hanging="270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external/internal</w:t>
      </w:r>
      <w:r>
        <w:rPr>
          <w:spacing w:val="-6"/>
          <w:sz w:val="22"/>
        </w:rPr>
        <w:t> </w:t>
      </w:r>
      <w:r>
        <w:rPr>
          <w:sz w:val="22"/>
        </w:rPr>
        <w:t>vendor,</w:t>
      </w:r>
      <w:r>
        <w:rPr>
          <w:spacing w:val="-6"/>
          <w:sz w:val="22"/>
        </w:rPr>
        <w:t> </w:t>
      </w:r>
      <w:r>
        <w:rPr>
          <w:sz w:val="22"/>
        </w:rPr>
        <w:t>customer,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sources</w:t>
      </w:r>
    </w:p>
    <w:p>
      <w:pPr>
        <w:pStyle w:val="ListParagraph"/>
        <w:numPr>
          <w:ilvl w:val="0"/>
          <w:numId w:val="4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1216" w:hanging="360"/>
        <w:jc w:val="left"/>
        <w:rPr>
          <w:sz w:val="22"/>
        </w:rPr>
      </w:pPr>
      <w:r>
        <w:rPr>
          <w:sz w:val="22"/>
        </w:rPr>
        <w:t>Transfers</w:t>
      </w:r>
      <w:r>
        <w:rPr>
          <w:spacing w:val="-3"/>
          <w:sz w:val="22"/>
        </w:rPr>
        <w:t> </w:t>
      </w:r>
      <w:r>
        <w:rPr>
          <w:sz w:val="22"/>
        </w:rPr>
        <w:t>sent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Biostatistics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external/internal</w:t>
      </w:r>
      <w:r>
        <w:rPr>
          <w:spacing w:val="-4"/>
          <w:sz w:val="22"/>
        </w:rPr>
        <w:t> </w:t>
      </w:r>
      <w:r>
        <w:rPr>
          <w:sz w:val="22"/>
        </w:rPr>
        <w:t>vendor,</w:t>
      </w:r>
      <w:r>
        <w:rPr>
          <w:spacing w:val="-4"/>
          <w:sz w:val="22"/>
        </w:rPr>
        <w:t> </w:t>
      </w:r>
      <w:r>
        <w:rPr>
          <w:sz w:val="22"/>
        </w:rPr>
        <w:t>customer,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other </w:t>
      </w:r>
      <w:r>
        <w:rPr>
          <w:spacing w:val="-2"/>
          <w:sz w:val="22"/>
        </w:rPr>
        <w:t>recipient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44" w:lineRule="auto" w:before="1"/>
        <w:ind w:left="1250" w:right="1019" w:hanging="711"/>
      </w:pPr>
      <w:r>
        <w:rPr>
          <w:b/>
        </w:rPr>
        <w:t>Note: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treated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test </w:t>
      </w:r>
      <w:bookmarkStart w:name="Handling Data Transfers Received from IQ" w:id="5"/>
      <w:bookmarkEnd w:id="5"/>
      <w:r>
        <w:rPr/>
        <w:t>transfer</w:t>
      </w:r>
      <w:r>
        <w:rPr/>
        <w:t> for the purposes of the requirements to be met prior to the test transfer.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1"/>
          <w:numId w:val="5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r>
        <w:rPr/>
        <w:t>Handling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Transfers</w:t>
      </w:r>
      <w:r>
        <w:rPr>
          <w:spacing w:val="-5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IQVIA</w:t>
      </w:r>
      <w:r>
        <w:rPr>
          <w:spacing w:val="-15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before="122"/>
        <w:ind w:left="1260" w:right="1019"/>
      </w:pPr>
      <w:r>
        <w:rPr/>
        <w:t>This section describes the process related to data transfers provided to Biostatistics through</w:t>
      </w:r>
      <w:r>
        <w:rPr>
          <w:spacing w:val="-3"/>
        </w:rPr>
        <w:t> </w:t>
      </w:r>
      <w:r>
        <w:rPr/>
        <w:t>IQVIA</w:t>
      </w:r>
      <w:r>
        <w:rPr>
          <w:spacing w:val="-3"/>
        </w:rPr>
        <w:t> </w:t>
      </w:r>
      <w:r>
        <w:rPr/>
        <w:t>DM,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originated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vendor</w:t>
      </w:r>
      <w:r>
        <w:rPr>
          <w:spacing w:val="-6"/>
        </w:rPr>
        <w:t> </w:t>
      </w:r>
      <w:r>
        <w:rPr/>
        <w:t>or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IQVIA function and is processed through IQVIA DM.</w:t>
      </w:r>
    </w:p>
    <w:p>
      <w:pPr>
        <w:spacing w:after="0"/>
        <w:sectPr>
          <w:footerReference w:type="default" r:id="rId5"/>
          <w:headerReference w:type="default" r:id="rId34"/>
          <w:headerReference w:type="first" r:id="rId35"/>
          <w:headerReference w:type="even" r:id="rId36"/>
          <w:footerReference w:type="first" r:id="rId37"/>
          <w:footerReference w:type="even" r:id="rId38"/>
          <w:type w:val="continuous"/>
          <w:pgSz w:w="12240" w:h="15840"/>
          <w:pgMar w:footer="1084" w:header="0" w:top="700" w:bottom="1280" w:left="900" w:right="40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4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6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Reviews and authorizes the IQVIA DM-generated Data Transfer Guidelines (DTG) and reviews the IQVIA DM-generated Data Transfer Specifications or equivalent (if available) along with 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Authorization of Data Management Plan Documents (CS_WI_BS008) and Data Transfer (CS_WI_DM0412). The annotated case report form (CRF) (e.g., Annotated Study Book, Annotated Trial Design) and/or Non-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CRF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utilized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facilitate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 transfer 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Upon receipt of </w:t>
            </w:r>
            <w:r>
              <w:rPr>
                <w:spacing w:val="-2"/>
                <w:sz w:val="20"/>
              </w:rPr>
              <w:t>guidelines/ </w:t>
            </w:r>
            <w:r>
              <w:rPr>
                <w:sz w:val="20"/>
              </w:rPr>
              <w:t>specifications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38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Stores data in the \Data folder within the Biostatistics Directory Structure, under the sub folder: \CDM_Data or one of the other relevant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folders.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write-access to this area of the project directory to prevent unintended </w:t>
            </w:r>
            <w:r>
              <w:rPr>
                <w:spacing w:val="-2"/>
                <w:sz w:val="20"/>
              </w:rPr>
              <w:t>modification.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42"/>
              <w:ind w:right="141"/>
              <w:jc w:val="both"/>
              <w:rPr>
                <w:sz w:val="20"/>
              </w:rPr>
            </w:pPr>
            <w:r>
              <w:rPr>
                <w:sz w:val="20"/>
              </w:rPr>
              <w:t>Upon receipt of a 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IQVIA DM</w:t>
            </w:r>
          </w:p>
        </w:tc>
      </w:tr>
      <w:tr>
        <w:trPr>
          <w:trHeight w:val="555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Reviews the test transfer to verify completeness according to Approaches to QC (CS_WI_BS015) and Approaches to QC: Appendix B - QC of Annotated Case Report Form (CRF)/File Creation Specifications (RAW)/Dataset Test Transfer (CS_OD_BS0230), cross-checking a summary of the content and associated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documentation.</w:t>
            </w:r>
          </w:p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subsequent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verifying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Biostatistics validated tool (e.g. DLEC):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2" w:after="0"/>
              <w:ind w:left="469" w:right="493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Completeness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included.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234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observations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increased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stayed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 in the new transfer.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646" w:hanging="360"/>
              <w:jc w:val="left"/>
              <w:rPr>
                <w:sz w:val="20"/>
              </w:rPr>
            </w:pPr>
            <w:r>
              <w:rPr>
                <w:sz w:val="20"/>
              </w:rPr>
              <w:t>Any changes in variable/data formats e.g. character values/variables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changed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numeric.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contain completely different values, etc.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line="244" w:lineRule="auto"/>
              <w:ind w:right="15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exhaustive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tailored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study specific needs and documented as such in the DTG.</w:t>
            </w: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If the transfer is for an interim analysis, it is recommended to compare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Interim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(CS_TP_DM0286)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transfer.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9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99" w:hanging="360"/>
              <w:jc w:val="left"/>
              <w:rPr>
                <w:sz w:val="20"/>
              </w:rPr>
            </w:pPr>
            <w:r>
              <w:rPr>
                <w:sz w:val="20"/>
              </w:rPr>
              <w:t>Confirms receipt of the data transfer via email. This message 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indicate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rejection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following the approach described in Section 6.1.3.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9" w:val="left" w:leader="none"/>
                <w:tab w:pos="470" w:val="left" w:leader="none"/>
              </w:tabs>
              <w:spacing w:line="240" w:lineRule="auto" w:before="1" w:after="0"/>
              <w:ind w:left="469" w:right="124" w:hanging="360"/>
              <w:jc w:val="left"/>
              <w:rPr>
                <w:sz w:val="20"/>
              </w:rPr>
            </w:pPr>
            <w:r>
              <w:rPr>
                <w:sz w:val="20"/>
              </w:rPr>
              <w:t>Tracks acceptance/ rejection of the data transfer using the purpose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built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(CS_TP_BS014).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right="125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data transfer (applicable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both test and </w:t>
            </w:r>
            <w:r>
              <w:rPr>
                <w:spacing w:val="-2"/>
                <w:sz w:val="20"/>
              </w:rPr>
              <w:t>subsequent/ production transfers)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38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 using the Data Issues Log (CS_TP_BS014).</w:t>
            </w: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(CS_TP_BS014)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for</w:t>
            </w:r>
          </w:p>
          <w:p>
            <w:pPr>
              <w:pStyle w:val="TableParagraph"/>
              <w:spacing w:line="230" w:lineRule="atLeast"/>
              <w:ind w:right="159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throughout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study.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 are identified throughout the </w:t>
            </w:r>
            <w:r>
              <w:rPr>
                <w:spacing w:val="-2"/>
                <w:sz w:val="20"/>
              </w:rPr>
              <w:t>study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Heading2"/>
        <w:numPr>
          <w:ilvl w:val="1"/>
          <w:numId w:val="5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79" w:right="1854" w:hanging="720"/>
        <w:jc w:val="left"/>
      </w:pPr>
      <w:bookmarkStart w:name="Handling Data Transfers Received from an" w:id="6"/>
      <w:bookmarkEnd w:id="6"/>
      <w:r>
        <w:rPr/>
        <w:t>Handlin</w:t>
      </w:r>
      <w:r>
        <w:rPr/>
        <w:t>g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Transfers</w:t>
      </w:r>
      <w:r>
        <w:rPr>
          <w:spacing w:val="-5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External/Internal</w:t>
      </w:r>
      <w:r>
        <w:rPr>
          <w:spacing w:val="-8"/>
        </w:rPr>
        <w:t> </w:t>
      </w:r>
      <w:r>
        <w:rPr/>
        <w:t>Vendor, Customer, or Other Sources</w:t>
      </w:r>
    </w:p>
    <w:p>
      <w:pPr>
        <w:pStyle w:val="BodyText"/>
        <w:spacing w:before="123"/>
        <w:ind w:left="1250" w:right="1054"/>
      </w:pPr>
      <w:r>
        <w:rPr/>
        <w:t>This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describes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data</w:t>
      </w:r>
      <w:r>
        <w:rPr>
          <w:spacing w:val="-8"/>
        </w:rPr>
        <w:t> </w:t>
      </w:r>
      <w:r>
        <w:rPr/>
        <w:t>transfers</w:t>
      </w:r>
      <w:r>
        <w:rPr>
          <w:spacing w:val="-5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Biostatistics</w:t>
      </w:r>
      <w:r>
        <w:rPr>
          <w:spacing w:val="-5"/>
        </w:rPr>
        <w:t> </w:t>
      </w:r>
      <w:r>
        <w:rPr/>
        <w:t>from an external/internal vendor (non-IQVIA DM), customer, or other sources. Examples of such transfers include receiving data from an external data management vendor or</w:t>
      </w:r>
      <w:r>
        <w:rPr/>
        <w:t> IQVIA Pharmacokinetics.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9"/>
              <w:rPr>
                <w:sz w:val="20"/>
              </w:rPr>
            </w:pPr>
            <w:r>
              <w:rPr>
                <w:sz w:val="20"/>
              </w:rPr>
              <w:t>Reviews any DTG provided by the external/internal vendor and determines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sufficiently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describes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procedure by comparing to the Biostatistics Data Transfer Guidelines </w:t>
            </w:r>
            <w:r>
              <w:rPr>
                <w:spacing w:val="-2"/>
                <w:sz w:val="20"/>
              </w:rPr>
              <w:t>(CS_TP_BS003).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14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5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deemed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insufficient 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none are provided: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1" w:after="0"/>
              <w:ind w:left="464" w:right="876" w:hanging="360"/>
              <w:jc w:val="left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 Transfer Guidelines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(CS_TP_BS003)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361" w:hanging="360"/>
              <w:jc w:val="left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external/internal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 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clarification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facilitate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18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left="104" w:right="15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completes a Reviewer Feedback Form (CS_FM_BS007) to document review: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185" w:val="left" w:leader="none"/>
              </w:tabs>
              <w:spacing w:line="239" w:lineRule="exact" w:before="1" w:after="0"/>
              <w:ind w:left="11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185" w:val="left" w:leader="none"/>
              </w:tabs>
              <w:spacing w:line="230" w:lineRule="exact" w:before="0" w:after="0"/>
              <w:ind w:left="118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185" w:val="left" w:leader="none"/>
              </w:tabs>
              <w:spacing w:line="223" w:lineRule="auto" w:before="4" w:after="0"/>
              <w:ind w:left="1184" w:right="142" w:hanging="360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(TMF)-Specific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 Quality – Good Documentation Practices</w:t>
            </w:r>
          </w:p>
          <w:p>
            <w:pPr>
              <w:pStyle w:val="TableParagraph"/>
              <w:spacing w:line="211" w:lineRule="exact" w:before="3"/>
              <w:ind w:left="1184"/>
              <w:rPr>
                <w:sz w:val="20"/>
              </w:rPr>
            </w:pPr>
            <w:r>
              <w:rPr>
                <w:spacing w:val="-2"/>
                <w:sz w:val="20"/>
              </w:rPr>
              <w:t>(CS_WI_RM0284)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Before any production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94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75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external/internal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vendor’s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962" w:hanging="360"/>
              <w:jc w:val="left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authorization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external/internal vendor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Before any production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2"/>
              <w:rPr>
                <w:sz w:val="20"/>
              </w:rPr>
            </w:pPr>
            <w:r>
              <w:rPr>
                <w:sz w:val="20"/>
              </w:rPr>
              <w:t>Stores data in the \Data folder within the Biostatistics Directory Structure, under the sub folder: \External or one of the other relevant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folders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by placing it in a suitable subdirectory.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data transfer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auto" w:before="38" w:after="0"/>
              <w:ind w:left="464" w:right="457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approach described in Section 6.1.3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40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transfer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403" w:hanging="360"/>
              <w:jc w:val="left"/>
              <w:rPr>
                <w:sz w:val="20"/>
              </w:rPr>
            </w:pPr>
            <w:r>
              <w:rPr>
                <w:sz w:val="20"/>
              </w:rPr>
              <w:t>Communicates acceptance or rejection to the sender in accordance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documentation.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59" w:top="2520" w:bottom="1320" w:left="900" w:right="4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74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119" w:hanging="360"/>
              <w:jc w:val="left"/>
              <w:rPr>
                <w:sz w:val="20"/>
              </w:rPr>
            </w:pPr>
            <w:r>
              <w:rPr>
                <w:sz w:val="20"/>
              </w:rPr>
              <w:t>Tracks acceptance/rejection of the data transfer using the purpose-built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latest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(CS_TP_BS014).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4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Data Issues Log (CS_TP_BS014).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1"/>
              <w:ind w:left="104" w:right="6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(CS_TP_BS014)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communication and resolution of data issues throughout the life of the study.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 are identified throughout the </w:t>
            </w:r>
            <w:r>
              <w:rPr>
                <w:spacing w:val="-2"/>
                <w:sz w:val="20"/>
              </w:rPr>
              <w:t>study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Heading2"/>
        <w:numPr>
          <w:ilvl w:val="1"/>
          <w:numId w:val="5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Handling Data Transfers Sent by Biostati" w:id="7"/>
      <w:bookmarkEnd w:id="7"/>
      <w:r>
        <w:rPr/>
        <w:t>Handlin</w:t>
      </w:r>
      <w:r>
        <w:rPr/>
        <w:t>g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Transfers</w:t>
      </w:r>
      <w:r>
        <w:rPr>
          <w:spacing w:val="-7"/>
        </w:rPr>
        <w:t> </w:t>
      </w:r>
      <w:r>
        <w:rPr/>
        <w:t>Sent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Biostatistics</w:t>
      </w:r>
    </w:p>
    <w:p>
      <w:pPr>
        <w:spacing w:line="251" w:lineRule="exact" w:before="121"/>
        <w:ind w:left="126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describes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transfers</w:t>
      </w:r>
      <w:r>
        <w:rPr>
          <w:spacing w:val="-3"/>
          <w:sz w:val="22"/>
        </w:rPr>
        <w:t> </w:t>
      </w:r>
      <w:r>
        <w:rPr>
          <w:b/>
          <w:sz w:val="22"/>
        </w:rPr>
        <w:t>sent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Biostatistics</w:t>
      </w:r>
      <w:r>
        <w:rPr>
          <w:b/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Heading2"/>
        <w:spacing w:line="251" w:lineRule="exact"/>
        <w:ind w:left="1260" w:firstLine="0"/>
        <w:rPr>
          <w:b w:val="0"/>
        </w:rPr>
      </w:pPr>
      <w:r>
        <w:rPr/>
        <w:t>external/internal</w:t>
      </w:r>
      <w:r>
        <w:rPr>
          <w:spacing w:val="-12"/>
        </w:rPr>
        <w:t> </w:t>
      </w:r>
      <w:r>
        <w:rPr/>
        <w:t>vendor,</w:t>
      </w:r>
      <w:r>
        <w:rPr>
          <w:spacing w:val="-7"/>
        </w:rPr>
        <w:t> </w:t>
      </w:r>
      <w:r>
        <w:rPr/>
        <w:t>customer,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other</w:t>
      </w:r>
      <w:r>
        <w:rPr>
          <w:spacing w:val="-10"/>
        </w:rPr>
        <w:t> </w:t>
      </w:r>
      <w:r>
        <w:rPr>
          <w:spacing w:val="-2"/>
        </w:rPr>
        <w:t>recipient</w:t>
      </w:r>
      <w:r>
        <w:rPr>
          <w:b w:val="0"/>
          <w:spacing w:val="-2"/>
        </w:rPr>
        <w:t>.</w:t>
      </w:r>
    </w:p>
    <w:p>
      <w:pPr>
        <w:pStyle w:val="BodyText"/>
        <w:spacing w:before="7"/>
      </w:pPr>
    </w:p>
    <w:p>
      <w:pPr>
        <w:pStyle w:val="BodyText"/>
        <w:spacing w:before="1"/>
        <w:ind w:left="1260" w:right="1111"/>
      </w:pPr>
      <w:r>
        <w:rPr/>
        <w:t>Biostatistics</w:t>
      </w:r>
      <w:r>
        <w:rPr>
          <w:spacing w:val="-4"/>
        </w:rPr>
        <w:t> </w:t>
      </w:r>
      <w:r>
        <w:rPr/>
        <w:t>DTG</w:t>
      </w:r>
      <w:r>
        <w:rPr>
          <w:spacing w:val="-4"/>
        </w:rPr>
        <w:t> </w:t>
      </w:r>
      <w:r>
        <w:rPr/>
        <w:t>(CS_TP_BS003)</w:t>
      </w:r>
      <w:r>
        <w:rPr>
          <w:spacing w:val="-4"/>
        </w:rPr>
        <w:t> </w:t>
      </w:r>
      <w:r>
        <w:rPr/>
        <w:t>are expected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situations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sent via a vehicle of transfer (e.g., E-mail, FTP Server, Customer System) by Biostatistics. Examples include, but are not limited to:</w:t>
      </w:r>
    </w:p>
    <w:p>
      <w:pPr>
        <w:pStyle w:val="ListParagraph"/>
        <w:numPr>
          <w:ilvl w:val="2"/>
          <w:numId w:val="5"/>
        </w:numPr>
        <w:tabs>
          <w:tab w:pos="1979" w:val="left" w:leader="none"/>
          <w:tab w:pos="1980" w:val="left" w:leader="none"/>
        </w:tabs>
        <w:spacing w:line="268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Study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Tabulation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(SDTM)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transfers</w:t>
      </w:r>
    </w:p>
    <w:p>
      <w:pPr>
        <w:pStyle w:val="ListParagraph"/>
        <w:numPr>
          <w:ilvl w:val="2"/>
          <w:numId w:val="5"/>
        </w:numPr>
        <w:tabs>
          <w:tab w:pos="1979" w:val="left" w:leader="none"/>
          <w:tab w:pos="1980" w:val="left" w:leader="none"/>
        </w:tabs>
        <w:spacing w:line="266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0"/>
          <w:sz w:val="22"/>
        </w:rPr>
        <w:t> </w:t>
      </w:r>
      <w:r>
        <w:rPr>
          <w:sz w:val="22"/>
        </w:rPr>
        <w:t>(ADaM)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transfers</w:t>
      </w:r>
    </w:p>
    <w:p>
      <w:pPr>
        <w:pStyle w:val="ListParagraph"/>
        <w:numPr>
          <w:ilvl w:val="2"/>
          <w:numId w:val="5"/>
        </w:numPr>
        <w:tabs>
          <w:tab w:pos="1979" w:val="left" w:leader="none"/>
          <w:tab w:pos="1980" w:val="left" w:leader="none"/>
        </w:tabs>
        <w:spacing w:line="266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Non-Clinical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Interchange</w:t>
      </w:r>
      <w:r>
        <w:rPr>
          <w:spacing w:val="-9"/>
          <w:sz w:val="22"/>
        </w:rPr>
        <w:t> </w:t>
      </w:r>
      <w:r>
        <w:rPr>
          <w:sz w:val="22"/>
        </w:rPr>
        <w:t>Standards</w:t>
      </w:r>
      <w:r>
        <w:rPr>
          <w:spacing w:val="-8"/>
          <w:sz w:val="22"/>
        </w:rPr>
        <w:t> </w:t>
      </w:r>
      <w:r>
        <w:rPr>
          <w:sz w:val="22"/>
        </w:rPr>
        <w:t>Consortium</w:t>
      </w:r>
      <w:r>
        <w:rPr>
          <w:spacing w:val="-9"/>
          <w:sz w:val="22"/>
        </w:rPr>
        <w:t> </w:t>
      </w:r>
      <w:r>
        <w:rPr>
          <w:sz w:val="22"/>
        </w:rPr>
        <w:t>(CDISC)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transfers</w:t>
      </w:r>
    </w:p>
    <w:p>
      <w:pPr>
        <w:pStyle w:val="ListParagraph"/>
        <w:numPr>
          <w:ilvl w:val="2"/>
          <w:numId w:val="5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1144" w:hanging="360"/>
        <w:jc w:val="left"/>
        <w:rPr>
          <w:sz w:val="22"/>
        </w:rPr>
      </w:pPr>
      <w:r>
        <w:rPr>
          <w:sz w:val="22"/>
        </w:rPr>
        <w:t>Submission</w:t>
      </w:r>
      <w:r>
        <w:rPr>
          <w:spacing w:val="-4"/>
          <w:sz w:val="22"/>
        </w:rPr>
        <w:t> </w:t>
      </w:r>
      <w:r>
        <w:rPr>
          <w:sz w:val="22"/>
        </w:rPr>
        <w:t>deliverable</w:t>
      </w:r>
      <w:r>
        <w:rPr>
          <w:spacing w:val="-5"/>
          <w:sz w:val="22"/>
        </w:rPr>
        <w:t> </w:t>
      </w:r>
      <w:r>
        <w:rPr>
          <w:sz w:val="22"/>
        </w:rPr>
        <w:t>datasets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may,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not,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accompanied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other submission documentation (e.g. Define files)</w:t>
      </w:r>
    </w:p>
    <w:p>
      <w:pPr>
        <w:pStyle w:val="BodyText"/>
        <w:ind w:left="1260" w:right="1372"/>
      </w:pPr>
      <w:r>
        <w:rPr/>
        <w:t>For</w:t>
      </w:r>
      <w:r>
        <w:rPr>
          <w:spacing w:val="-4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Biostatistics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blinded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unblinded team, CS_TP_BS0214 (Biostatistics Blinded to Unblinded Team Handover Document) describes the transfer process and DTG are not required.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1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59"/>
              <w:rPr>
                <w:sz w:val="20"/>
              </w:rPr>
            </w:pPr>
            <w:r>
              <w:rPr>
                <w:sz w:val="20"/>
              </w:rPr>
              <w:t>Creates a Biostatistics DTG using the Biostatistics Data Transfer Guidelines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(CS_TP_BS003)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conventions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General and Trial Master File (TMF)-Specific Document Quality – Good Documentation Practices (CS_WI_RM0284).</w:t>
            </w:r>
          </w:p>
          <w:p>
            <w:pPr>
              <w:pStyle w:val="TableParagraph"/>
              <w:spacing w:before="5"/>
              <w:ind w:left="0"/>
              <w:rPr>
                <w:sz w:val="18"/>
              </w:rPr>
            </w:pPr>
          </w:p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When possible, it is recommended to discuss the transfer 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recipient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DTG.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data transfer</w:t>
            </w:r>
          </w:p>
        </w:tc>
      </w:tr>
      <w:tr>
        <w:trPr>
          <w:trHeight w:val="212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264" w:type="dxa"/>
          </w:tcPr>
          <w:p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  <w:tab w:pos="465" w:val="left" w:leader="none"/>
              </w:tabs>
              <w:spacing w:line="243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61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 Form (CRF)/File Creation Specifications (RAW)/Dataset Test Transfer (CS_OD_BS0230)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  <w:tab w:pos="465" w:val="left" w:leader="none"/>
              </w:tabs>
              <w:spacing w:line="243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85" w:hanging="360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(TMF)-Specific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 – Good Documentation Practices (CS_WI_RM0284)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59" w:top="2520" w:bottom="1320" w:left="900" w:right="4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90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 w:right="159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document review.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planned structure, content, and other delivery details.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line="211" w:lineRule="exact" w:before="81"/>
              <w:ind w:left="104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authorization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DTG.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392" w:hanging="360"/>
              <w:jc w:val="left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transfer process.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61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modification history section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24" w:lineRule="exact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authorization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DTG.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61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 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 to the transfer </w:t>
            </w:r>
            <w:r>
              <w:rPr>
                <w:spacing w:val="-2"/>
                <w:sz w:val="20"/>
              </w:rPr>
              <w:t>process</w:t>
            </w:r>
          </w:p>
        </w:tc>
      </w:tr>
      <w:tr>
        <w:trPr>
          <w:trHeight w:val="188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 w:right="121"/>
              <w:rPr>
                <w:sz w:val="20"/>
              </w:rPr>
            </w:pPr>
            <w:r>
              <w:rPr>
                <w:spacing w:val="-4"/>
                <w:sz w:val="20"/>
              </w:rPr>
              <w:t>PTL/ BPTM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preparing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transfer: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  <w:tab w:pos="465" w:val="left" w:leader="none"/>
              </w:tabs>
              <w:spacing w:line="240" w:lineRule="auto" w:before="1" w:after="0"/>
              <w:ind w:left="464" w:right="248" w:hanging="360"/>
              <w:jc w:val="left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(.xpt)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compile/compress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 indicated by the Biostatistics DTG.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94" w:hanging="360"/>
              <w:jc w:val="left"/>
              <w:rPr>
                <w:sz w:val="20"/>
              </w:rPr>
            </w:pPr>
            <w:r>
              <w:rPr>
                <w:sz w:val="20"/>
              </w:rPr>
              <w:t>Adheres to current best practices in Good Programming Practices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Tools (Documentation folder) in ELVIS.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290" w:hanging="360"/>
              <w:jc w:val="left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 the Biostatistics Directory Structure.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 w:right="29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preparing 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transfer</w:t>
            </w:r>
          </w:p>
        </w:tc>
      </w:tr>
      <w:tr>
        <w:trPr>
          <w:trHeight w:val="20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475" w:hanging="360"/>
              <w:jc w:val="left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Biostatistics DTG, contains the expected files, and verifies accurate and successful copy of the correct data.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531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 Form (CS_FM_BS007).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  <w:p>
            <w:pPr>
              <w:pStyle w:val="TableParagraph"/>
              <w:spacing w:line="230" w:lineRule="atLeast"/>
              <w:ind w:left="104" w:right="159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creator.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recommended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STL or PTL should be either the creator or reviewer.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59"/>
              <w:rPr>
                <w:sz w:val="20"/>
              </w:rPr>
            </w:pPr>
            <w:r>
              <w:rPr>
                <w:sz w:val="20"/>
              </w:rPr>
              <w:t>Sends the data transfer using secure file transfer methods (e.g., sFTP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Biostatistics DTG.</w:t>
            </w: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email: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40" w:lineRule="auto" w:before="2" w:after="0"/>
              <w:ind w:left="464" w:right="440" w:hanging="360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categorized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Restricted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data, which means the data must by encrypted if shared via email (password protection of email attachments alone is not </w:t>
            </w:r>
            <w:r>
              <w:rPr>
                <w:spacing w:val="-2"/>
                <w:sz w:val="20"/>
              </w:rPr>
              <w:t>sufficient).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40" w:lineRule="auto" w:before="1" w:after="0"/>
              <w:ind w:left="464" w:right="550" w:hanging="360"/>
              <w:jc w:val="left"/>
              <w:rPr>
                <w:sz w:val="20"/>
              </w:rPr>
            </w:pPr>
            <w:r>
              <w:rPr>
                <w:sz w:val="20"/>
              </w:rPr>
              <w:t>Encrypts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 Information Security in Encrypting An Email In Office 365.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5" w:val="left" w:leader="none"/>
              </w:tabs>
              <w:spacing w:line="240" w:lineRule="auto" w:before="0" w:after="0"/>
              <w:ind w:left="464" w:right="104" w:hanging="360"/>
              <w:jc w:val="both"/>
              <w:rPr>
                <w:sz w:val="20"/>
              </w:rPr>
            </w:pPr>
            <w:r>
              <w:rPr>
                <w:sz w:val="20"/>
              </w:rPr>
              <w:t>Password protects email attachments without exception. See IT Security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Network/Resource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(CS_WI_IT207)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 further guidance on password complexity requirements.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617" w:hanging="360"/>
              <w:jc w:val="left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attachment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correct deliverable.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137" w:hanging="360"/>
              <w:jc w:val="left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 as was used for the transfer.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0" w:lineRule="exact" w:before="0" w:after="0"/>
              <w:ind w:left="464" w:right="308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exactly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recipient organization using a new email chain. Asks that person to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Throughout the study when transferring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65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464"/>
              <w:rPr>
                <w:sz w:val="20"/>
              </w:rPr>
            </w:pPr>
            <w:r>
              <w:rPr>
                <w:sz w:val="20"/>
              </w:rPr>
              <w:t>distribute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recipient </w:t>
            </w:r>
            <w:r>
              <w:rPr>
                <w:spacing w:val="-2"/>
                <w:sz w:val="20"/>
              </w:rPr>
              <w:t>organization.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50" w:val="left" w:leader="none"/>
                <w:tab w:pos="451" w:val="left" w:leader="none"/>
              </w:tabs>
              <w:spacing w:line="240" w:lineRule="auto" w:before="1" w:after="0"/>
              <w:ind w:left="450" w:right="376" w:hanging="346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new, separate email chain.</w:t>
            </w:r>
          </w:p>
          <w:p>
            <w:pPr>
              <w:pStyle w:val="TableParagraph"/>
              <w:spacing w:before="11"/>
              <w:ind w:left="0"/>
              <w:rPr>
                <w:sz w:val="19"/>
              </w:rPr>
            </w:pPr>
          </w:p>
          <w:p>
            <w:pPr>
              <w:pStyle w:val="TableParagraph"/>
              <w:ind w:left="157" w:hanging="135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acceptance/confirmation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successful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Sponsor/recipient.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Heading2"/>
        <w:numPr>
          <w:ilvl w:val="1"/>
          <w:numId w:val="5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Documentation" w:id="8"/>
      <w:bookmarkEnd w:id="8"/>
      <w:r>
        <w:rPr>
          <w:spacing w:val="-2"/>
        </w:rPr>
        <w:t>Documentation</w:t>
      </w:r>
    </w:p>
    <w:p>
      <w:pPr>
        <w:pStyle w:val="BodyText"/>
        <w:spacing w:before="126"/>
        <w:ind w:left="1980" w:right="1019"/>
      </w:pPr>
      <w:r>
        <w:rPr/>
        <w:t>Study Team Members involved in the creation of the Biostatistcs DTG and transfer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electronic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Biostatistics Directory Structure and in the eTMF as appropriate.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7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folder(s)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TMF platform used. The following documentation should be filed: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65" w:val="left" w:leader="none"/>
              </w:tabs>
              <w:spacing w:line="240" w:lineRule="auto" w:before="40" w:after="0"/>
              <w:ind w:left="464" w:right="1203" w:hanging="360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authorized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DTG </w:t>
            </w:r>
            <w:r>
              <w:rPr>
                <w:spacing w:val="-2"/>
                <w:sz w:val="20"/>
              </w:rPr>
              <w:t>(CS_TP_BS003).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65" w:val="left" w:leader="none"/>
              </w:tabs>
              <w:spacing w:line="232" w:lineRule="auto" w:before="6" w:after="0"/>
              <w:ind w:left="464" w:right="117" w:hanging="360"/>
              <w:jc w:val="left"/>
              <w:rPr>
                <w:sz w:val="20"/>
              </w:rPr>
            </w:pP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Outputs </w:t>
            </w:r>
            <w:r>
              <w:rPr>
                <w:spacing w:val="-2"/>
                <w:sz w:val="20"/>
              </w:rPr>
              <w:t>(CS_TP_BS011)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65" w:val="left" w:leader="none"/>
              </w:tabs>
              <w:spacing w:line="245" w:lineRule="exact" w:before="4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(CS_FM_BS007)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(CS_TP_BS014)</w:t>
            </w:r>
          </w:p>
          <w:p>
            <w:pPr>
              <w:pStyle w:val="TableParagraph"/>
              <w:spacing w:before="9"/>
              <w:ind w:left="0"/>
              <w:rPr>
                <w:sz w:val="22"/>
              </w:rPr>
            </w:pPr>
          </w:p>
          <w:p>
            <w:pPr>
              <w:pStyle w:val="TableParagraph"/>
              <w:spacing w:line="242" w:lineRule="auto"/>
              <w:ind w:left="104" w:right="15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(CS_OP_TMF0007)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Management and Filing of Biostatistics Deliveries and Documentation (CS_WI_BS0237) for further guidance.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finalization or on </w:t>
            </w:r>
            <w:r>
              <w:rPr>
                <w:spacing w:val="-2"/>
                <w:sz w:val="20"/>
              </w:rPr>
              <w:t>receipt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SUPPORTING DOCUMENTATION" w:id="9"/>
      <w:bookmarkEnd w:id="9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5"/>
        <w:gridCol w:w="6667"/>
      </w:tblGrid>
      <w:tr>
        <w:trPr>
          <w:trHeight w:val="321" w:hRule="atLeast"/>
        </w:trPr>
        <w:tc>
          <w:tcPr>
            <w:tcW w:w="3235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667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235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667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196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CS_FM_BS007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48" w:lineRule="exact"/>
              <w:ind w:left="201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762" w:hRule="atLeast"/>
        </w:trPr>
        <w:tc>
          <w:tcPr>
            <w:tcW w:w="323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1247" w:val="left" w:leader="none"/>
              </w:tabs>
              <w:spacing w:line="234" w:lineRule="exact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CS_OD_BS0230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54" w:lineRule="exact"/>
              <w:ind w:left="115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Annotated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Report Form (CRF)/File Creation Specifications (RAW)/Dataset Test </w:t>
            </w:r>
            <w:r>
              <w:rPr>
                <w:spacing w:val="-2"/>
                <w:sz w:val="22"/>
              </w:rPr>
              <w:t>Transfer</w:t>
            </w:r>
          </w:p>
        </w:tc>
      </w:tr>
      <w:tr>
        <w:trPr>
          <w:trHeight w:val="450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196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48" w:lineRule="exact"/>
              <w:ind w:left="201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(TMF)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CS_TP_BS002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CS_TP_BS003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Guidelines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CS_TP_BS011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Tracking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Datasets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Outputs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CS_TP_BS014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5"/>
                <w:sz w:val="22"/>
              </w:rPr>
              <w:t> Log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5"/>
        <w:gridCol w:w="6667"/>
      </w:tblGrid>
      <w:tr>
        <w:trPr>
          <w:trHeight w:val="321" w:hRule="atLeast"/>
        </w:trPr>
        <w:tc>
          <w:tcPr>
            <w:tcW w:w="3235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667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503" w:hRule="atLeast"/>
        </w:trPr>
        <w:tc>
          <w:tcPr>
            <w:tcW w:w="3235" w:type="dxa"/>
          </w:tcPr>
          <w:p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1247" w:val="left" w:leader="none"/>
              </w:tabs>
              <w:spacing w:line="234" w:lineRule="exact" w:before="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CS_TP_BS0214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Blinded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Unblinded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Handover</w:t>
            </w:r>
          </w:p>
          <w:p>
            <w:pPr>
              <w:pStyle w:val="TableParagraph"/>
              <w:spacing w:line="234" w:lineRule="exact" w:before="1"/>
              <w:ind w:left="201"/>
              <w:rPr>
                <w:sz w:val="22"/>
              </w:rPr>
            </w:pPr>
            <w:r>
              <w:rPr>
                <w:spacing w:val="-2"/>
                <w:sz w:val="22"/>
              </w:rPr>
              <w:t>Document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tabs>
                <w:tab w:pos="1247" w:val="left" w:leader="none"/>
              </w:tabs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CS_TP_DM0286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Interim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503" w:hRule="atLeast"/>
        </w:trPr>
        <w:tc>
          <w:tcPr>
            <w:tcW w:w="3235" w:type="dxa"/>
          </w:tcPr>
          <w:p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97"/>
                <w:sz w:val="22"/>
              </w:rPr>
              <w:t> </w:t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CS_WI_BS008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50" w:lineRule="exact"/>
              <w:ind w:left="201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455" w:hRule="atLeast"/>
        </w:trPr>
        <w:tc>
          <w:tcPr>
            <w:tcW w:w="3235" w:type="dxa"/>
          </w:tcPr>
          <w:p>
            <w:pPr>
              <w:pStyle w:val="TableParagraph"/>
              <w:spacing w:line="234" w:lineRule="exact" w:before="201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7.11</w:t>
            </w:r>
            <w:r>
              <w:rPr>
                <w:b/>
                <w:spacing w:val="97"/>
                <w:sz w:val="22"/>
              </w:rPr>
              <w:t> </w:t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508" w:hRule="atLeast"/>
        </w:trPr>
        <w:tc>
          <w:tcPr>
            <w:tcW w:w="3235" w:type="dxa"/>
          </w:tcPr>
          <w:p>
            <w:pPr>
              <w:pStyle w:val="TableParagraph"/>
              <w:spacing w:before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34" w:lineRule="exact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7.12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54" w:lineRule="exact"/>
              <w:ind w:left="201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Deliveries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470" w:hRule="atLeast"/>
        </w:trPr>
        <w:tc>
          <w:tcPr>
            <w:tcW w:w="3235" w:type="dxa"/>
          </w:tcPr>
          <w:p>
            <w:pPr>
              <w:pStyle w:val="TableParagraph"/>
              <w:spacing w:line="234" w:lineRule="exact" w:before="216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7.13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CS_WI_DM0412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Transfer</w:t>
            </w:r>
          </w:p>
        </w:tc>
      </w:tr>
      <w:tr>
        <w:trPr>
          <w:trHeight w:val="253" w:hRule="atLeast"/>
        </w:trPr>
        <w:tc>
          <w:tcPr>
            <w:tcW w:w="3235" w:type="dxa"/>
          </w:tcPr>
          <w:p>
            <w:pPr>
              <w:pStyle w:val="TableParagraph"/>
              <w:spacing w:line="234" w:lineRule="exact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7.14</w:t>
            </w:r>
            <w:r>
              <w:rPr>
                <w:b/>
                <w:spacing w:val="97"/>
                <w:sz w:val="22"/>
              </w:rPr>
              <w:t> </w:t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CS_WI_IT207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34" w:lineRule="exact"/>
              <w:ind w:left="20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Network/Resource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</w:p>
        </w:tc>
      </w:tr>
      <w:tr>
        <w:trPr>
          <w:trHeight w:val="508" w:hRule="atLeast"/>
        </w:trPr>
        <w:tc>
          <w:tcPr>
            <w:tcW w:w="3235" w:type="dxa"/>
          </w:tcPr>
          <w:p>
            <w:pPr>
              <w:pStyle w:val="TableParagraph"/>
              <w:spacing w:before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34" w:lineRule="exact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7.15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6667" w:type="dxa"/>
          </w:tcPr>
          <w:p>
            <w:pPr>
              <w:pStyle w:val="TableParagraph"/>
              <w:spacing w:line="254" w:lineRule="exact"/>
              <w:ind w:left="201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 Good Documentation Practices</w:t>
            </w:r>
          </w:p>
        </w:tc>
      </w:tr>
      <w:tr>
        <w:trPr>
          <w:trHeight w:val="316" w:hRule="atLeast"/>
        </w:trPr>
        <w:tc>
          <w:tcPr>
            <w:tcW w:w="3235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Other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667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62" w:hRule="atLeast"/>
        </w:trPr>
        <w:tc>
          <w:tcPr>
            <w:tcW w:w="3235" w:type="dxa"/>
          </w:tcPr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7.16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Biostatistics</w:t>
            </w:r>
          </w:p>
          <w:p>
            <w:pPr>
              <w:pStyle w:val="TableParagraph"/>
              <w:spacing w:line="250" w:lineRule="atLeast"/>
              <w:ind w:left="1247" w:right="209"/>
              <w:rPr>
                <w:sz w:val="22"/>
              </w:rPr>
            </w:pPr>
            <w:r>
              <w:rPr>
                <w:spacing w:val="-2"/>
                <w:sz w:val="22"/>
              </w:rPr>
              <w:t>General Guidelines</w:t>
            </w:r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hyperlink r:id="rId24"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Directory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Structure</w:t>
              </w:r>
            </w:hyperlink>
          </w:p>
        </w:tc>
      </w:tr>
      <w:tr>
        <w:trPr>
          <w:trHeight w:val="758" w:hRule="atLeast"/>
        </w:trPr>
        <w:tc>
          <w:tcPr>
            <w:tcW w:w="3235" w:type="dxa"/>
          </w:tcPr>
          <w:p>
            <w:pPr>
              <w:pStyle w:val="TableParagraph"/>
              <w:spacing w:line="248" w:lineRule="exact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7.17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Biostatistics</w:t>
            </w:r>
          </w:p>
          <w:p>
            <w:pPr>
              <w:pStyle w:val="TableParagraph"/>
              <w:spacing w:line="250" w:lineRule="atLeast"/>
              <w:ind w:left="1247" w:right="209"/>
              <w:rPr>
                <w:sz w:val="22"/>
              </w:rPr>
            </w:pPr>
            <w:r>
              <w:rPr>
                <w:spacing w:val="-2"/>
                <w:sz w:val="22"/>
              </w:rPr>
              <w:t>General Guidelines</w:t>
            </w:r>
          </w:p>
        </w:tc>
        <w:tc>
          <w:tcPr>
            <w:tcW w:w="6667" w:type="dxa"/>
          </w:tcPr>
          <w:p>
            <w:pPr>
              <w:pStyle w:val="TableParagraph"/>
              <w:spacing w:line="248" w:lineRule="exact"/>
              <w:ind w:left="201"/>
              <w:rPr>
                <w:sz w:val="22"/>
              </w:rPr>
            </w:pPr>
            <w:hyperlink r:id="rId25">
              <w:r>
                <w:rPr>
                  <w:color w:val="0000FF"/>
                  <w:sz w:val="22"/>
                  <w:u w:val="single" w:color="0000FF"/>
                </w:rPr>
                <w:t>Good</w:t>
              </w:r>
              <w:r>
                <w:rPr>
                  <w:color w:val="0000FF"/>
                  <w:spacing w:val="-8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Programming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Practices</w:t>
              </w:r>
            </w:hyperlink>
          </w:p>
        </w:tc>
      </w:tr>
      <w:tr>
        <w:trPr>
          <w:trHeight w:val="758" w:hRule="atLeast"/>
        </w:trPr>
        <w:tc>
          <w:tcPr>
            <w:tcW w:w="3235" w:type="dxa"/>
          </w:tcPr>
          <w:p>
            <w:pPr>
              <w:pStyle w:val="TableParagraph"/>
              <w:spacing w:line="251" w:lineRule="exact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7.18</w:t>
            </w:r>
            <w:r>
              <w:rPr>
                <w:b/>
                <w:spacing w:val="6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  <w:p>
            <w:pPr>
              <w:pStyle w:val="TableParagraph"/>
              <w:spacing w:line="254" w:lineRule="exact"/>
              <w:ind w:left="1247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General </w:t>
            </w: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6667" w:type="dxa"/>
          </w:tcPr>
          <w:p>
            <w:pPr>
              <w:pStyle w:val="TableParagraph"/>
              <w:ind w:left="201"/>
              <w:rPr>
                <w:sz w:val="22"/>
              </w:rPr>
            </w:pPr>
            <w:hyperlink r:id="rId26">
              <w:r>
                <w:rPr>
                  <w:color w:val="0000FF"/>
                  <w:sz w:val="22"/>
                  <w:u w:val="single" w:color="0000FF"/>
                </w:rPr>
                <w:t>Encrypting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An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Email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In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Office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365</w:t>
              </w:r>
            </w:hyperlink>
          </w:p>
        </w:tc>
      </w:tr>
    </w:tbl>
    <w:p>
      <w:pPr>
        <w:pStyle w:val="BodyText"/>
        <w:spacing w:before="8"/>
        <w:rPr>
          <w:b/>
          <w:sz w:val="12"/>
        </w:rPr>
      </w:pPr>
    </w:p>
    <w:p>
      <w:pPr>
        <w:pStyle w:val="ListParagraph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94" w:after="7"/>
        <w:ind w:left="1260" w:right="0" w:hanging="720"/>
        <w:jc w:val="left"/>
        <w:rPr>
          <w:b/>
          <w:sz w:val="22"/>
        </w:rPr>
      </w:pPr>
      <w:bookmarkStart w:name="SUPERSEDES" w:id="10"/>
      <w:bookmarkEnd w:id="10"/>
      <w:r>
        <w:rPr>
          <w:b/>
          <w:spacing w:val="-2"/>
          <w:sz w:val="22"/>
        </w:rPr>
        <w:t>SUPER</w:t>
      </w:r>
      <w:r>
        <w:rPr>
          <w:b/>
          <w:spacing w:val="-2"/>
          <w:sz w:val="22"/>
        </w:rPr>
        <w:t>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287" w:hRule="atLeast"/>
        </w:trPr>
        <w:tc>
          <w:tcPr>
            <w:tcW w:w="3778" w:type="dxa"/>
          </w:tcPr>
          <w:p>
            <w:pPr>
              <w:pStyle w:val="TableParagraph"/>
              <w:tabs>
                <w:tab w:pos="1238" w:val="left" w:leader="none"/>
              </w:tabs>
              <w:ind w:left="647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CS_WI_BS020</w:t>
            </w:r>
          </w:p>
        </w:tc>
        <w:tc>
          <w:tcPr>
            <w:tcW w:w="380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Transfers</w:t>
            </w:r>
          </w:p>
        </w:tc>
        <w:tc>
          <w:tcPr>
            <w:tcW w:w="23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059" w:top="2520" w:bottom="1320" w:left="900" w:right="40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MODIFICATION FROM PREVIOUS REVISION" w:id="11"/>
      <w:bookmarkEnd w:id="11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59" w:top="2520" w:bottom="1320" w:left="900" w:right="4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 w:right="123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Statistical Programmer (LP) to Programming Team Lead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(PTL)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3.0, 6.1, 6.2,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Consistency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other Biostatistics SOPs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 note to clarify requirements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transfer </w:t>
            </w:r>
            <w:r>
              <w:rPr>
                <w:spacing w:val="-2"/>
                <w:sz w:val="22"/>
              </w:rPr>
              <w:t>received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1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referencing GPP for Storage of Data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applicable procedures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standards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PROC CONTENTS and added reference to DLEC tool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6.1.3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 w:right="171"/>
              <w:rPr>
                <w:sz w:val="22"/>
              </w:rPr>
            </w:pPr>
            <w:r>
              <w:rPr>
                <w:sz w:val="22"/>
              </w:rPr>
              <w:t>Clarified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 both test transfers and subsequent production </w:t>
            </w:r>
            <w:r>
              <w:rPr>
                <w:spacing w:val="-2"/>
                <w:sz w:val="22"/>
              </w:rPr>
              <w:t>transfers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13"/>
              <w:jc w:val="both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 new tab in Data Issues Log for each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(purpose-built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tab already exists)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6.1.4, </w:t>
            </w:r>
            <w:r>
              <w:rPr>
                <w:spacing w:val="-2"/>
                <w:sz w:val="22"/>
              </w:rPr>
              <w:t>6.2.6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applicable procedures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standards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1"/>
              <w:rPr>
                <w:sz w:val="22"/>
              </w:rPr>
            </w:pPr>
            <w:r>
              <w:rPr>
                <w:sz w:val="22"/>
              </w:rPr>
              <w:t>Updated this step to occur before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before production transfer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6.2.2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49" w:lineRule="exact" w:before="24"/>
              <w:ind w:left="110"/>
              <w:rPr>
                <w:sz w:val="22"/>
              </w:rPr>
            </w:pPr>
            <w:r>
              <w:rPr>
                <w:sz w:val="22"/>
              </w:rPr>
              <w:t>Swapped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steps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6.2.5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6.2.6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6.2.5,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6.2.5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Added reference to other submission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e.g. </w:t>
            </w:r>
            <w:r>
              <w:rPr>
                <w:spacing w:val="-2"/>
                <w:sz w:val="22"/>
              </w:rPr>
              <w:t>Define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17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13"/>
              <w:rPr>
                <w:sz w:val="22"/>
              </w:rPr>
            </w:pPr>
            <w:r>
              <w:rPr>
                <w:sz w:val="22"/>
              </w:rPr>
              <w:t>Added reference to Approaches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  <w:p>
            <w:pPr>
              <w:pStyle w:val="TableParagraph"/>
              <w:spacing w:line="228" w:lineRule="auto"/>
              <w:ind w:left="110" w:right="103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Annotated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Report Form (CRF)/File Creation Specifications (RAW)/Dataset Test Transfer </w:t>
            </w:r>
            <w:r>
              <w:rPr>
                <w:spacing w:val="-2"/>
                <w:sz w:val="22"/>
              </w:rPr>
              <w:t>(CS_OD_BS0230)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151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27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Reviewer Feedback Form (CS_FM_BS007) instead of Tracking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Derived Datasets and Statistical Outputs (CS_TP_BS011)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6.3.7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1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data encryption for Level 3 Restricted data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6.3.8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applicable procedures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standards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password complexity requirements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6.3.8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request acceptance/confirmation of transfer from sponsor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6.3.8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1"/>
              <w:rPr>
                <w:sz w:val="22"/>
              </w:rPr>
            </w:pPr>
            <w:r>
              <w:rPr>
                <w:sz w:val="22"/>
              </w:rPr>
              <w:t>Added reference to Management and Filing of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Deliveries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Documentation (CS_WI_BS0237)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6.4.1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20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1"/>
              <w:rPr>
                <w:sz w:val="22"/>
              </w:rPr>
            </w:pPr>
            <w:r>
              <w:rPr>
                <w:sz w:val="22"/>
              </w:rPr>
              <w:t>Added reference to Management and Filing of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Deliveries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Documentation </w:t>
            </w:r>
            <w:r>
              <w:rPr>
                <w:sz w:val="22"/>
              </w:rPr>
              <w:t>(CS_WI_BS0237) and IT</w:t>
            </w:r>
          </w:p>
          <w:p>
            <w:pPr>
              <w:pStyle w:val="TableParagraph"/>
              <w:spacing w:line="228" w:lineRule="auto"/>
              <w:ind w:left="110" w:right="171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Network/Resource Password Policy </w:t>
            </w:r>
            <w:r>
              <w:rPr>
                <w:spacing w:val="-2"/>
                <w:sz w:val="22"/>
              </w:rPr>
              <w:t>(CS_WI_IT207)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applicable procedures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standards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3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12"/>
      <w:bookmarkEnd w:id="12"/>
      <w:r>
        <w:rPr/>
      </w:r>
      <w:bookmarkStart w:name="Appendix A: Data Transfer Workflow" w:id="13"/>
      <w:bookmarkEnd w:id="13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Heading2"/>
        <w:numPr>
          <w:ilvl w:val="1"/>
          <w:numId w:val="3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r>
        <w:rPr/>
        <w:t>Appendix</w:t>
      </w:r>
      <w:r>
        <w:rPr>
          <w:spacing w:val="-8"/>
        </w:rPr>
        <w:t> </w:t>
      </w:r>
      <w:r>
        <w:rPr/>
        <w:t>A:</w:t>
      </w:r>
      <w:r>
        <w:rPr>
          <w:spacing w:val="-4"/>
        </w:rPr>
        <w:t> </w:t>
      </w:r>
      <w:r>
        <w:rPr/>
        <w:t>Data</w:t>
      </w:r>
      <w:r>
        <w:rPr>
          <w:spacing w:val="-8"/>
        </w:rPr>
        <w:t> </w:t>
      </w:r>
      <w:r>
        <w:rPr/>
        <w:t>Transfer</w:t>
      </w:r>
      <w:r>
        <w:rPr>
          <w:spacing w:val="-7"/>
        </w:rPr>
        <w:t> </w:t>
      </w:r>
      <w:r>
        <w:rPr>
          <w:spacing w:val="-2"/>
        </w:rPr>
        <w:t>Workflow</w:t>
      </w:r>
    </w:p>
    <w:p>
      <w:pPr>
        <w:spacing w:after="0" w:line="240" w:lineRule="auto"/>
        <w:jc w:val="left"/>
        <w:sectPr>
          <w:pgSz w:w="12240" w:h="15840"/>
          <w:pgMar w:header="725" w:footer="1059" w:top="2520" w:bottom="1240" w:left="900" w:right="4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540" w:right="0" w:firstLine="0"/>
        <w:jc w:val="left"/>
        <w:rPr>
          <w:b/>
          <w:sz w:val="22"/>
        </w:rPr>
      </w:pPr>
      <w:bookmarkStart w:name="Appendix A: Data Transfer Workflow" w:id="14"/>
      <w:bookmarkEnd w:id="14"/>
      <w:r>
        <w:rPr/>
      </w:r>
      <w:r>
        <w:rPr>
          <w:b/>
          <w:sz w:val="22"/>
        </w:rPr>
        <w:t>Appendix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8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1"/>
        </w:rPr>
      </w:pPr>
      <w:r>
        <w:rPr/>
      </w:r>
    </w:p>
    <w:p>
      <w:pPr>
        <w:spacing w:line="183" w:lineRule="exact" w:before="22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5"/>
          <w:sz w:val="16"/>
        </w:rPr>
        <w:t> </w:t>
      </w:r>
      <w:r>
        <w:rPr>
          <w:sz w:val="16"/>
        </w:rPr>
        <w:t>12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12</w:t>
      </w:r>
    </w:p>
    <w:p>
      <w:pPr>
        <w:spacing w:line="240" w:lineRule="auto" w:before="0"/>
        <w:ind w:left="448" w:right="101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2003,</w:t>
      </w:r>
      <w:r>
        <w:rPr>
          <w:spacing w:val="-3"/>
          <w:sz w:val="16"/>
        </w:rPr>
        <w:t> </w:t>
      </w:r>
      <w:r>
        <w:rPr>
          <w:sz w:val="16"/>
        </w:rPr>
        <w:t>2006,</w:t>
      </w:r>
      <w:r>
        <w:rPr>
          <w:spacing w:val="-3"/>
          <w:sz w:val="16"/>
        </w:rPr>
        <w:t> </w:t>
      </w:r>
      <w:r>
        <w:rPr>
          <w:sz w:val="16"/>
        </w:rPr>
        <w:t>2008,</w:t>
      </w:r>
      <w:r>
        <w:rPr>
          <w:spacing w:val="-3"/>
          <w:sz w:val="16"/>
        </w:rPr>
        <w:t> </w:t>
      </w:r>
      <w:r>
        <w:rPr>
          <w:sz w:val="16"/>
        </w:rPr>
        <w:t>2010,</w:t>
      </w:r>
      <w:r>
        <w:rPr>
          <w:spacing w:val="-3"/>
          <w:sz w:val="16"/>
        </w:rPr>
        <w:t> </w:t>
      </w:r>
      <w:r>
        <w:rPr>
          <w:sz w:val="16"/>
        </w:rPr>
        <w:t>2012,</w:t>
      </w:r>
      <w:r>
        <w:rPr>
          <w:spacing w:val="-3"/>
          <w:sz w:val="16"/>
        </w:rPr>
        <w:t> </w:t>
      </w:r>
      <w:r>
        <w:rPr>
          <w:sz w:val="16"/>
        </w:rPr>
        <w:t>2014,</w:t>
      </w:r>
      <w:r>
        <w:rPr>
          <w:spacing w:val="-3"/>
          <w:sz w:val="16"/>
        </w:rPr>
        <w:t> </w:t>
      </w:r>
      <w:r>
        <w:rPr>
          <w:sz w:val="16"/>
        </w:rPr>
        <w:t>2016,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2022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 are confidential and proprietary to IQVIA Holdings Inc. and its subsidiaries. Unauthorized use, disclosure or reproduction is strictly </w:t>
      </w:r>
      <w:r>
        <w:rPr>
          <w:spacing w:val="-2"/>
          <w:sz w:val="16"/>
        </w:rPr>
        <w:t>prohibited.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27"/>
          <w:footerReference w:type="default" r:id="rId28"/>
          <w:pgSz w:w="12240" w:h="15840"/>
          <w:pgMar w:header="725" w:footer="268" w:top="2520" w:bottom="460" w:left="900" w:right="400"/>
        </w:sectPr>
      </w:pPr>
    </w:p>
    <w:p>
      <w:pPr>
        <w:spacing w:line="321" w:lineRule="exact" w:before="79"/>
        <w:ind w:left="608" w:right="1075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110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110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110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73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Marcus,</w:t>
      </w:r>
      <w:r>
        <w:rPr>
          <w:spacing w:val="-10"/>
          <w:sz w:val="20"/>
        </w:rPr>
        <w:t> </w:t>
      </w:r>
      <w:r>
        <w:rPr>
          <w:sz w:val="20"/>
        </w:rPr>
        <w:t>Ari</w:t>
      </w:r>
      <w:r>
        <w:rPr>
          <w:spacing w:val="36"/>
          <w:sz w:val="20"/>
        </w:rPr>
        <w:t> </w:t>
      </w:r>
      <w:r>
        <w:rPr>
          <w:sz w:val="20"/>
        </w:rPr>
        <w:t>(q774256)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54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Tuesday,</w:t>
      </w:r>
      <w:r>
        <w:rPr>
          <w:spacing w:val="-3"/>
          <w:sz w:val="20"/>
        </w:rPr>
        <w:t> </w:t>
      </w:r>
      <w:r>
        <w:rPr>
          <w:sz w:val="20"/>
        </w:rPr>
        <w:t>16</w:t>
      </w:r>
      <w:r>
        <w:rPr>
          <w:spacing w:val="-4"/>
          <w:sz w:val="20"/>
        </w:rPr>
        <w:t> </w:t>
      </w:r>
      <w:r>
        <w:rPr>
          <w:sz w:val="20"/>
        </w:rPr>
        <w:t>August</w:t>
      </w:r>
      <w:r>
        <w:rPr>
          <w:spacing w:val="-3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08:51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3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3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54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17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09:45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63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Ranjan,</w:t>
      </w:r>
      <w:r>
        <w:rPr>
          <w:spacing w:val="-11"/>
          <w:sz w:val="20"/>
        </w:rPr>
        <w:t> </w:t>
      </w:r>
      <w:r>
        <w:rPr>
          <w:sz w:val="20"/>
        </w:rPr>
        <w:t>Santosh</w:t>
      </w:r>
      <w:r>
        <w:rPr>
          <w:spacing w:val="36"/>
          <w:sz w:val="20"/>
        </w:rPr>
        <w:t> </w:t>
      </w:r>
      <w:r>
        <w:rPr>
          <w:sz w:val="20"/>
        </w:rPr>
        <w:t>(q723916)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54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12:07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30"/>
      <w:footerReference w:type="default" r:id="rId31"/>
      <w:pgSz w:w="12240" w:h="15840"/>
      <w:pgMar w:header="0" w:footer="268" w:top="1360" w:bottom="460" w:left="9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48" w:hanging="269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6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3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6" w:hanging="26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450" w:hanging="346"/>
      </w:pPr>
      <w:rPr>
        <w:rFonts w:hint="default" w:ascii="Symbol" w:hAnsi="Symbol" w:eastAsia="Symbol" w:cs="Symbol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4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o"/>
      <w:lvlJc w:val="left"/>
      <w:pPr>
        <w:ind w:left="118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198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8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82" w:hanging="54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082" w:hanging="543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2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4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6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2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5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2" w:hanging="54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082" w:hanging="543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2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4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6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2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543"/>
      </w:pPr>
      <w:rPr>
        <w:rFonts w:hint="default"/>
        <w:lang w:val="en-US" w:eastAsia="en-US" w:bidi="ar-SA"/>
      </w:rPr>
    </w:lvl>
  </w:abstractNum>
  <w:num w:numId="4">
    <w:abstractNumId w:val="3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FM_BS007" TargetMode="External"/><Relationship Id="rId10" Type="http://schemas.openxmlformats.org/officeDocument/2006/relationships/hyperlink" Target="https://elvis.quintiles.com/livelink/llisapi.dll/open/CS_OD_BS0230" TargetMode="External"/><Relationship Id="rId11" Type="http://schemas.openxmlformats.org/officeDocument/2006/relationships/hyperlink" Target="https://elvis.quintiles.com/livelink/llisapi.dll/open/CS_OP_TMF0007" TargetMode="External"/><Relationship Id="rId12" Type="http://schemas.openxmlformats.org/officeDocument/2006/relationships/hyperlink" Target="https://elvis.quintiles.com/livelink/llisapi.dll/open/CS_TP_BS002" TargetMode="External"/><Relationship Id="rId13" Type="http://schemas.openxmlformats.org/officeDocument/2006/relationships/hyperlink" Target="https://elvis.quintiles.com/livelink/llisapi.dll/open/CS_TP_BS003" TargetMode="External"/><Relationship Id="rId14" Type="http://schemas.openxmlformats.org/officeDocument/2006/relationships/hyperlink" Target="https://elvis.quintiles.com/livelink/llisapi.dll/open/CS_TP_BS011" TargetMode="External"/><Relationship Id="rId15" Type="http://schemas.openxmlformats.org/officeDocument/2006/relationships/hyperlink" Target="https://elvis.quintiles.com/livelink/llisapi.dll/open/CS_TP_BS014" TargetMode="External"/><Relationship Id="rId16" Type="http://schemas.openxmlformats.org/officeDocument/2006/relationships/hyperlink" Target="https://elvis.quintiles.com/livelink/llisapi.dll/open/CS_TP_BS0214" TargetMode="External"/><Relationship Id="rId17" Type="http://schemas.openxmlformats.org/officeDocument/2006/relationships/hyperlink" Target="https://elvis.quintiles.com/livelink/llisapi.dll/open/CS_TP_DM0286" TargetMode="External"/><Relationship Id="rId18" Type="http://schemas.openxmlformats.org/officeDocument/2006/relationships/hyperlink" Target="https://elvis.quintiles.com/livelink/llisapi.dll/open/CS_WI_BS008" TargetMode="External"/><Relationship Id="rId19" Type="http://schemas.openxmlformats.org/officeDocument/2006/relationships/hyperlink" Target="https://elvis.quintiles.com/livelink/llisapi.dll/open/CS_WI_BS015" TargetMode="External"/><Relationship Id="rId20" Type="http://schemas.openxmlformats.org/officeDocument/2006/relationships/hyperlink" Target="https://elvis.quintiles.com/livelink/llisapi.dll/open/CS_WI_BS0237" TargetMode="External"/><Relationship Id="rId21" Type="http://schemas.openxmlformats.org/officeDocument/2006/relationships/hyperlink" Target="https://elvis.quintiles.com/livelink/llisapi.dll/open/CS_WI_DM0412" TargetMode="External"/><Relationship Id="rId22" Type="http://schemas.openxmlformats.org/officeDocument/2006/relationships/hyperlink" Target="https://elvis.quintiles.com/livelink/llisapi.dll/open/CS_WI_IT207" TargetMode="External"/><Relationship Id="rId23" Type="http://schemas.openxmlformats.org/officeDocument/2006/relationships/hyperlink" Target="https://elvis.quintiles.com/livelink/llisapi.dll/open/CS_WI_RM0284" TargetMode="External"/><Relationship Id="rId24" Type="http://schemas.openxmlformats.org/officeDocument/2006/relationships/hyperlink" Target="https://elvis.quintiles.com/livelink/llisapi.dll?func=ll&amp;objId=55213196&amp;objAction=browse&amp;viewType=1" TargetMode="External"/><Relationship Id="rId25" Type="http://schemas.openxmlformats.org/officeDocument/2006/relationships/hyperlink" Target="https://elvis.quintiles.com/livelink/llisapi.dll?func=ll&amp;objId=174789386&amp;objAction=browse&amp;viewType=1" TargetMode="External"/><Relationship Id="rId26" Type="http://schemas.openxmlformats.org/officeDocument/2006/relationships/hyperlink" Target="https://quintiles.sharepoint.com/sites/QISO/SiteAssets/Forms/AllItems.aspx?id=/sites/QISO/SiteAssets/One%20Pager%20-%20Slide/Encryption_Poster.pdf&amp;parent=/sites/QISO/SiteAssets/One%20Pager%20-%20Slide" TargetMode="External"/><Relationship Id="rId27" Type="http://schemas.openxmlformats.org/officeDocument/2006/relationships/header" Target="header2.xml"/><Relationship Id="rId28" Type="http://schemas.openxmlformats.org/officeDocument/2006/relationships/footer" Target="footer3.xml"/><Relationship Id="rId29" Type="http://schemas.openxmlformats.org/officeDocument/2006/relationships/image" Target="media/image2.png"/><Relationship Id="rId30" Type="http://schemas.openxmlformats.org/officeDocument/2006/relationships/header" Target="header3.xml"/><Relationship Id="rId31" Type="http://schemas.openxmlformats.org/officeDocument/2006/relationships/footer" Target="footer4.xml"/><Relationship Id="rId32" Type="http://schemas.openxmlformats.org/officeDocument/2006/relationships/image" Target="media/image3.png"/><Relationship Id="rId33" Type="http://schemas.openxmlformats.org/officeDocument/2006/relationships/numbering" Target="numbering.xml"/><Relationship Id="rId34" Type="http://schemas.openxmlformats.org/officeDocument/2006/relationships/header" Target="header4.xml"/><Relationship Id="rId35" Type="http://schemas.openxmlformats.org/officeDocument/2006/relationships/header" Target="header5.xml"/><Relationship Id="rId36" Type="http://schemas.openxmlformats.org/officeDocument/2006/relationships/header" Target="header6.xml"/><Relationship Id="rId37" Type="http://schemas.openxmlformats.org/officeDocument/2006/relationships/footer" Target="footer5.xml"/><Relationship Id="rId3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2023-04-11T16:42:45Z</dcterms:created>
  <dcterms:modified xsi:type="dcterms:W3CDTF">2023-04-11T16:42:45Z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2022-08-15T00:00:00Z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