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10" w:lineRule="atLeast" w:before="143"/>
              <w:ind w:left="385" w:right="273" w:firstLine="873"/>
              <w:rPr>
                <w:b/>
                <w:sz w:val="22"/>
              </w:rPr>
            </w:pPr>
            <w:r>
              <w:rPr>
                <w:b/>
                <w:sz w:val="22"/>
              </w:rPr>
              <w:t>IQVIA</w:t>
            </w:r>
            <w:r>
              <w:rPr>
                <w:b/>
                <w:sz w:val="22"/>
                <w:vertAlign w:val="superscript"/>
              </w:rPr>
              <w:t>TM</w:t>
            </w:r>
            <w:r>
              <w:rPr>
                <w:b/>
                <w:sz w:val="22"/>
                <w:vertAlign w:val="baseline"/>
              </w:rPr>
              <w:t> Work Instruction Handling</w:t>
            </w:r>
            <w:r>
              <w:rPr>
                <w:b/>
                <w:spacing w:val="-11"/>
                <w:sz w:val="22"/>
                <w:vertAlign w:val="baseline"/>
              </w:rPr>
              <w:t> </w:t>
            </w:r>
            <w:r>
              <w:rPr>
                <w:b/>
                <w:sz w:val="22"/>
                <w:vertAlign w:val="baseline"/>
              </w:rPr>
              <w:t>Randomization</w:t>
            </w:r>
            <w:r>
              <w:rPr>
                <w:b/>
                <w:spacing w:val="-11"/>
                <w:sz w:val="22"/>
                <w:vertAlign w:val="baseline"/>
              </w:rPr>
              <w:t> </w:t>
            </w:r>
            <w:r>
              <w:rPr>
                <w:b/>
                <w:sz w:val="22"/>
                <w:vertAlign w:val="baseline"/>
              </w:rPr>
              <w:t>Material</w:t>
            </w:r>
            <w:r>
              <w:rPr>
                <w:b/>
                <w:spacing w:val="-5"/>
                <w:sz w:val="22"/>
                <w:vertAlign w:val="baseline"/>
              </w:rPr>
              <w:t> </w:t>
            </w:r>
            <w:r>
              <w:rPr>
                <w:b/>
                <w:sz w:val="22"/>
                <w:vertAlign w:val="baseline"/>
              </w:rPr>
              <w:t>in</w:t>
            </w:r>
            <w:r>
              <w:rPr>
                <w:b/>
                <w:spacing w:val="-10"/>
                <w:sz w:val="22"/>
                <w:vertAlign w:val="baseline"/>
              </w:rPr>
              <w:t> </w:t>
            </w:r>
            <w:r>
              <w:rPr>
                <w:b/>
                <w:sz w:val="22"/>
                <w:vertAlign w:val="baseline"/>
              </w:rPr>
              <w:t>Open</w:t>
            </w:r>
          </w:p>
          <w:p>
            <w:pPr>
              <w:pStyle w:val="TableParagraph"/>
              <w:spacing w:before="9"/>
              <w:ind w:left="1845"/>
              <w:rPr>
                <w:b/>
                <w:sz w:val="22"/>
              </w:rPr>
            </w:pPr>
            <w:r>
              <w:rPr>
                <w:b/>
                <w:sz w:val="22"/>
              </w:rPr>
              <w:t>Label</w:t>
            </w:r>
            <w:r>
              <w:rPr>
                <w:b/>
                <w:spacing w:val="-5"/>
                <w:sz w:val="22"/>
              </w:rPr>
              <w:t> </w:t>
            </w:r>
            <w:r>
              <w:rPr>
                <w:b/>
                <w:spacing w:val="-2"/>
                <w:sz w:val="22"/>
              </w:rPr>
              <w:t>Studies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CS_WI_BS0236</w:t>
            </w:r>
            <w:r>
              <w:rPr>
                <w:spacing w:val="-11"/>
                <w:sz w:val="20"/>
              </w:rPr>
              <w:t> </w:t>
            </w:r>
            <w:r>
              <w:rPr>
                <w:sz w:val="20"/>
              </w:rPr>
              <w:t>Revision</w:t>
            </w:r>
            <w:r>
              <w:rPr>
                <w:spacing w:val="-7"/>
                <w:sz w:val="20"/>
              </w:rPr>
              <w:t> </w:t>
            </w:r>
            <w:r>
              <w:rPr>
                <w:spacing w:val="-10"/>
                <w:sz w:val="20"/>
              </w:rPr>
              <w:t>2</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Carrie</w:t>
            </w:r>
            <w:r>
              <w:rPr>
                <w:spacing w:val="-7"/>
                <w:sz w:val="20"/>
              </w:rPr>
              <w:t> </w:t>
            </w:r>
            <w:r>
              <w:rPr>
                <w:spacing w:val="-2"/>
                <w:sz w:val="20"/>
              </w:rPr>
              <w:t>Eason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Ellen</w:t>
            </w:r>
            <w:r>
              <w:rPr>
                <w:spacing w:val="-5"/>
                <w:sz w:val="20"/>
              </w:rPr>
              <w:t> </w:t>
            </w:r>
            <w:r>
              <w:rPr>
                <w:spacing w:val="-2"/>
                <w:sz w:val="20"/>
              </w:rPr>
              <w:t>Hermes</w:t>
            </w:r>
          </w:p>
        </w:tc>
      </w:tr>
    </w:tbl>
    <w:p>
      <w:pPr>
        <w:pStyle w:val="BodyText"/>
        <w:rPr>
          <w:rFonts w:ascii="Times New Roman"/>
          <w:sz w:val="20"/>
        </w:rPr>
      </w:pPr>
    </w:p>
    <w:p>
      <w:pPr>
        <w:pStyle w:val="BodyText"/>
        <w:spacing w:before="7"/>
        <w:rPr>
          <w:rFonts w:ascii="Times New Roman"/>
          <w:sz w:val="15"/>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1"/>
        <w:ind w:left="1260" w:right="569"/>
      </w:pPr>
      <w:r>
        <w:rPr/>
        <w:t>To</w:t>
      </w:r>
      <w:r>
        <w:rPr>
          <w:spacing w:val="-3"/>
        </w:rPr>
        <w:t> </w:t>
      </w:r>
      <w:r>
        <w:rPr/>
        <w:t>describe</w:t>
      </w:r>
      <w:r>
        <w:rPr>
          <w:spacing w:val="-3"/>
        </w:rPr>
        <w:t> </w:t>
      </w:r>
      <w:r>
        <w:rPr/>
        <w:t>the</w:t>
      </w:r>
      <w:r>
        <w:rPr>
          <w:spacing w:val="-3"/>
        </w:rPr>
        <w:t> </w:t>
      </w:r>
      <w:r>
        <w:rPr/>
        <w:t>process</w:t>
      </w:r>
      <w:r>
        <w:rPr>
          <w:spacing w:val="-3"/>
        </w:rPr>
        <w:t> </w:t>
      </w:r>
      <w:r>
        <w:rPr/>
        <w:t>to</w:t>
      </w:r>
      <w:r>
        <w:rPr>
          <w:spacing w:val="-1"/>
        </w:rPr>
        <w:t> </w:t>
      </w:r>
      <w:r>
        <w:rPr/>
        <w:t>reduce</w:t>
      </w:r>
      <w:r>
        <w:rPr>
          <w:spacing w:val="-4"/>
        </w:rPr>
        <w:t> </w:t>
      </w:r>
      <w:r>
        <w:rPr/>
        <w:t>the</w:t>
      </w:r>
      <w:r>
        <w:rPr>
          <w:spacing w:val="-3"/>
        </w:rPr>
        <w:t> </w:t>
      </w:r>
      <w:r>
        <w:rPr/>
        <w:t>risk</w:t>
      </w:r>
      <w:r>
        <w:rPr>
          <w:spacing w:val="-3"/>
        </w:rPr>
        <w:t> </w:t>
      </w:r>
      <w:r>
        <w:rPr/>
        <w:t>of</w:t>
      </w:r>
      <w:r>
        <w:rPr>
          <w:spacing w:val="-3"/>
        </w:rPr>
        <w:t> </w:t>
      </w:r>
      <w:r>
        <w:rPr/>
        <w:t>bias</w:t>
      </w:r>
      <w:r>
        <w:rPr>
          <w:spacing w:val="-3"/>
        </w:rPr>
        <w:t> </w:t>
      </w:r>
      <w:r>
        <w:rPr/>
        <w:t>in</w:t>
      </w:r>
      <w:r>
        <w:rPr>
          <w:spacing w:val="-3"/>
        </w:rPr>
        <w:t> </w:t>
      </w:r>
      <w:r>
        <w:rPr/>
        <w:t>randomized,</w:t>
      </w:r>
      <w:r>
        <w:rPr>
          <w:spacing w:val="-3"/>
        </w:rPr>
        <w:t> </w:t>
      </w:r>
      <w:r>
        <w:rPr/>
        <w:t>open-label</w:t>
      </w:r>
      <w:r>
        <w:rPr>
          <w:spacing w:val="-3"/>
        </w:rPr>
        <w:t> </w:t>
      </w:r>
      <w:r>
        <w:rPr/>
        <w:t>studies. To describe the process by which the randomization list is to be released for final</w:t>
      </w:r>
      <w:r>
        <w:rPr>
          <w:spacing w:val="-2"/>
        </w:rPr>
        <w:t> </w:t>
      </w:r>
      <w:r>
        <w:rPr/>
        <w:t>analysis.</w:t>
      </w:r>
    </w:p>
    <w:p>
      <w:pPr>
        <w:pStyle w:val="BodyText"/>
        <w:spacing w:before="123"/>
        <w:ind w:left="1260" w:right="569"/>
      </w:pPr>
      <w:r>
        <w:rPr/>
        <w:t>If</w:t>
      </w:r>
      <w:r>
        <w:rPr>
          <w:spacing w:val="-3"/>
        </w:rPr>
        <w:t> </w:t>
      </w:r>
      <w:r>
        <w:rPr/>
        <w:t>IQVIA</w:t>
      </w:r>
      <w:r>
        <w:rPr>
          <w:spacing w:val="-3"/>
        </w:rPr>
        <w:t> </w:t>
      </w:r>
      <w:r>
        <w:rPr/>
        <w:t>Biostatistics</w:t>
      </w:r>
      <w:r>
        <w:rPr>
          <w:spacing w:val="-3"/>
        </w:rPr>
        <w:t> </w:t>
      </w:r>
      <w:r>
        <w:rPr/>
        <w:t>are</w:t>
      </w:r>
      <w:r>
        <w:rPr>
          <w:spacing w:val="-3"/>
        </w:rPr>
        <w:t> </w:t>
      </w:r>
      <w:r>
        <w:rPr/>
        <w:t>to</w:t>
      </w:r>
      <w:r>
        <w:rPr>
          <w:spacing w:val="-3"/>
        </w:rPr>
        <w:t> </w:t>
      </w:r>
      <w:r>
        <w:rPr/>
        <w:t>remain</w:t>
      </w:r>
      <w:r>
        <w:rPr>
          <w:spacing w:val="-3"/>
        </w:rPr>
        <w:t> </w:t>
      </w:r>
      <w:r>
        <w:rPr/>
        <w:t>blinded,</w:t>
      </w:r>
      <w:r>
        <w:rPr>
          <w:spacing w:val="-3"/>
        </w:rPr>
        <w:t> </w:t>
      </w:r>
      <w:r>
        <w:rPr/>
        <w:t>the</w:t>
      </w:r>
      <w:r>
        <w:rPr>
          <w:spacing w:val="-3"/>
        </w:rPr>
        <w:t> </w:t>
      </w:r>
      <w:r>
        <w:rPr/>
        <w:t>unblinding</w:t>
      </w:r>
      <w:r>
        <w:rPr>
          <w:spacing w:val="-3"/>
        </w:rPr>
        <w:t> </w:t>
      </w:r>
      <w:r>
        <w:rPr/>
        <w:t>of</w:t>
      </w:r>
      <w:r>
        <w:rPr>
          <w:spacing w:val="-3"/>
        </w:rPr>
        <w:t> </w:t>
      </w:r>
      <w:r>
        <w:rPr/>
        <w:t>the</w:t>
      </w:r>
      <w:r>
        <w:rPr>
          <w:spacing w:val="-3"/>
        </w:rPr>
        <w:t> </w:t>
      </w:r>
      <w:r>
        <w:rPr/>
        <w:t>study</w:t>
      </w:r>
      <w:r>
        <w:rPr>
          <w:spacing w:val="-3"/>
        </w:rPr>
        <w:t> </w:t>
      </w:r>
      <w:r>
        <w:rPr/>
        <w:t>should</w:t>
      </w:r>
      <w:r>
        <w:rPr>
          <w:spacing w:val="-3"/>
        </w:rPr>
        <w:t> </w:t>
      </w:r>
      <w:r>
        <w:rPr/>
        <w:t>be handled according to CS_WI_BS003 (Unblinding).</w:t>
      </w:r>
    </w:p>
    <w:p>
      <w:pPr>
        <w:pStyle w:val="BodyText"/>
        <w:spacing w:before="118"/>
        <w:ind w:left="1259" w:right="569"/>
      </w:pPr>
      <w:r>
        <w:rPr/>
        <w:t>This</w:t>
      </w:r>
      <w:r>
        <w:rPr>
          <w:spacing w:val="-6"/>
        </w:rPr>
        <w:t> </w:t>
      </w:r>
      <w:r>
        <w:rPr/>
        <w:t>Work</w:t>
      </w:r>
      <w:r>
        <w:rPr>
          <w:spacing w:val="-3"/>
        </w:rPr>
        <w:t> </w:t>
      </w:r>
      <w:r>
        <w:rPr/>
        <w:t>Instruction does</w:t>
      </w:r>
      <w:r>
        <w:rPr>
          <w:spacing w:val="-3"/>
        </w:rPr>
        <w:t> </w:t>
      </w:r>
      <w:r>
        <w:rPr/>
        <w:t>not</w:t>
      </w:r>
      <w:r>
        <w:rPr>
          <w:spacing w:val="-3"/>
        </w:rPr>
        <w:t> </w:t>
      </w:r>
      <w:r>
        <w:rPr/>
        <w:t>cover</w:t>
      </w:r>
      <w:r>
        <w:rPr>
          <w:spacing w:val="-3"/>
        </w:rPr>
        <w:t> </w:t>
      </w:r>
      <w:r>
        <w:rPr/>
        <w:t>the</w:t>
      </w:r>
      <w:r>
        <w:rPr>
          <w:spacing w:val="-3"/>
        </w:rPr>
        <w:t> </w:t>
      </w:r>
      <w:r>
        <w:rPr/>
        <w:t>randomization</w:t>
      </w:r>
      <w:r>
        <w:rPr>
          <w:spacing w:val="-3"/>
        </w:rPr>
        <w:t> </w:t>
      </w:r>
      <w:r>
        <w:rPr/>
        <w:t>process</w:t>
      </w:r>
      <w:r>
        <w:rPr>
          <w:spacing w:val="-3"/>
        </w:rPr>
        <w:t> </w:t>
      </w:r>
      <w:r>
        <w:rPr/>
        <w:t>for</w:t>
      </w:r>
      <w:r>
        <w:rPr>
          <w:spacing w:val="-3"/>
        </w:rPr>
        <w:t> </w:t>
      </w:r>
      <w:r>
        <w:rPr/>
        <w:t>open</w:t>
      </w:r>
      <w:r>
        <w:rPr>
          <w:spacing w:val="-3"/>
        </w:rPr>
        <w:t> </w:t>
      </w:r>
      <w:r>
        <w:rPr/>
        <w:t>label</w:t>
      </w:r>
      <w:r>
        <w:rPr>
          <w:spacing w:val="-3"/>
        </w:rPr>
        <w:t> </w:t>
      </w:r>
      <w:r>
        <w:rPr/>
        <w:t>studies; </w:t>
      </w:r>
      <w:bookmarkStart w:name="SCOPE" w:id="2"/>
      <w:bookmarkEnd w:id="2"/>
      <w:r>
        <w:rPr/>
        <w:t>thi</w:t>
      </w:r>
      <w:r>
        <w:rPr/>
        <w:t>s process is covered by CS_WI_BS002 (Randomization).</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r>
        <w:rPr>
          <w:spacing w:val="-2"/>
        </w:rPr>
        <w:t>SCOPE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79" w:right="694" w:hanging="720"/>
        <w:jc w:val="left"/>
        <w:rPr>
          <w:sz w:val="22"/>
        </w:rPr>
      </w:pPr>
      <w:r>
        <w:rPr>
          <w:sz w:val="22"/>
        </w:rPr>
        <w:t>This work instruction (WI) applies to all projects globally where the study is randomized,</w:t>
      </w:r>
      <w:r>
        <w:rPr>
          <w:spacing w:val="-4"/>
          <w:sz w:val="22"/>
        </w:rPr>
        <w:t> </w:t>
      </w:r>
      <w:r>
        <w:rPr>
          <w:sz w:val="22"/>
        </w:rPr>
        <w:t>open-label</w:t>
      </w:r>
      <w:r>
        <w:rPr>
          <w:spacing w:val="-4"/>
          <w:sz w:val="22"/>
        </w:rPr>
        <w:t> </w:t>
      </w:r>
      <w:r>
        <w:rPr>
          <w:sz w:val="22"/>
        </w:rPr>
        <w:t>and</w:t>
      </w:r>
      <w:r>
        <w:rPr>
          <w:spacing w:val="-4"/>
          <w:sz w:val="22"/>
        </w:rPr>
        <w:t> </w:t>
      </w:r>
      <w:r>
        <w:rPr>
          <w:sz w:val="22"/>
        </w:rPr>
        <w:t>IQVIA</w:t>
      </w:r>
      <w:r>
        <w:rPr>
          <w:spacing w:val="-4"/>
          <w:sz w:val="22"/>
        </w:rPr>
        <w:t> </w:t>
      </w:r>
      <w:r>
        <w:rPr>
          <w:sz w:val="22"/>
        </w:rPr>
        <w:t>Biostatistics</w:t>
      </w:r>
      <w:r>
        <w:rPr>
          <w:spacing w:val="-4"/>
          <w:sz w:val="22"/>
        </w:rPr>
        <w:t> </w:t>
      </w:r>
      <w:r>
        <w:rPr>
          <w:sz w:val="22"/>
        </w:rPr>
        <w:t>are</w:t>
      </w:r>
      <w:r>
        <w:rPr>
          <w:spacing w:val="-4"/>
          <w:sz w:val="22"/>
        </w:rPr>
        <w:t> </w:t>
      </w:r>
      <w:r>
        <w:rPr>
          <w:sz w:val="22"/>
        </w:rPr>
        <w:t>responsible</w:t>
      </w:r>
      <w:r>
        <w:rPr>
          <w:spacing w:val="-4"/>
          <w:sz w:val="22"/>
        </w:rPr>
        <w:t> </w:t>
      </w:r>
      <w:r>
        <w:rPr>
          <w:sz w:val="22"/>
        </w:rPr>
        <w:t>for</w:t>
      </w:r>
      <w:r>
        <w:rPr>
          <w:spacing w:val="-7"/>
          <w:sz w:val="22"/>
        </w:rPr>
        <w:t> </w:t>
      </w:r>
      <w:r>
        <w:rPr>
          <w:sz w:val="22"/>
        </w:rPr>
        <w:t>the</w:t>
      </w:r>
      <w:r>
        <w:rPr>
          <w:spacing w:val="-4"/>
          <w:sz w:val="22"/>
        </w:rPr>
        <w:t> </w:t>
      </w:r>
      <w:r>
        <w:rPr>
          <w:sz w:val="22"/>
        </w:rPr>
        <w:t>analysis </w:t>
      </w:r>
      <w:bookmarkStart w:name="ROLES AND RESPONSIBILITIES" w:id="3"/>
      <w:bookmarkEnd w:id="3"/>
      <w:r>
        <w:rPr>
          <w:sz w:val="22"/>
        </w:rPr>
        <w:t>of</w:t>
      </w:r>
      <w:r>
        <w:rPr>
          <w:sz w:val="22"/>
        </w:rPr>
        <w:t> the study.</w:t>
      </w:r>
    </w:p>
    <w:p>
      <w:pPr>
        <w:pStyle w:val="BodyText"/>
        <w:spacing w:before="5"/>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r>
        <w:rPr/>
        <w:t>ROLES</w:t>
      </w:r>
      <w:r>
        <w:rPr>
          <w:spacing w:val="-5"/>
        </w:rPr>
        <w:t> </w:t>
      </w:r>
      <w:r>
        <w:rPr/>
        <w:t>AND</w:t>
      </w:r>
      <w:r>
        <w:rPr>
          <w:spacing w:val="-5"/>
        </w:rPr>
        <w:t> </w:t>
      </w:r>
      <w:r>
        <w:rPr>
          <w:spacing w:val="-2"/>
        </w:rPr>
        <w:t>RESPONSIBILITIES</w:t>
      </w:r>
    </w:p>
    <w:p>
      <w:pPr>
        <w:pStyle w:val="BodyText"/>
        <w:spacing w:before="126"/>
        <w:ind w:left="1259"/>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rPr>
          <w:sz w:val="20"/>
        </w:rPr>
      </w:pPr>
    </w:p>
    <w:p>
      <w:pPr>
        <w:pStyle w:val="BodyText"/>
        <w:spacing w:before="1"/>
        <w:rPr>
          <w:sz w:val="23"/>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spacing w:before="38"/>
              <w:ind w:left="105"/>
              <w:rPr>
                <w:sz w:val="22"/>
              </w:rPr>
            </w:pPr>
            <w:r>
              <w:rPr>
                <w:sz w:val="22"/>
              </w:rPr>
              <w:t>Statistical</w:t>
            </w:r>
            <w:r>
              <w:rPr>
                <w:spacing w:val="-6"/>
                <w:sz w:val="22"/>
              </w:rPr>
              <w:t> </w:t>
            </w:r>
            <w:r>
              <w:rPr>
                <w:sz w:val="22"/>
              </w:rPr>
              <w:t>Team</w:t>
            </w:r>
            <w:r>
              <w:rPr>
                <w:spacing w:val="-5"/>
                <w:sz w:val="22"/>
              </w:rPr>
              <w:t> </w:t>
            </w:r>
            <w:r>
              <w:rPr>
                <w:sz w:val="22"/>
              </w:rPr>
              <w:t>Lead</w:t>
            </w:r>
            <w:r>
              <w:rPr>
                <w:spacing w:val="-5"/>
                <w:sz w:val="22"/>
              </w:rPr>
              <w:t> </w:t>
            </w:r>
            <w:r>
              <w:rPr>
                <w:sz w:val="22"/>
              </w:rPr>
              <w:t>(STL)</w:t>
            </w:r>
            <w:r>
              <w:rPr>
                <w:spacing w:val="-5"/>
                <w:sz w:val="22"/>
              </w:rPr>
              <w:t> </w:t>
            </w:r>
            <w:r>
              <w:rPr>
                <w:sz w:val="22"/>
              </w:rPr>
              <w:t>or</w:t>
            </w:r>
            <w:r>
              <w:rPr>
                <w:spacing w:val="-5"/>
                <w:sz w:val="22"/>
              </w:rPr>
              <w:t> </w:t>
            </w:r>
            <w:r>
              <w:rPr>
                <w:spacing w:val="-2"/>
                <w:sz w:val="22"/>
              </w:rPr>
              <w:t>designee</w:t>
            </w:r>
          </w:p>
        </w:tc>
        <w:tc>
          <w:tcPr>
            <w:tcW w:w="3595" w:type="dxa"/>
          </w:tcPr>
          <w:p>
            <w:pPr>
              <w:pStyle w:val="TableParagraph"/>
              <w:spacing w:before="38"/>
              <w:ind w:left="105"/>
              <w:rPr>
                <w:sz w:val="22"/>
              </w:rPr>
            </w:pPr>
            <w:r>
              <w:rPr>
                <w:sz w:val="22"/>
              </w:rPr>
              <w:t>6.1,</w:t>
            </w:r>
            <w:r>
              <w:rPr>
                <w:spacing w:val="-4"/>
                <w:sz w:val="22"/>
              </w:rPr>
              <w:t> </w:t>
            </w:r>
            <w:r>
              <w:rPr>
                <w:sz w:val="22"/>
              </w:rPr>
              <w:t>6.2,</w:t>
            </w:r>
            <w:r>
              <w:rPr>
                <w:spacing w:val="-3"/>
                <w:sz w:val="22"/>
              </w:rPr>
              <w:t> </w:t>
            </w:r>
            <w:r>
              <w:rPr>
                <w:sz w:val="22"/>
              </w:rPr>
              <w:t>6.3,</w:t>
            </w:r>
            <w:r>
              <w:rPr>
                <w:spacing w:val="-3"/>
                <w:sz w:val="22"/>
              </w:rPr>
              <w:t> </w:t>
            </w:r>
            <w:r>
              <w:rPr>
                <w:spacing w:val="-5"/>
                <w:sz w:val="22"/>
              </w:rPr>
              <w:t>6.4</w:t>
            </w:r>
          </w:p>
        </w:tc>
      </w:tr>
      <w:tr>
        <w:trPr>
          <w:trHeight w:val="330" w:hRule="atLeast"/>
        </w:trPr>
        <w:tc>
          <w:tcPr>
            <w:tcW w:w="5213" w:type="dxa"/>
          </w:tcPr>
          <w:p>
            <w:pPr>
              <w:pStyle w:val="TableParagraph"/>
              <w:spacing w:before="38"/>
              <w:ind w:left="105"/>
              <w:rPr>
                <w:sz w:val="22"/>
              </w:rPr>
            </w:pPr>
            <w:r>
              <w:rPr>
                <w:sz w:val="22"/>
              </w:rPr>
              <w:t>Independent</w:t>
            </w:r>
            <w:r>
              <w:rPr>
                <w:spacing w:val="-13"/>
                <w:sz w:val="22"/>
              </w:rPr>
              <w:t> </w:t>
            </w:r>
            <w:r>
              <w:rPr>
                <w:sz w:val="22"/>
              </w:rPr>
              <w:t>Biostatistician</w:t>
            </w:r>
            <w:r>
              <w:rPr>
                <w:spacing w:val="-13"/>
                <w:sz w:val="22"/>
              </w:rPr>
              <w:t> </w:t>
            </w:r>
            <w:r>
              <w:rPr>
                <w:spacing w:val="-4"/>
                <w:sz w:val="22"/>
              </w:rPr>
              <w:t>(IB)</w:t>
            </w:r>
          </w:p>
        </w:tc>
        <w:tc>
          <w:tcPr>
            <w:tcW w:w="3595" w:type="dxa"/>
          </w:tcPr>
          <w:p>
            <w:pPr>
              <w:pStyle w:val="TableParagraph"/>
              <w:spacing w:before="38"/>
              <w:ind w:left="105"/>
              <w:rPr>
                <w:sz w:val="22"/>
              </w:rPr>
            </w:pPr>
            <w:r>
              <w:rPr>
                <w:sz w:val="22"/>
              </w:rPr>
              <w:t>6.1,</w:t>
            </w:r>
            <w:r>
              <w:rPr>
                <w:spacing w:val="-1"/>
                <w:sz w:val="22"/>
              </w:rPr>
              <w:t> </w:t>
            </w:r>
            <w:r>
              <w:rPr>
                <w:spacing w:val="-5"/>
                <w:sz w:val="22"/>
              </w:rPr>
              <w:t>6.3</w:t>
            </w:r>
          </w:p>
        </w:tc>
      </w:tr>
      <w:tr>
        <w:trPr>
          <w:trHeight w:val="335" w:hRule="atLeast"/>
        </w:trPr>
        <w:tc>
          <w:tcPr>
            <w:tcW w:w="5213" w:type="dxa"/>
          </w:tcPr>
          <w:p>
            <w:pPr>
              <w:pStyle w:val="TableParagraph"/>
              <w:spacing w:before="38"/>
              <w:ind w:left="105"/>
              <w:rPr>
                <w:sz w:val="22"/>
              </w:rPr>
            </w:pPr>
            <w:r>
              <w:rPr>
                <w:sz w:val="22"/>
              </w:rPr>
              <w:t>Randomization</w:t>
            </w:r>
            <w:r>
              <w:rPr>
                <w:spacing w:val="-14"/>
                <w:sz w:val="22"/>
              </w:rPr>
              <w:t> </w:t>
            </w:r>
            <w:r>
              <w:rPr>
                <w:sz w:val="22"/>
              </w:rPr>
              <w:t>Biostatistician</w:t>
            </w:r>
            <w:r>
              <w:rPr>
                <w:spacing w:val="-14"/>
                <w:sz w:val="22"/>
              </w:rPr>
              <w:t> </w:t>
            </w:r>
            <w:r>
              <w:rPr>
                <w:spacing w:val="-4"/>
                <w:sz w:val="22"/>
              </w:rPr>
              <w:t>(RB)</w:t>
            </w:r>
          </w:p>
        </w:tc>
        <w:tc>
          <w:tcPr>
            <w:tcW w:w="3595" w:type="dxa"/>
          </w:tcPr>
          <w:p>
            <w:pPr>
              <w:pStyle w:val="TableParagraph"/>
              <w:spacing w:before="38"/>
              <w:ind w:left="105"/>
              <w:rPr>
                <w:sz w:val="22"/>
              </w:rPr>
            </w:pPr>
            <w:r>
              <w:rPr>
                <w:spacing w:val="-5"/>
                <w:sz w:val="22"/>
              </w:rPr>
              <w:t>6.4</w:t>
            </w:r>
          </w:p>
        </w:tc>
      </w:tr>
    </w:tbl>
    <w:p>
      <w:pPr>
        <w:pStyle w:val="BodyText"/>
        <w:spacing w:before="1"/>
        <w:rPr>
          <w:sz w:val="12"/>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DEFINITIONS" w:id="4"/>
      <w:bookmarkEnd w:id="4"/>
      <w:r>
        <w:rPr>
          <w:spacing w:val="-2"/>
        </w:rPr>
        <w:t>DEFINITIONS</w:t>
      </w:r>
    </w:p>
    <w:p>
      <w:pPr>
        <w:spacing w:line="244" w:lineRule="auto" w:before="121"/>
        <w:ind w:left="1260" w:right="569" w:firstLine="0"/>
        <w:jc w:val="left"/>
        <w:rPr>
          <w:sz w:val="22"/>
        </w:rPr>
      </w:pPr>
      <w:r>
        <w:rPr>
          <w:b/>
          <w:sz w:val="22"/>
        </w:rPr>
        <w:t>Independent</w:t>
      </w:r>
      <w:r>
        <w:rPr>
          <w:b/>
          <w:spacing w:val="-5"/>
          <w:sz w:val="22"/>
        </w:rPr>
        <w:t> </w:t>
      </w:r>
      <w:r>
        <w:rPr>
          <w:b/>
          <w:sz w:val="22"/>
        </w:rPr>
        <w:t>Biostatistician</w:t>
      </w:r>
      <w:r>
        <w:rPr>
          <w:b/>
          <w:spacing w:val="-6"/>
          <w:sz w:val="22"/>
        </w:rPr>
        <w:t> </w:t>
      </w:r>
      <w:r>
        <w:rPr>
          <w:b/>
          <w:sz w:val="22"/>
        </w:rPr>
        <w:t>(IB):</w:t>
      </w:r>
      <w:r>
        <w:rPr>
          <w:b/>
          <w:spacing w:val="40"/>
          <w:sz w:val="22"/>
        </w:rPr>
        <w:t> </w:t>
      </w:r>
      <w:r>
        <w:rPr>
          <w:sz w:val="22"/>
        </w:rPr>
        <w:t>A</w:t>
      </w:r>
      <w:r>
        <w:rPr>
          <w:spacing w:val="-5"/>
          <w:sz w:val="22"/>
        </w:rPr>
        <w:t> </w:t>
      </w:r>
      <w:r>
        <w:rPr>
          <w:sz w:val="22"/>
        </w:rPr>
        <w:t>suitably-experienced</w:t>
      </w:r>
      <w:r>
        <w:rPr>
          <w:spacing w:val="-5"/>
          <w:sz w:val="22"/>
        </w:rPr>
        <w:t> </w:t>
      </w:r>
      <w:r>
        <w:rPr>
          <w:sz w:val="22"/>
        </w:rPr>
        <w:t>statistician</w:t>
      </w:r>
      <w:r>
        <w:rPr>
          <w:spacing w:val="-5"/>
          <w:sz w:val="22"/>
        </w:rPr>
        <w:t> </w:t>
      </w:r>
      <w:r>
        <w:rPr>
          <w:sz w:val="22"/>
        </w:rPr>
        <w:t>who</w:t>
      </w:r>
      <w:r>
        <w:rPr>
          <w:spacing w:val="-5"/>
          <w:sz w:val="22"/>
        </w:rPr>
        <w:t> </w:t>
      </w:r>
      <w:r>
        <w:rPr>
          <w:sz w:val="22"/>
        </w:rPr>
        <w:t>can</w:t>
      </w:r>
      <w:r>
        <w:rPr>
          <w:spacing w:val="-5"/>
          <w:sz w:val="22"/>
        </w:rPr>
        <w:t> </w:t>
      </w:r>
      <w:r>
        <w:rPr>
          <w:sz w:val="22"/>
        </w:rPr>
        <w:t>perform reviews of randomization material but will not be part of the analysis team.</w:t>
      </w:r>
    </w:p>
    <w:p>
      <w:pPr>
        <w:pStyle w:val="BodyText"/>
        <w:spacing w:line="242" w:lineRule="auto" w:before="108"/>
        <w:ind w:left="1260" w:right="569"/>
      </w:pPr>
      <w:r>
        <w:rPr>
          <w:b/>
        </w:rPr>
        <w:t>Randomization</w:t>
      </w:r>
      <w:r>
        <w:rPr>
          <w:b/>
          <w:spacing w:val="-3"/>
        </w:rPr>
        <w:t> </w:t>
      </w:r>
      <w:r>
        <w:rPr>
          <w:b/>
        </w:rPr>
        <w:t>Vendor:</w:t>
      </w:r>
      <w:r>
        <w:rPr>
          <w:b/>
          <w:spacing w:val="40"/>
        </w:rPr>
        <w:t> </w:t>
      </w:r>
      <w:r>
        <w:rPr/>
        <w:t>Group</w:t>
      </w:r>
      <w:r>
        <w:rPr>
          <w:spacing w:val="-3"/>
        </w:rPr>
        <w:t> </w:t>
      </w:r>
      <w:r>
        <w:rPr/>
        <w:t>responsible</w:t>
      </w:r>
      <w:r>
        <w:rPr>
          <w:spacing w:val="-3"/>
        </w:rPr>
        <w:t> </w:t>
      </w:r>
      <w:r>
        <w:rPr/>
        <w:t>for</w:t>
      </w:r>
      <w:r>
        <w:rPr>
          <w:spacing w:val="-3"/>
        </w:rPr>
        <w:t> </w:t>
      </w:r>
      <w:r>
        <w:rPr/>
        <w:t>generating</w:t>
      </w:r>
      <w:r>
        <w:rPr>
          <w:spacing w:val="-3"/>
        </w:rPr>
        <w:t> </w:t>
      </w:r>
      <w:r>
        <w:rPr/>
        <w:t>the</w:t>
      </w:r>
      <w:r>
        <w:rPr>
          <w:spacing w:val="-3"/>
        </w:rPr>
        <w:t> </w:t>
      </w:r>
      <w:r>
        <w:rPr/>
        <w:t>randomization</w:t>
      </w:r>
      <w:r>
        <w:rPr>
          <w:spacing w:val="-3"/>
        </w:rPr>
        <w:t> </w:t>
      </w:r>
      <w:r>
        <w:rPr/>
        <w:t>material. This may be IQVIA’s Global Biostatistics (GBIOS) Randomization Team, Early Clinical Development (ECD) Randomization team or a third-party vendor. If IQVIA’s GBIOS Randomization</w:t>
      </w:r>
      <w:r>
        <w:rPr>
          <w:spacing w:val="-4"/>
        </w:rPr>
        <w:t> </w:t>
      </w:r>
      <w:r>
        <w:rPr/>
        <w:t>Team</w:t>
      </w:r>
      <w:r>
        <w:rPr>
          <w:spacing w:val="-3"/>
        </w:rPr>
        <w:t> </w:t>
      </w:r>
      <w:r>
        <w:rPr/>
        <w:t>or</w:t>
      </w:r>
      <w:r>
        <w:rPr>
          <w:spacing w:val="-7"/>
        </w:rPr>
        <w:t> </w:t>
      </w:r>
      <w:r>
        <w:rPr/>
        <w:t>ECD</w:t>
      </w:r>
      <w:r>
        <w:rPr>
          <w:spacing w:val="-4"/>
        </w:rPr>
        <w:t> </w:t>
      </w:r>
      <w:r>
        <w:rPr/>
        <w:t>Randomization</w:t>
      </w:r>
      <w:r>
        <w:rPr>
          <w:spacing w:val="-5"/>
        </w:rPr>
        <w:t> </w:t>
      </w:r>
      <w:r>
        <w:rPr/>
        <w:t>team</w:t>
      </w:r>
      <w:r>
        <w:rPr>
          <w:spacing w:val="-4"/>
        </w:rPr>
        <w:t> </w:t>
      </w:r>
      <w:r>
        <w:rPr/>
        <w:t>are</w:t>
      </w:r>
      <w:r>
        <w:rPr>
          <w:spacing w:val="-4"/>
        </w:rPr>
        <w:t> </w:t>
      </w:r>
      <w:r>
        <w:rPr/>
        <w:t>generating</w:t>
      </w:r>
      <w:r>
        <w:rPr>
          <w:spacing w:val="-4"/>
        </w:rPr>
        <w:t> </w:t>
      </w:r>
      <w:r>
        <w:rPr/>
        <w:t>the</w:t>
      </w:r>
      <w:r>
        <w:rPr>
          <w:spacing w:val="-4"/>
        </w:rPr>
        <w:t> </w:t>
      </w:r>
      <w:r>
        <w:rPr/>
        <w:t>material,</w:t>
      </w:r>
      <w:r>
        <w:rPr>
          <w:spacing w:val="-4"/>
        </w:rPr>
        <w:t> </w:t>
      </w:r>
      <w:r>
        <w:rPr/>
        <w:t>they</w:t>
      </w:r>
      <w:r>
        <w:rPr>
          <w:spacing w:val="-4"/>
        </w:rPr>
        <w:t> </w:t>
      </w:r>
      <w:r>
        <w:rPr/>
        <w:t>will have assigned a Randomization Biostatistician (RB).</w:t>
      </w:r>
    </w:p>
    <w:p>
      <w:pPr>
        <w:pStyle w:val="BodyText"/>
        <w:spacing w:line="242" w:lineRule="auto" w:before="110"/>
        <w:ind w:left="1260" w:right="371"/>
      </w:pPr>
      <w:r>
        <w:rPr>
          <w:b/>
        </w:rPr>
        <w:t>Sources</w:t>
      </w:r>
      <w:r>
        <w:rPr>
          <w:b/>
          <w:spacing w:val="-4"/>
        </w:rPr>
        <w:t> </w:t>
      </w:r>
      <w:r>
        <w:rPr>
          <w:b/>
        </w:rPr>
        <w:t>of</w:t>
      </w:r>
      <w:r>
        <w:rPr>
          <w:b/>
          <w:spacing w:val="-4"/>
        </w:rPr>
        <w:t> </w:t>
      </w:r>
      <w:r>
        <w:rPr>
          <w:b/>
        </w:rPr>
        <w:t>bias:</w:t>
      </w:r>
      <w:r>
        <w:rPr>
          <w:b/>
          <w:spacing w:val="40"/>
        </w:rPr>
        <w:t> </w:t>
      </w:r>
      <w:r>
        <w:rPr/>
        <w:t>The</w:t>
      </w:r>
      <w:r>
        <w:rPr>
          <w:spacing w:val="-4"/>
        </w:rPr>
        <w:t> </w:t>
      </w:r>
      <w:r>
        <w:rPr/>
        <w:t>risk</w:t>
      </w:r>
      <w:r>
        <w:rPr>
          <w:spacing w:val="-4"/>
        </w:rPr>
        <w:t> </w:t>
      </w:r>
      <w:r>
        <w:rPr/>
        <w:t>of</w:t>
      </w:r>
      <w:r>
        <w:rPr>
          <w:spacing w:val="-4"/>
        </w:rPr>
        <w:t> </w:t>
      </w:r>
      <w:r>
        <w:rPr/>
        <w:t>bias</w:t>
      </w:r>
      <w:r>
        <w:rPr>
          <w:spacing w:val="-4"/>
        </w:rPr>
        <w:t> </w:t>
      </w:r>
      <w:r>
        <w:rPr/>
        <w:t>should</w:t>
      </w:r>
      <w:r>
        <w:rPr>
          <w:spacing w:val="-4"/>
        </w:rPr>
        <w:t> </w:t>
      </w:r>
      <w:r>
        <w:rPr/>
        <w:t>be</w:t>
      </w:r>
      <w:r>
        <w:rPr>
          <w:spacing w:val="-4"/>
        </w:rPr>
        <w:t> </w:t>
      </w:r>
      <w:r>
        <w:rPr/>
        <w:t>mitigated</w:t>
      </w:r>
      <w:r>
        <w:rPr>
          <w:spacing w:val="-4"/>
        </w:rPr>
        <w:t> </w:t>
      </w:r>
      <w:r>
        <w:rPr/>
        <w:t>wherever</w:t>
      </w:r>
      <w:r>
        <w:rPr>
          <w:spacing w:val="-4"/>
        </w:rPr>
        <w:t> </w:t>
      </w:r>
      <w:r>
        <w:rPr/>
        <w:t>possible.</w:t>
      </w:r>
      <w:r>
        <w:rPr>
          <w:spacing w:val="-4"/>
        </w:rPr>
        <w:t> </w:t>
      </w:r>
      <w:r>
        <w:rPr/>
        <w:t>On</w:t>
      </w:r>
      <w:r>
        <w:rPr>
          <w:spacing w:val="-4"/>
        </w:rPr>
        <w:t> </w:t>
      </w:r>
      <w:r>
        <w:rPr/>
        <w:t>open-label studies, knowledge of the next treatment(s) available should be restricted to those involved in the implementation of the randomization schedule. This means restricting access to the randomization schedule and the block size until all subjects have been </w:t>
      </w:r>
      <w:r>
        <w:rPr>
          <w:spacing w:val="-2"/>
        </w:rPr>
        <w:t>randomized.</w:t>
      </w:r>
    </w:p>
    <w:p>
      <w:pPr>
        <w:pStyle w:val="BodyText"/>
        <w:spacing w:before="1"/>
        <w:rPr>
          <w:sz w:val="29"/>
        </w:rPr>
      </w:pPr>
      <w:r>
        <w:rPr/>
      </w:r>
    </w:p>
    <w:p>
      <w:pPr>
        <w:spacing w:line="183" w:lineRule="exact" w:before="22"/>
        <w:ind w:left="4812"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10"/>
          <w:sz w:val="16"/>
        </w:rPr>
        <w:t>5</w:t>
      </w:r>
    </w:p>
    <w:p>
      <w:pPr>
        <w:spacing w:before="0"/>
        <w:ind w:left="540" w:right="371" w:firstLine="0"/>
        <w:jc w:val="left"/>
        <w:rPr>
          <w:sz w:val="16"/>
        </w:rPr>
      </w:pPr>
      <w:r>
        <w:rPr>
          <w:sz w:val="16"/>
        </w:rPr>
        <w:t>Copyright</w:t>
      </w:r>
      <w:r>
        <w:rPr>
          <w:spacing w:val="-2"/>
          <w:sz w:val="16"/>
        </w:rPr>
        <w:t> </w:t>
      </w:r>
      <w:r>
        <w:rPr>
          <w:sz w:val="16"/>
        </w:rPr>
        <w:t>©</w:t>
      </w:r>
      <w:r>
        <w:rPr>
          <w:spacing w:val="-2"/>
          <w:sz w:val="16"/>
        </w:rPr>
        <w:t> </w:t>
      </w:r>
      <w:r>
        <w:rPr>
          <w:sz w:val="16"/>
        </w:rPr>
        <w:t>2020,</w:t>
      </w:r>
      <w:r>
        <w:rPr>
          <w:spacing w:val="-2"/>
          <w:sz w:val="16"/>
        </w:rPr>
        <w:t> </w:t>
      </w:r>
      <w:r>
        <w:rPr>
          <w:sz w:val="16"/>
        </w:rPr>
        <w:t>2022</w:t>
      </w:r>
      <w:r>
        <w:rPr>
          <w:spacing w:val="-6"/>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4"/>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jc w:val="left"/>
        <w:rPr>
          <w:sz w:val="16"/>
        </w:rPr>
        <w:sectPr>
          <w:footerReference w:type="default" r:id="rId5"/>
          <w:headerReference w:type="default" r:id="rId23"/>
          <w:headerReference w:type="first" r:id="rId24"/>
          <w:headerReference w:type="even" r:id="rId25"/>
          <w:footerReference w:type="first" r:id="rId26"/>
          <w:footerReference w:type="even" r:id="rId27"/>
          <w:type w:val="continuous"/>
          <w:pgSz w:w="12240" w:h="15840"/>
          <w:pgMar w:footer="268" w:header="0" w:top="960" w:bottom="460" w:left="900" w:right="960"/>
          <w:pgNumType w:start="1"/>
        </w:sectPr>
      </w:pPr>
    </w:p>
    <w:p>
      <w:pPr>
        <w:pStyle w:val="BodyText"/>
        <w:spacing w:before="6"/>
        <w:rPr>
          <w:sz w:val="13"/>
        </w:rPr>
      </w:pPr>
    </w:p>
    <w:p>
      <w:pPr>
        <w:pStyle w:val="BodyText"/>
        <w:spacing w:line="242" w:lineRule="auto" w:before="94"/>
        <w:ind w:left="1260" w:right="569"/>
      </w:pPr>
      <w:r>
        <w:rPr>
          <w:b/>
        </w:rPr>
        <w:t>Requirements for a restricted randomization schedule: </w:t>
      </w:r>
      <w:r>
        <w:rPr/>
        <w:t>If a delivery is expected before all subjects have been randomized then the STL may only receive a restricted version</w:t>
      </w:r>
      <w:r>
        <w:rPr>
          <w:spacing w:val="-3"/>
        </w:rPr>
        <w:t> </w:t>
      </w:r>
      <w:r>
        <w:rPr/>
        <w:t>of</w:t>
      </w:r>
      <w:r>
        <w:rPr>
          <w:spacing w:val="-3"/>
        </w:rPr>
        <w:t> </w:t>
      </w:r>
      <w:r>
        <w:rPr/>
        <w:t>the</w:t>
      </w:r>
      <w:r>
        <w:rPr>
          <w:spacing w:val="-4"/>
        </w:rPr>
        <w:t> </w:t>
      </w:r>
      <w:r>
        <w:rPr/>
        <w:t>randomization</w:t>
      </w:r>
      <w:r>
        <w:rPr>
          <w:spacing w:val="-3"/>
        </w:rPr>
        <w:t> </w:t>
      </w:r>
      <w:r>
        <w:rPr/>
        <w:t>schedule</w:t>
      </w:r>
      <w:r>
        <w:rPr>
          <w:spacing w:val="-3"/>
        </w:rPr>
        <w:t> </w:t>
      </w:r>
      <w:r>
        <w:rPr/>
        <w:t>containing</w:t>
      </w:r>
      <w:r>
        <w:rPr>
          <w:spacing w:val="-7"/>
        </w:rPr>
        <w:t> </w:t>
      </w:r>
      <w:r>
        <w:rPr/>
        <w:t>only</w:t>
      </w:r>
      <w:r>
        <w:rPr>
          <w:spacing w:val="-2"/>
        </w:rPr>
        <w:t> </w:t>
      </w:r>
      <w:r>
        <w:rPr/>
        <w:t>those</w:t>
      </w:r>
      <w:r>
        <w:rPr>
          <w:spacing w:val="-3"/>
        </w:rPr>
        <w:t> </w:t>
      </w:r>
      <w:r>
        <w:rPr/>
        <w:t>subjects</w:t>
      </w:r>
      <w:r>
        <w:rPr>
          <w:spacing w:val="-3"/>
        </w:rPr>
        <w:t> </w:t>
      </w:r>
      <w:r>
        <w:rPr/>
        <w:t>that</w:t>
      </w:r>
      <w:r>
        <w:rPr>
          <w:spacing w:val="-4"/>
        </w:rPr>
        <w:t> </w:t>
      </w:r>
      <w:r>
        <w:rPr/>
        <w:t>have</w:t>
      </w:r>
      <w:r>
        <w:rPr>
          <w:spacing w:val="-3"/>
        </w:rPr>
        <w:t> </w:t>
      </w:r>
      <w:r>
        <w:rPr/>
        <w:t>already been randomized to treatment.</w:t>
      </w:r>
    </w:p>
    <w:p>
      <w:pPr>
        <w:pStyle w:val="BodyText"/>
        <w:rPr>
          <w:sz w:val="24"/>
        </w:rPr>
      </w:pPr>
    </w:p>
    <w:p>
      <w:pPr>
        <w:pStyle w:val="BodyText"/>
        <w:spacing w:before="7"/>
        <w:rPr>
          <w:sz w:val="28"/>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spacing w:before="2"/>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ROCEDURE" w:id="6"/>
      <w:bookmarkEnd w:id="6"/>
      <w:r>
        <w:rPr>
          <w:spacing w:val="-2"/>
        </w:rPr>
        <w:t>PROCEDURE</w:t>
      </w:r>
    </w:p>
    <w:p>
      <w:pPr>
        <w:pStyle w:val="BodyText"/>
        <w:rPr>
          <w:b/>
          <w:sz w:val="24"/>
        </w:rPr>
      </w:pPr>
    </w:p>
    <w:p>
      <w:pPr>
        <w:pStyle w:val="BodyText"/>
        <w:spacing w:before="1"/>
        <w:rPr>
          <w:b/>
          <w:sz w:val="19"/>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Review of Open Label Randomization Mater" w:id="7"/>
      <w:bookmarkEnd w:id="7"/>
      <w:r>
        <w:rPr>
          <w:b/>
          <w:sz w:val="22"/>
        </w:rPr>
        <w:t>Revie</w:t>
      </w:r>
      <w:r>
        <w:rPr>
          <w:b/>
          <w:sz w:val="22"/>
        </w:rPr>
        <w:t>w</w:t>
      </w:r>
      <w:r>
        <w:rPr>
          <w:b/>
          <w:spacing w:val="-7"/>
          <w:sz w:val="22"/>
        </w:rPr>
        <w:t> </w:t>
      </w:r>
      <w:r>
        <w:rPr>
          <w:b/>
          <w:sz w:val="22"/>
        </w:rPr>
        <w:t>of</w:t>
      </w:r>
      <w:r>
        <w:rPr>
          <w:b/>
          <w:spacing w:val="-5"/>
          <w:sz w:val="22"/>
        </w:rPr>
        <w:t> </w:t>
      </w:r>
      <w:r>
        <w:rPr>
          <w:b/>
          <w:sz w:val="22"/>
        </w:rPr>
        <w:t>Open</w:t>
      </w:r>
      <w:r>
        <w:rPr>
          <w:b/>
          <w:spacing w:val="-6"/>
          <w:sz w:val="22"/>
        </w:rPr>
        <w:t> </w:t>
      </w:r>
      <w:r>
        <w:rPr>
          <w:b/>
          <w:sz w:val="22"/>
        </w:rPr>
        <w:t>Label</w:t>
      </w:r>
      <w:r>
        <w:rPr>
          <w:b/>
          <w:spacing w:val="-6"/>
          <w:sz w:val="22"/>
        </w:rPr>
        <w:t> </w:t>
      </w:r>
      <w:r>
        <w:rPr>
          <w:b/>
          <w:sz w:val="22"/>
        </w:rPr>
        <w:t>Randomization</w:t>
      </w:r>
      <w:r>
        <w:rPr>
          <w:b/>
          <w:spacing w:val="-5"/>
          <w:sz w:val="22"/>
        </w:rPr>
        <w:t> </w:t>
      </w:r>
      <w:r>
        <w:rPr>
          <w:b/>
          <w:spacing w:val="-2"/>
          <w:sz w:val="22"/>
        </w:rPr>
        <w:t>Material</w:t>
      </w:r>
    </w:p>
    <w:p>
      <w:pPr>
        <w:pStyle w:val="BodyText"/>
        <w:rPr>
          <w:b/>
          <w:sz w:val="11"/>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311" w:hRule="atLeast"/>
        </w:trPr>
        <w:tc>
          <w:tcPr>
            <w:tcW w:w="797" w:type="dxa"/>
          </w:tcPr>
          <w:p>
            <w:pPr>
              <w:pStyle w:val="TableParagraph"/>
              <w:spacing w:before="42"/>
              <w:ind w:left="172"/>
              <w:rPr>
                <w:b/>
                <w:sz w:val="20"/>
              </w:rPr>
            </w:pPr>
            <w:r>
              <w:rPr>
                <w:b/>
                <w:spacing w:val="-2"/>
                <w:sz w:val="20"/>
              </w:rPr>
              <w:t>6.1.1</w:t>
            </w:r>
          </w:p>
        </w:tc>
        <w:tc>
          <w:tcPr>
            <w:tcW w:w="1162" w:type="dxa"/>
            <w:vMerge w:val="restart"/>
          </w:tcPr>
          <w:p>
            <w:pPr>
              <w:pStyle w:val="TableParagraph"/>
              <w:spacing w:before="6"/>
              <w:rPr>
                <w:b/>
                <w:sz w:val="29"/>
              </w:rPr>
            </w:pPr>
          </w:p>
          <w:p>
            <w:pPr>
              <w:pStyle w:val="TableParagraph"/>
              <w:ind w:left="110"/>
              <w:rPr>
                <w:sz w:val="20"/>
              </w:rPr>
            </w:pPr>
            <w:r>
              <w:rPr>
                <w:spacing w:val="-5"/>
                <w:sz w:val="20"/>
              </w:rPr>
              <w:t>STL</w:t>
            </w:r>
          </w:p>
        </w:tc>
        <w:tc>
          <w:tcPr>
            <w:tcW w:w="6264" w:type="dxa"/>
          </w:tcPr>
          <w:p>
            <w:pPr>
              <w:pStyle w:val="TableParagraph"/>
              <w:spacing w:before="42"/>
              <w:ind w:left="109"/>
              <w:rPr>
                <w:sz w:val="20"/>
              </w:rPr>
            </w:pPr>
            <w:r>
              <w:rPr>
                <w:sz w:val="20"/>
              </w:rPr>
              <w:t>Receives</w:t>
            </w:r>
            <w:r>
              <w:rPr>
                <w:spacing w:val="-10"/>
                <w:sz w:val="20"/>
              </w:rPr>
              <w:t> </w:t>
            </w:r>
            <w:r>
              <w:rPr>
                <w:sz w:val="20"/>
              </w:rPr>
              <w:t>request</w:t>
            </w:r>
            <w:r>
              <w:rPr>
                <w:spacing w:val="-7"/>
                <w:sz w:val="20"/>
              </w:rPr>
              <w:t> </w:t>
            </w:r>
            <w:r>
              <w:rPr>
                <w:sz w:val="20"/>
              </w:rPr>
              <w:t>to</w:t>
            </w:r>
            <w:r>
              <w:rPr>
                <w:spacing w:val="-8"/>
                <w:sz w:val="20"/>
              </w:rPr>
              <w:t> </w:t>
            </w:r>
            <w:r>
              <w:rPr>
                <w:sz w:val="20"/>
              </w:rPr>
              <w:t>review</w:t>
            </w:r>
            <w:r>
              <w:rPr>
                <w:spacing w:val="-9"/>
                <w:sz w:val="20"/>
              </w:rPr>
              <w:t> </w:t>
            </w:r>
            <w:r>
              <w:rPr>
                <w:sz w:val="20"/>
              </w:rPr>
              <w:t>Randomization</w:t>
            </w:r>
            <w:r>
              <w:rPr>
                <w:spacing w:val="-8"/>
                <w:sz w:val="20"/>
              </w:rPr>
              <w:t> </w:t>
            </w:r>
            <w:r>
              <w:rPr>
                <w:spacing w:val="-2"/>
                <w:sz w:val="20"/>
              </w:rPr>
              <w:t>Material.</w:t>
            </w:r>
          </w:p>
        </w:tc>
        <w:tc>
          <w:tcPr>
            <w:tcW w:w="1843"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line="244" w:lineRule="auto" w:before="191"/>
              <w:ind w:left="109" w:right="173"/>
              <w:rPr>
                <w:sz w:val="20"/>
              </w:rPr>
            </w:pPr>
            <w:r>
              <w:rPr>
                <w:sz w:val="20"/>
              </w:rPr>
              <w:t>After</w:t>
            </w:r>
            <w:r>
              <w:rPr>
                <w:spacing w:val="-14"/>
                <w:sz w:val="20"/>
              </w:rPr>
              <w:t> </w:t>
            </w:r>
            <w:r>
              <w:rPr>
                <w:sz w:val="20"/>
              </w:rPr>
              <w:t>finalization of protocol</w:t>
            </w:r>
          </w:p>
        </w:tc>
      </w:tr>
      <w:tr>
        <w:trPr>
          <w:trHeight w:val="580" w:hRule="atLeast"/>
        </w:trPr>
        <w:tc>
          <w:tcPr>
            <w:tcW w:w="797" w:type="dxa"/>
          </w:tcPr>
          <w:p>
            <w:pPr>
              <w:pStyle w:val="TableParagraph"/>
              <w:spacing w:before="42"/>
              <w:ind w:left="172"/>
              <w:rPr>
                <w:b/>
                <w:sz w:val="20"/>
              </w:rPr>
            </w:pPr>
            <w:r>
              <w:rPr>
                <w:b/>
                <w:spacing w:val="-2"/>
                <w:sz w:val="20"/>
              </w:rPr>
              <w:t>6.1.2</w:t>
            </w:r>
          </w:p>
        </w:tc>
        <w:tc>
          <w:tcPr>
            <w:tcW w:w="1162" w:type="dxa"/>
            <w:vMerge/>
            <w:tcBorders>
              <w:top w:val="nil"/>
            </w:tcBorders>
          </w:tcPr>
          <w:p>
            <w:pPr>
              <w:rPr>
                <w:sz w:val="2"/>
                <w:szCs w:val="2"/>
              </w:rPr>
            </w:pPr>
          </w:p>
        </w:tc>
        <w:tc>
          <w:tcPr>
            <w:tcW w:w="6264" w:type="dxa"/>
          </w:tcPr>
          <w:p>
            <w:pPr>
              <w:pStyle w:val="TableParagraph"/>
              <w:spacing w:line="235" w:lineRule="auto" w:before="60"/>
              <w:ind w:left="109" w:right="105"/>
              <w:rPr>
                <w:sz w:val="20"/>
              </w:rPr>
            </w:pPr>
            <w:r>
              <w:rPr>
                <w:sz w:val="20"/>
              </w:rPr>
              <w:t>Identifies</w:t>
            </w:r>
            <w:r>
              <w:rPr>
                <w:spacing w:val="-5"/>
                <w:sz w:val="20"/>
              </w:rPr>
              <w:t> </w:t>
            </w:r>
            <w:r>
              <w:rPr>
                <w:sz w:val="20"/>
              </w:rPr>
              <w:t>an</w:t>
            </w:r>
            <w:r>
              <w:rPr>
                <w:spacing w:val="-5"/>
                <w:sz w:val="20"/>
              </w:rPr>
              <w:t> </w:t>
            </w:r>
            <w:r>
              <w:rPr>
                <w:sz w:val="20"/>
              </w:rPr>
              <w:t>IB</w:t>
            </w:r>
            <w:r>
              <w:rPr>
                <w:spacing w:val="-5"/>
                <w:sz w:val="20"/>
              </w:rPr>
              <w:t> </w:t>
            </w:r>
            <w:r>
              <w:rPr>
                <w:sz w:val="20"/>
              </w:rPr>
              <w:t>and</w:t>
            </w:r>
            <w:r>
              <w:rPr>
                <w:spacing w:val="-5"/>
                <w:sz w:val="20"/>
              </w:rPr>
              <w:t> </w:t>
            </w:r>
            <w:r>
              <w:rPr>
                <w:sz w:val="20"/>
              </w:rPr>
              <w:t>provides</w:t>
            </w:r>
            <w:r>
              <w:rPr>
                <w:spacing w:val="-5"/>
                <w:sz w:val="20"/>
              </w:rPr>
              <w:t> </w:t>
            </w:r>
            <w:r>
              <w:rPr>
                <w:sz w:val="20"/>
              </w:rPr>
              <w:t>their</w:t>
            </w:r>
            <w:r>
              <w:rPr>
                <w:spacing w:val="-5"/>
                <w:sz w:val="20"/>
              </w:rPr>
              <w:t> </w:t>
            </w:r>
            <w:r>
              <w:rPr>
                <w:sz w:val="20"/>
              </w:rPr>
              <w:t>contact</w:t>
            </w:r>
            <w:r>
              <w:rPr>
                <w:spacing w:val="-5"/>
                <w:sz w:val="20"/>
              </w:rPr>
              <w:t> </w:t>
            </w:r>
            <w:r>
              <w:rPr>
                <w:sz w:val="20"/>
              </w:rPr>
              <w:t>details</w:t>
            </w:r>
            <w:r>
              <w:rPr>
                <w:spacing w:val="-5"/>
                <w:sz w:val="20"/>
              </w:rPr>
              <w:t> </w:t>
            </w:r>
            <w:r>
              <w:rPr>
                <w:sz w:val="20"/>
              </w:rPr>
              <w:t>to</w:t>
            </w:r>
            <w:r>
              <w:rPr>
                <w:spacing w:val="-5"/>
                <w:sz w:val="20"/>
              </w:rPr>
              <w:t> </w:t>
            </w:r>
            <w:r>
              <w:rPr>
                <w:sz w:val="20"/>
              </w:rPr>
              <w:t>the Randomization Vendor/RB.</w:t>
            </w:r>
          </w:p>
        </w:tc>
        <w:tc>
          <w:tcPr>
            <w:tcW w:w="1843" w:type="dxa"/>
            <w:vMerge/>
            <w:tcBorders>
              <w:top w:val="nil"/>
            </w:tcBorders>
          </w:tcPr>
          <w:p>
            <w:pPr>
              <w:rPr>
                <w:sz w:val="2"/>
                <w:szCs w:val="2"/>
              </w:rPr>
            </w:pPr>
          </w:p>
        </w:tc>
      </w:tr>
      <w:tr>
        <w:trPr>
          <w:trHeight w:val="1458" w:hRule="atLeast"/>
        </w:trPr>
        <w:tc>
          <w:tcPr>
            <w:tcW w:w="797" w:type="dxa"/>
          </w:tcPr>
          <w:p>
            <w:pPr>
              <w:pStyle w:val="TableParagraph"/>
              <w:spacing w:before="42"/>
              <w:ind w:left="172"/>
              <w:rPr>
                <w:b/>
                <w:sz w:val="20"/>
              </w:rPr>
            </w:pPr>
            <w:r>
              <w:rPr>
                <w:b/>
                <w:spacing w:val="-2"/>
                <w:sz w:val="20"/>
              </w:rPr>
              <w:t>6.1.3</w:t>
            </w:r>
          </w:p>
        </w:tc>
        <w:tc>
          <w:tcPr>
            <w:tcW w:w="1162"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31"/>
              </w:rPr>
            </w:pPr>
          </w:p>
          <w:p>
            <w:pPr>
              <w:pStyle w:val="TableParagraph"/>
              <w:ind w:left="110"/>
              <w:rPr>
                <w:sz w:val="20"/>
              </w:rPr>
            </w:pPr>
            <w:r>
              <w:rPr>
                <w:spacing w:val="-5"/>
                <w:sz w:val="20"/>
              </w:rPr>
              <w:t>IB</w:t>
            </w:r>
          </w:p>
        </w:tc>
        <w:tc>
          <w:tcPr>
            <w:tcW w:w="6264" w:type="dxa"/>
          </w:tcPr>
          <w:p>
            <w:pPr>
              <w:pStyle w:val="TableParagraph"/>
              <w:spacing w:before="38"/>
              <w:ind w:left="109" w:right="105"/>
              <w:rPr>
                <w:sz w:val="20"/>
              </w:rPr>
            </w:pPr>
            <w:r>
              <w:rPr>
                <w:sz w:val="20"/>
              </w:rPr>
              <w:t>Reviews any randomization material generated by the Randomization</w:t>
            </w:r>
            <w:r>
              <w:rPr>
                <w:spacing w:val="-5"/>
                <w:sz w:val="20"/>
              </w:rPr>
              <w:t> </w:t>
            </w:r>
            <w:r>
              <w:rPr>
                <w:sz w:val="20"/>
              </w:rPr>
              <w:t>Vendor/RB</w:t>
            </w:r>
            <w:r>
              <w:rPr>
                <w:spacing w:val="-4"/>
                <w:sz w:val="20"/>
              </w:rPr>
              <w:t> </w:t>
            </w:r>
            <w:r>
              <w:rPr>
                <w:sz w:val="20"/>
              </w:rPr>
              <w:t>that</w:t>
            </w:r>
            <w:r>
              <w:rPr>
                <w:spacing w:val="-4"/>
                <w:sz w:val="20"/>
              </w:rPr>
              <w:t> </w:t>
            </w:r>
            <w:r>
              <w:rPr>
                <w:sz w:val="20"/>
              </w:rPr>
              <w:t>could</w:t>
            </w:r>
            <w:r>
              <w:rPr>
                <w:spacing w:val="-4"/>
                <w:sz w:val="20"/>
              </w:rPr>
              <w:t> </w:t>
            </w:r>
            <w:r>
              <w:rPr>
                <w:sz w:val="20"/>
              </w:rPr>
              <w:t>introduce</w:t>
            </w:r>
            <w:r>
              <w:rPr>
                <w:spacing w:val="-5"/>
                <w:sz w:val="20"/>
              </w:rPr>
              <w:t> </w:t>
            </w:r>
            <w:r>
              <w:rPr>
                <w:sz w:val="20"/>
              </w:rPr>
              <w:t>bias</w:t>
            </w:r>
            <w:r>
              <w:rPr>
                <w:spacing w:val="-5"/>
                <w:sz w:val="20"/>
              </w:rPr>
              <w:t> </w:t>
            </w:r>
            <w:r>
              <w:rPr>
                <w:sz w:val="20"/>
              </w:rPr>
              <w:t>if</w:t>
            </w:r>
            <w:r>
              <w:rPr>
                <w:spacing w:val="-5"/>
                <w:sz w:val="20"/>
              </w:rPr>
              <w:t> </w:t>
            </w:r>
            <w:r>
              <w:rPr>
                <w:sz w:val="20"/>
              </w:rPr>
              <w:t>viewed</w:t>
            </w:r>
            <w:r>
              <w:rPr>
                <w:spacing w:val="-4"/>
                <w:sz w:val="20"/>
              </w:rPr>
              <w:t> </w:t>
            </w:r>
            <w:r>
              <w:rPr>
                <w:sz w:val="20"/>
              </w:rPr>
              <w:t>by</w:t>
            </w:r>
            <w:r>
              <w:rPr>
                <w:spacing w:val="-5"/>
                <w:sz w:val="20"/>
              </w:rPr>
              <w:t> </w:t>
            </w:r>
            <w:r>
              <w:rPr>
                <w:sz w:val="20"/>
              </w:rPr>
              <w:t>the STL. This includes the block size, seed and the actual schedule.</w:t>
            </w:r>
          </w:p>
          <w:p>
            <w:pPr>
              <w:pStyle w:val="TableParagraph"/>
              <w:spacing w:before="1"/>
              <w:ind w:left="109" w:right="190"/>
              <w:rPr>
                <w:sz w:val="20"/>
              </w:rPr>
            </w:pPr>
            <w:r>
              <w:rPr>
                <w:sz w:val="20"/>
              </w:rPr>
              <w:t>Performs the review as per Section 6.2 of CS_WI_BS002, Randomization,</w:t>
            </w:r>
            <w:r>
              <w:rPr>
                <w:spacing w:val="-7"/>
                <w:sz w:val="20"/>
              </w:rPr>
              <w:t> </w:t>
            </w:r>
            <w:r>
              <w:rPr>
                <w:sz w:val="20"/>
              </w:rPr>
              <w:t>and</w:t>
            </w:r>
            <w:r>
              <w:rPr>
                <w:spacing w:val="-7"/>
                <w:sz w:val="20"/>
              </w:rPr>
              <w:t> </w:t>
            </w:r>
            <w:r>
              <w:rPr>
                <w:sz w:val="20"/>
              </w:rPr>
              <w:t>according</w:t>
            </w:r>
            <w:r>
              <w:rPr>
                <w:spacing w:val="-7"/>
                <w:sz w:val="20"/>
              </w:rPr>
              <w:t> </w:t>
            </w:r>
            <w:r>
              <w:rPr>
                <w:sz w:val="20"/>
              </w:rPr>
              <w:t>to</w:t>
            </w:r>
            <w:r>
              <w:rPr>
                <w:spacing w:val="-7"/>
                <w:sz w:val="20"/>
              </w:rPr>
              <w:t> </w:t>
            </w:r>
            <w:r>
              <w:rPr>
                <w:sz w:val="20"/>
              </w:rPr>
              <w:t>CS_WI_BS015,</w:t>
            </w:r>
            <w:r>
              <w:rPr>
                <w:spacing w:val="-6"/>
                <w:sz w:val="20"/>
              </w:rPr>
              <w:t> </w:t>
            </w:r>
            <w:r>
              <w:rPr>
                <w:sz w:val="20"/>
              </w:rPr>
              <w:t>Approaches</w:t>
            </w:r>
            <w:r>
              <w:rPr>
                <w:spacing w:val="-9"/>
                <w:sz w:val="20"/>
              </w:rPr>
              <w:t> </w:t>
            </w:r>
            <w:r>
              <w:rPr>
                <w:sz w:val="20"/>
              </w:rPr>
              <w:t>to </w:t>
            </w:r>
            <w:r>
              <w:rPr>
                <w:spacing w:val="-4"/>
                <w:sz w:val="20"/>
              </w:rPr>
              <w:t>QC.</w:t>
            </w:r>
          </w:p>
        </w:tc>
        <w:tc>
          <w:tcPr>
            <w:tcW w:w="1843" w:type="dxa"/>
            <w:vMerge/>
            <w:tcBorders>
              <w:top w:val="nil"/>
            </w:tcBorders>
          </w:tcPr>
          <w:p>
            <w:pPr>
              <w:rPr>
                <w:sz w:val="2"/>
                <w:szCs w:val="2"/>
              </w:rPr>
            </w:pPr>
          </w:p>
        </w:tc>
      </w:tr>
      <w:tr>
        <w:trPr>
          <w:trHeight w:val="997" w:hRule="atLeast"/>
        </w:trPr>
        <w:tc>
          <w:tcPr>
            <w:tcW w:w="797" w:type="dxa"/>
          </w:tcPr>
          <w:p>
            <w:pPr>
              <w:pStyle w:val="TableParagraph"/>
              <w:spacing w:before="42"/>
              <w:ind w:left="172"/>
              <w:rPr>
                <w:b/>
                <w:sz w:val="20"/>
              </w:rPr>
            </w:pPr>
            <w:r>
              <w:rPr>
                <w:b/>
                <w:spacing w:val="-2"/>
                <w:sz w:val="20"/>
              </w:rPr>
              <w:t>6.1.4</w:t>
            </w:r>
          </w:p>
        </w:tc>
        <w:tc>
          <w:tcPr>
            <w:tcW w:w="1162" w:type="dxa"/>
            <w:vMerge/>
            <w:tcBorders>
              <w:top w:val="nil"/>
            </w:tcBorders>
          </w:tcPr>
          <w:p>
            <w:pPr>
              <w:rPr>
                <w:sz w:val="2"/>
                <w:szCs w:val="2"/>
              </w:rPr>
            </w:pPr>
          </w:p>
        </w:tc>
        <w:tc>
          <w:tcPr>
            <w:tcW w:w="6264" w:type="dxa"/>
          </w:tcPr>
          <w:p>
            <w:pPr>
              <w:pStyle w:val="TableParagraph"/>
              <w:spacing w:before="38"/>
              <w:ind w:left="109" w:right="105"/>
              <w:rPr>
                <w:sz w:val="20"/>
              </w:rPr>
            </w:pPr>
            <w:r>
              <w:rPr>
                <w:sz w:val="20"/>
              </w:rPr>
              <w:t>Documents comments using an appropriate format agreed with the vendor</w:t>
            </w:r>
            <w:r>
              <w:rPr>
                <w:spacing w:val="-4"/>
                <w:sz w:val="20"/>
              </w:rPr>
              <w:t> </w:t>
            </w:r>
            <w:r>
              <w:rPr>
                <w:sz w:val="20"/>
              </w:rPr>
              <w:t>or</w:t>
            </w:r>
            <w:r>
              <w:rPr>
                <w:spacing w:val="-4"/>
                <w:sz w:val="20"/>
              </w:rPr>
              <w:t> </w:t>
            </w:r>
            <w:r>
              <w:rPr>
                <w:sz w:val="20"/>
              </w:rPr>
              <w:t>using</w:t>
            </w:r>
            <w:r>
              <w:rPr>
                <w:spacing w:val="-2"/>
                <w:sz w:val="20"/>
              </w:rPr>
              <w:t> </w:t>
            </w:r>
            <w:r>
              <w:rPr>
                <w:sz w:val="20"/>
              </w:rPr>
              <w:t>CS_FM_BS007,</w:t>
            </w:r>
            <w:r>
              <w:rPr>
                <w:spacing w:val="-5"/>
                <w:sz w:val="20"/>
              </w:rPr>
              <w:t> </w:t>
            </w:r>
            <w:r>
              <w:rPr>
                <w:sz w:val="20"/>
              </w:rPr>
              <w:t>Reviewer</w:t>
            </w:r>
            <w:r>
              <w:rPr>
                <w:spacing w:val="-5"/>
                <w:sz w:val="20"/>
              </w:rPr>
              <w:t> </w:t>
            </w:r>
            <w:r>
              <w:rPr>
                <w:sz w:val="20"/>
              </w:rPr>
              <w:t>Feedback</w:t>
            </w:r>
            <w:r>
              <w:rPr>
                <w:spacing w:val="-5"/>
                <w:sz w:val="20"/>
              </w:rPr>
              <w:t> </w:t>
            </w:r>
            <w:r>
              <w:rPr>
                <w:sz w:val="20"/>
              </w:rPr>
              <w:t>Form</w:t>
            </w:r>
            <w:r>
              <w:rPr>
                <w:spacing w:val="-5"/>
                <w:sz w:val="20"/>
              </w:rPr>
              <w:t> </w:t>
            </w:r>
            <w:r>
              <w:rPr>
                <w:sz w:val="20"/>
              </w:rPr>
              <w:t>(RFF),</w:t>
            </w:r>
            <w:r>
              <w:rPr>
                <w:spacing w:val="-8"/>
                <w:sz w:val="20"/>
              </w:rPr>
              <w:t> </w:t>
            </w:r>
            <w:r>
              <w:rPr>
                <w:sz w:val="20"/>
              </w:rPr>
              <w:t>if deliverable is produced by IQVIA Biostatistics. Distribute comments to the Randomization Vendor/RB.</w:t>
            </w:r>
          </w:p>
        </w:tc>
        <w:tc>
          <w:tcPr>
            <w:tcW w:w="1843" w:type="dxa"/>
            <w:vMerge/>
            <w:tcBorders>
              <w:top w:val="nil"/>
            </w:tcBorders>
          </w:tcPr>
          <w:p>
            <w:pPr>
              <w:rPr>
                <w:sz w:val="2"/>
                <w:szCs w:val="2"/>
              </w:rPr>
            </w:pPr>
          </w:p>
        </w:tc>
      </w:tr>
      <w:tr>
        <w:trPr>
          <w:trHeight w:val="1002" w:hRule="atLeast"/>
        </w:trPr>
        <w:tc>
          <w:tcPr>
            <w:tcW w:w="797" w:type="dxa"/>
          </w:tcPr>
          <w:p>
            <w:pPr>
              <w:pStyle w:val="TableParagraph"/>
              <w:spacing w:before="42"/>
              <w:ind w:left="172"/>
              <w:rPr>
                <w:b/>
                <w:sz w:val="20"/>
              </w:rPr>
            </w:pPr>
            <w:r>
              <w:rPr>
                <w:b/>
                <w:spacing w:val="-2"/>
                <w:sz w:val="20"/>
              </w:rPr>
              <w:t>6.1.5</w:t>
            </w:r>
          </w:p>
        </w:tc>
        <w:tc>
          <w:tcPr>
            <w:tcW w:w="1162" w:type="dxa"/>
            <w:vMerge/>
            <w:tcBorders>
              <w:top w:val="nil"/>
            </w:tcBorders>
          </w:tcPr>
          <w:p>
            <w:pPr>
              <w:rPr>
                <w:sz w:val="2"/>
                <w:szCs w:val="2"/>
              </w:rPr>
            </w:pPr>
          </w:p>
        </w:tc>
        <w:tc>
          <w:tcPr>
            <w:tcW w:w="6264" w:type="dxa"/>
          </w:tcPr>
          <w:p>
            <w:pPr>
              <w:pStyle w:val="TableParagraph"/>
              <w:spacing w:line="242" w:lineRule="auto" w:before="38"/>
              <w:ind w:left="109" w:right="105"/>
              <w:rPr>
                <w:sz w:val="20"/>
              </w:rPr>
            </w:pPr>
            <w:r>
              <w:rPr>
                <w:sz w:val="20"/>
              </w:rPr>
              <w:t>Files the communication on comment resolution in a restricted project</w:t>
            </w:r>
            <w:r>
              <w:rPr>
                <w:spacing w:val="-4"/>
                <w:sz w:val="20"/>
              </w:rPr>
              <w:t> </w:t>
            </w:r>
            <w:r>
              <w:rPr>
                <w:sz w:val="20"/>
              </w:rPr>
              <w:t>area</w:t>
            </w:r>
            <w:r>
              <w:rPr>
                <w:spacing w:val="-4"/>
                <w:sz w:val="20"/>
              </w:rPr>
              <w:t> </w:t>
            </w:r>
            <w:r>
              <w:rPr>
                <w:sz w:val="20"/>
              </w:rPr>
              <w:t>not</w:t>
            </w:r>
            <w:r>
              <w:rPr>
                <w:spacing w:val="-4"/>
                <w:sz w:val="20"/>
              </w:rPr>
              <w:t> </w:t>
            </w:r>
            <w:r>
              <w:rPr>
                <w:sz w:val="20"/>
              </w:rPr>
              <w:t>accessible</w:t>
            </w:r>
            <w:r>
              <w:rPr>
                <w:spacing w:val="-4"/>
                <w:sz w:val="20"/>
              </w:rPr>
              <w:t> </w:t>
            </w:r>
            <w:r>
              <w:rPr>
                <w:sz w:val="20"/>
              </w:rPr>
              <w:t>by</w:t>
            </w:r>
            <w:r>
              <w:rPr>
                <w:spacing w:val="-4"/>
                <w:sz w:val="20"/>
              </w:rPr>
              <w:t> </w:t>
            </w:r>
            <w:r>
              <w:rPr>
                <w:sz w:val="20"/>
              </w:rPr>
              <w:t>the</w:t>
            </w:r>
            <w:r>
              <w:rPr>
                <w:spacing w:val="-4"/>
                <w:sz w:val="20"/>
              </w:rPr>
              <w:t> </w:t>
            </w:r>
            <w:r>
              <w:rPr>
                <w:sz w:val="20"/>
              </w:rPr>
              <w:t>STL,</w:t>
            </w:r>
            <w:r>
              <w:rPr>
                <w:spacing w:val="-5"/>
                <w:sz w:val="20"/>
              </w:rPr>
              <w:t> </w:t>
            </w:r>
            <w:r>
              <w:rPr>
                <w:sz w:val="20"/>
              </w:rPr>
              <w:t>according</w:t>
            </w:r>
            <w:r>
              <w:rPr>
                <w:spacing w:val="-5"/>
                <w:sz w:val="20"/>
              </w:rPr>
              <w:t> </w:t>
            </w:r>
            <w:r>
              <w:rPr>
                <w:sz w:val="20"/>
              </w:rPr>
              <w:t>to</w:t>
            </w:r>
            <w:r>
              <w:rPr>
                <w:spacing w:val="-5"/>
                <w:sz w:val="20"/>
              </w:rPr>
              <w:t> </w:t>
            </w:r>
            <w:r>
              <w:rPr>
                <w:sz w:val="20"/>
              </w:rPr>
              <w:t>the</w:t>
            </w:r>
            <w:r>
              <w:rPr>
                <w:spacing w:val="-5"/>
                <w:sz w:val="20"/>
              </w:rPr>
              <w:t> </w:t>
            </w:r>
            <w:r>
              <w:rPr>
                <w:sz w:val="20"/>
              </w:rPr>
              <w:t>guidelines as per CS_WI_BS0237, Management and Filing of Biostatistics </w:t>
            </w:r>
            <w:r>
              <w:rPr>
                <w:spacing w:val="-2"/>
                <w:sz w:val="20"/>
              </w:rPr>
              <w:t>Documentation.</w:t>
            </w:r>
          </w:p>
        </w:tc>
        <w:tc>
          <w:tcPr>
            <w:tcW w:w="1843" w:type="dxa"/>
            <w:vMerge/>
            <w:tcBorders>
              <w:top w:val="nil"/>
            </w:tcBorders>
          </w:tcPr>
          <w:p>
            <w:pPr>
              <w:rPr>
                <w:sz w:val="2"/>
                <w:szCs w:val="2"/>
              </w:rPr>
            </w:pPr>
          </w:p>
        </w:tc>
      </w:tr>
    </w:tbl>
    <w:p>
      <w:pPr>
        <w:pStyle w:val="BodyText"/>
        <w:spacing w:before="9"/>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Planning for Analysis" w:id="8"/>
      <w:bookmarkEnd w:id="8"/>
      <w:r>
        <w:rPr>
          <w:b/>
          <w:sz w:val="22"/>
        </w:rPr>
        <w:t>Plannin</w:t>
      </w:r>
      <w:r>
        <w:rPr>
          <w:b/>
          <w:sz w:val="22"/>
        </w:rPr>
        <w:t>g</w:t>
      </w:r>
      <w:r>
        <w:rPr>
          <w:b/>
          <w:spacing w:val="-6"/>
          <w:sz w:val="22"/>
        </w:rPr>
        <w:t> </w:t>
      </w:r>
      <w:r>
        <w:rPr>
          <w:b/>
          <w:sz w:val="22"/>
        </w:rPr>
        <w:t>for</w:t>
      </w:r>
      <w:r>
        <w:rPr>
          <w:b/>
          <w:spacing w:val="1"/>
          <w:sz w:val="22"/>
        </w:rPr>
        <w:t> </w:t>
      </w:r>
      <w:r>
        <w:rPr>
          <w:b/>
          <w:spacing w:val="-2"/>
          <w:sz w:val="22"/>
        </w:rPr>
        <w:t>Analysis</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772" w:hRule="atLeast"/>
        </w:trPr>
        <w:tc>
          <w:tcPr>
            <w:tcW w:w="797" w:type="dxa"/>
          </w:tcPr>
          <w:p>
            <w:pPr>
              <w:pStyle w:val="TableParagraph"/>
              <w:spacing w:before="42"/>
              <w:ind w:right="164"/>
              <w:jc w:val="right"/>
              <w:rPr>
                <w:b/>
                <w:sz w:val="20"/>
              </w:rPr>
            </w:pPr>
            <w:r>
              <w:rPr>
                <w:b/>
                <w:spacing w:val="-2"/>
                <w:sz w:val="20"/>
              </w:rPr>
              <w:t>6.2.1</w:t>
            </w:r>
          </w:p>
        </w:tc>
        <w:tc>
          <w:tcPr>
            <w:tcW w:w="1162" w:type="dxa"/>
            <w:vMerge w:val="restart"/>
          </w:tcPr>
          <w:p>
            <w:pPr>
              <w:pStyle w:val="TableParagraph"/>
              <w:rPr>
                <w:b/>
                <w:sz w:val="22"/>
              </w:rPr>
            </w:pPr>
          </w:p>
          <w:p>
            <w:pPr>
              <w:pStyle w:val="TableParagraph"/>
              <w:rPr>
                <w:b/>
                <w:sz w:val="22"/>
              </w:rPr>
            </w:pPr>
          </w:p>
          <w:p>
            <w:pPr>
              <w:pStyle w:val="TableParagraph"/>
              <w:spacing w:before="156"/>
              <w:ind w:left="105"/>
              <w:rPr>
                <w:sz w:val="20"/>
              </w:rPr>
            </w:pPr>
            <w:r>
              <w:rPr>
                <w:spacing w:val="-5"/>
                <w:sz w:val="20"/>
              </w:rPr>
              <w:t>STL</w:t>
            </w:r>
          </w:p>
        </w:tc>
        <w:tc>
          <w:tcPr>
            <w:tcW w:w="6264" w:type="dxa"/>
          </w:tcPr>
          <w:p>
            <w:pPr>
              <w:pStyle w:val="TableParagraph"/>
              <w:spacing w:before="38"/>
              <w:ind w:left="104" w:right="105"/>
              <w:rPr>
                <w:sz w:val="20"/>
              </w:rPr>
            </w:pPr>
            <w:r>
              <w:rPr>
                <w:sz w:val="20"/>
              </w:rPr>
              <w:t>Identifies all deliverables on the study that require Planned Treatment</w:t>
            </w:r>
            <w:r>
              <w:rPr>
                <w:spacing w:val="-4"/>
                <w:sz w:val="20"/>
              </w:rPr>
              <w:t> </w:t>
            </w:r>
            <w:r>
              <w:rPr>
                <w:sz w:val="20"/>
              </w:rPr>
              <w:t>to</w:t>
            </w:r>
            <w:r>
              <w:rPr>
                <w:spacing w:val="-4"/>
                <w:sz w:val="20"/>
              </w:rPr>
              <w:t> </w:t>
            </w:r>
            <w:r>
              <w:rPr>
                <w:sz w:val="20"/>
              </w:rPr>
              <w:t>be</w:t>
            </w:r>
            <w:r>
              <w:rPr>
                <w:spacing w:val="-4"/>
                <w:sz w:val="20"/>
              </w:rPr>
              <w:t> </w:t>
            </w:r>
            <w:r>
              <w:rPr>
                <w:sz w:val="20"/>
              </w:rPr>
              <w:t>incorporated</w:t>
            </w:r>
            <w:r>
              <w:rPr>
                <w:spacing w:val="-4"/>
                <w:sz w:val="20"/>
              </w:rPr>
              <w:t> </w:t>
            </w:r>
            <w:r>
              <w:rPr>
                <w:sz w:val="20"/>
              </w:rPr>
              <w:t>and</w:t>
            </w:r>
            <w:r>
              <w:rPr>
                <w:spacing w:val="-3"/>
                <w:sz w:val="20"/>
              </w:rPr>
              <w:t> </w:t>
            </w:r>
            <w:r>
              <w:rPr>
                <w:sz w:val="20"/>
              </w:rPr>
              <w:t>any</w:t>
            </w:r>
            <w:r>
              <w:rPr>
                <w:spacing w:val="-5"/>
                <w:sz w:val="20"/>
              </w:rPr>
              <w:t> </w:t>
            </w:r>
            <w:r>
              <w:rPr>
                <w:sz w:val="20"/>
              </w:rPr>
              <w:t>deliverables</w:t>
            </w:r>
            <w:r>
              <w:rPr>
                <w:spacing w:val="-5"/>
                <w:sz w:val="20"/>
              </w:rPr>
              <w:t> </w:t>
            </w:r>
            <w:r>
              <w:rPr>
                <w:sz w:val="20"/>
              </w:rPr>
              <w:t>that</w:t>
            </w:r>
            <w:r>
              <w:rPr>
                <w:spacing w:val="-5"/>
                <w:sz w:val="20"/>
              </w:rPr>
              <w:t> </w:t>
            </w:r>
            <w:r>
              <w:rPr>
                <w:sz w:val="20"/>
              </w:rPr>
              <w:t>require</w:t>
            </w:r>
            <w:r>
              <w:rPr>
                <w:spacing w:val="-5"/>
                <w:sz w:val="20"/>
              </w:rPr>
              <w:t> </w:t>
            </w:r>
            <w:r>
              <w:rPr>
                <w:sz w:val="20"/>
              </w:rPr>
              <w:t>the team (customer and/or IQVIA team) to remain blinded.</w:t>
            </w:r>
          </w:p>
        </w:tc>
        <w:tc>
          <w:tcPr>
            <w:tcW w:w="1843" w:type="dxa"/>
            <w:vMerge w:val="restart"/>
          </w:tcPr>
          <w:p>
            <w:pPr>
              <w:pStyle w:val="TableParagraph"/>
              <w:rPr>
                <w:b/>
                <w:sz w:val="22"/>
              </w:rPr>
            </w:pPr>
          </w:p>
          <w:p>
            <w:pPr>
              <w:pStyle w:val="TableParagraph"/>
              <w:spacing w:before="178"/>
              <w:ind w:left="104" w:right="173"/>
              <w:rPr>
                <w:sz w:val="20"/>
              </w:rPr>
            </w:pPr>
            <w:r>
              <w:rPr>
                <w:sz w:val="20"/>
              </w:rPr>
              <w:t>After</w:t>
            </w:r>
            <w:r>
              <w:rPr>
                <w:spacing w:val="-14"/>
                <w:sz w:val="20"/>
              </w:rPr>
              <w:t> </w:t>
            </w:r>
            <w:r>
              <w:rPr>
                <w:sz w:val="20"/>
              </w:rPr>
              <w:t>finalization of Statistical Analysis Plan</w:t>
            </w:r>
          </w:p>
        </w:tc>
      </w:tr>
      <w:tr>
        <w:trPr>
          <w:trHeight w:val="767" w:hRule="atLeast"/>
        </w:trPr>
        <w:tc>
          <w:tcPr>
            <w:tcW w:w="797" w:type="dxa"/>
          </w:tcPr>
          <w:p>
            <w:pPr>
              <w:pStyle w:val="TableParagraph"/>
              <w:spacing w:before="42"/>
              <w:ind w:right="164"/>
              <w:jc w:val="right"/>
              <w:rPr>
                <w:b/>
                <w:sz w:val="20"/>
              </w:rPr>
            </w:pPr>
            <w:r>
              <w:rPr>
                <w:b/>
                <w:spacing w:val="-2"/>
                <w:sz w:val="20"/>
              </w:rPr>
              <w:t>6.2.2</w:t>
            </w:r>
          </w:p>
        </w:tc>
        <w:tc>
          <w:tcPr>
            <w:tcW w:w="1162" w:type="dxa"/>
            <w:vMerge/>
            <w:tcBorders>
              <w:top w:val="nil"/>
            </w:tcBorders>
          </w:tcPr>
          <w:p>
            <w:pPr>
              <w:rPr>
                <w:sz w:val="2"/>
                <w:szCs w:val="2"/>
              </w:rPr>
            </w:pPr>
          </w:p>
        </w:tc>
        <w:tc>
          <w:tcPr>
            <w:tcW w:w="6264" w:type="dxa"/>
          </w:tcPr>
          <w:p>
            <w:pPr>
              <w:pStyle w:val="TableParagraph"/>
              <w:spacing w:before="38"/>
              <w:ind w:left="104" w:right="142"/>
              <w:jc w:val="both"/>
              <w:rPr>
                <w:sz w:val="20"/>
              </w:rPr>
            </w:pPr>
            <w:r>
              <w:rPr>
                <w:sz w:val="20"/>
              </w:rPr>
              <w:t>Documents</w:t>
            </w:r>
            <w:r>
              <w:rPr>
                <w:spacing w:val="-6"/>
                <w:sz w:val="20"/>
              </w:rPr>
              <w:t> </w:t>
            </w:r>
            <w:r>
              <w:rPr>
                <w:sz w:val="20"/>
              </w:rPr>
              <w:t>any</w:t>
            </w:r>
            <w:r>
              <w:rPr>
                <w:spacing w:val="-5"/>
                <w:sz w:val="20"/>
              </w:rPr>
              <w:t> </w:t>
            </w:r>
            <w:r>
              <w:rPr>
                <w:sz w:val="20"/>
              </w:rPr>
              <w:t>deliverables</w:t>
            </w:r>
            <w:r>
              <w:rPr>
                <w:spacing w:val="-5"/>
                <w:sz w:val="20"/>
              </w:rPr>
              <w:t> </w:t>
            </w:r>
            <w:r>
              <w:rPr>
                <w:sz w:val="20"/>
              </w:rPr>
              <w:t>that</w:t>
            </w:r>
            <w:r>
              <w:rPr>
                <w:spacing w:val="-4"/>
                <w:sz w:val="20"/>
              </w:rPr>
              <w:t> </w:t>
            </w:r>
            <w:r>
              <w:rPr>
                <w:sz w:val="20"/>
              </w:rPr>
              <w:t>require</w:t>
            </w:r>
            <w:r>
              <w:rPr>
                <w:spacing w:val="-4"/>
                <w:sz w:val="20"/>
              </w:rPr>
              <w:t> </w:t>
            </w:r>
            <w:r>
              <w:rPr>
                <w:sz w:val="20"/>
              </w:rPr>
              <w:t>the</w:t>
            </w:r>
            <w:r>
              <w:rPr>
                <w:spacing w:val="-4"/>
                <w:sz w:val="20"/>
              </w:rPr>
              <w:t> </w:t>
            </w:r>
            <w:r>
              <w:rPr>
                <w:sz w:val="20"/>
              </w:rPr>
              <w:t>team</w:t>
            </w:r>
            <w:r>
              <w:rPr>
                <w:spacing w:val="-4"/>
                <w:sz w:val="20"/>
              </w:rPr>
              <w:t> </w:t>
            </w:r>
            <w:r>
              <w:rPr>
                <w:sz w:val="20"/>
              </w:rPr>
              <w:t>to</w:t>
            </w:r>
            <w:r>
              <w:rPr>
                <w:spacing w:val="-4"/>
                <w:sz w:val="20"/>
              </w:rPr>
              <w:t> </w:t>
            </w:r>
            <w:r>
              <w:rPr>
                <w:sz w:val="20"/>
              </w:rPr>
              <w:t>remain</w:t>
            </w:r>
            <w:r>
              <w:rPr>
                <w:spacing w:val="-4"/>
                <w:sz w:val="20"/>
              </w:rPr>
              <w:t> </w:t>
            </w:r>
            <w:r>
              <w:rPr>
                <w:sz w:val="20"/>
              </w:rPr>
              <w:t>blinded in the</w:t>
            </w:r>
            <w:r>
              <w:rPr>
                <w:spacing w:val="-3"/>
                <w:sz w:val="20"/>
              </w:rPr>
              <w:t> </w:t>
            </w:r>
            <w:r>
              <w:rPr>
                <w:sz w:val="20"/>
              </w:rPr>
              <w:t>Unblinding Plan using CS_TP_BS0201, Unblinding Plan, and follow CS_WI_BS003, Unblinding, for those deliverables.</w:t>
            </w:r>
          </w:p>
        </w:tc>
        <w:tc>
          <w:tcPr>
            <w:tcW w:w="1843" w:type="dxa"/>
            <w:vMerge/>
            <w:tcBorders>
              <w:top w:val="nil"/>
            </w:tcBorders>
          </w:tcPr>
          <w:p>
            <w:pPr>
              <w:rPr>
                <w:sz w:val="2"/>
                <w:szCs w:val="2"/>
              </w:rPr>
            </w:pPr>
          </w:p>
        </w:tc>
      </w:tr>
    </w:tbl>
    <w:p>
      <w:pPr>
        <w:spacing w:after="0"/>
        <w:rPr>
          <w:sz w:val="2"/>
          <w:szCs w:val="2"/>
        </w:rPr>
        <w:sectPr>
          <w:headerReference w:type="default" r:id="rId7"/>
          <w:footerReference w:type="default" r:id="rId8"/>
          <w:pgSz w:w="12240" w:h="15840"/>
          <w:pgMar w:header="979" w:footer="952" w:top="2760" w:bottom="1140" w:left="900" w:right="960"/>
          <w:pgNumType w:start="2"/>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05"/>
              <w:rPr>
                <w:b/>
                <w:sz w:val="20"/>
              </w:rPr>
            </w:pPr>
            <w:r>
              <w:rPr>
                <w:b/>
                <w:spacing w:val="-5"/>
                <w:sz w:val="20"/>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541" w:hRule="atLeast"/>
        </w:trPr>
        <w:tc>
          <w:tcPr>
            <w:tcW w:w="797" w:type="dxa"/>
          </w:tcPr>
          <w:p>
            <w:pPr>
              <w:pStyle w:val="TableParagraph"/>
              <w:spacing w:before="42"/>
              <w:ind w:right="164"/>
              <w:jc w:val="right"/>
              <w:rPr>
                <w:b/>
                <w:sz w:val="20"/>
              </w:rPr>
            </w:pPr>
            <w:r>
              <w:rPr>
                <w:b/>
                <w:spacing w:val="-2"/>
                <w:sz w:val="20"/>
              </w:rPr>
              <w:t>6.2.3</w:t>
            </w:r>
          </w:p>
        </w:tc>
        <w:tc>
          <w:tcPr>
            <w:tcW w:w="1162" w:type="dxa"/>
            <w:vMerge w:val="restart"/>
          </w:tcPr>
          <w:p>
            <w:pPr>
              <w:pStyle w:val="TableParagraph"/>
              <w:rPr>
                <w:rFonts w:ascii="Times New Roman"/>
                <w:sz w:val="18"/>
              </w:rPr>
            </w:pPr>
          </w:p>
        </w:tc>
        <w:tc>
          <w:tcPr>
            <w:tcW w:w="6264" w:type="dxa"/>
          </w:tcPr>
          <w:p>
            <w:pPr>
              <w:pStyle w:val="TableParagraph"/>
              <w:spacing w:before="38"/>
              <w:ind w:left="104" w:right="190"/>
              <w:rPr>
                <w:sz w:val="20"/>
              </w:rPr>
            </w:pPr>
            <w:r>
              <w:rPr>
                <w:sz w:val="20"/>
              </w:rPr>
              <w:t>Confirms</w:t>
            </w:r>
            <w:r>
              <w:rPr>
                <w:spacing w:val="-6"/>
                <w:sz w:val="20"/>
              </w:rPr>
              <w:t> </w:t>
            </w:r>
            <w:r>
              <w:rPr>
                <w:sz w:val="20"/>
              </w:rPr>
              <w:t>that</w:t>
            </w:r>
            <w:r>
              <w:rPr>
                <w:spacing w:val="-5"/>
                <w:sz w:val="20"/>
              </w:rPr>
              <w:t> </w:t>
            </w:r>
            <w:r>
              <w:rPr>
                <w:sz w:val="20"/>
              </w:rPr>
              <w:t>the</w:t>
            </w:r>
            <w:r>
              <w:rPr>
                <w:spacing w:val="-5"/>
                <w:sz w:val="20"/>
              </w:rPr>
              <w:t> </w:t>
            </w:r>
            <w:r>
              <w:rPr>
                <w:sz w:val="20"/>
              </w:rPr>
              <w:t>Randomization</w:t>
            </w:r>
            <w:r>
              <w:rPr>
                <w:spacing w:val="-6"/>
                <w:sz w:val="20"/>
              </w:rPr>
              <w:t> </w:t>
            </w:r>
            <w:r>
              <w:rPr>
                <w:sz w:val="20"/>
              </w:rPr>
              <w:t>Vendor/RB</w:t>
            </w:r>
            <w:r>
              <w:rPr>
                <w:spacing w:val="-6"/>
                <w:sz w:val="20"/>
              </w:rPr>
              <w:t> </w:t>
            </w:r>
            <w:r>
              <w:rPr>
                <w:sz w:val="20"/>
              </w:rPr>
              <w:t>can</w:t>
            </w:r>
            <w:r>
              <w:rPr>
                <w:spacing w:val="-6"/>
                <w:sz w:val="20"/>
              </w:rPr>
              <w:t> </w:t>
            </w:r>
            <w:r>
              <w:rPr>
                <w:sz w:val="20"/>
              </w:rPr>
              <w:t>provide</w:t>
            </w:r>
            <w:r>
              <w:rPr>
                <w:spacing w:val="-3"/>
                <w:sz w:val="20"/>
              </w:rPr>
              <w:t> </w:t>
            </w:r>
            <w:r>
              <w:rPr>
                <w:sz w:val="20"/>
              </w:rPr>
              <w:t>the planned treatment schedule in suitable time for analysis.</w:t>
            </w:r>
          </w:p>
        </w:tc>
        <w:tc>
          <w:tcPr>
            <w:tcW w:w="1843" w:type="dxa"/>
            <w:vMerge w:val="restart"/>
          </w:tcPr>
          <w:p>
            <w:pPr>
              <w:pStyle w:val="TableParagraph"/>
              <w:rPr>
                <w:rFonts w:ascii="Times New Roman"/>
                <w:sz w:val="18"/>
              </w:rPr>
            </w:pPr>
          </w:p>
        </w:tc>
      </w:tr>
      <w:tr>
        <w:trPr>
          <w:trHeight w:val="767" w:hRule="atLeast"/>
        </w:trPr>
        <w:tc>
          <w:tcPr>
            <w:tcW w:w="797" w:type="dxa"/>
          </w:tcPr>
          <w:p>
            <w:pPr>
              <w:pStyle w:val="TableParagraph"/>
              <w:spacing w:before="42"/>
              <w:ind w:right="164"/>
              <w:jc w:val="right"/>
              <w:rPr>
                <w:b/>
                <w:sz w:val="20"/>
              </w:rPr>
            </w:pPr>
            <w:r>
              <w:rPr>
                <w:b/>
                <w:spacing w:val="-2"/>
                <w:sz w:val="20"/>
              </w:rPr>
              <w:t>6.2.4</w:t>
            </w:r>
          </w:p>
        </w:tc>
        <w:tc>
          <w:tcPr>
            <w:tcW w:w="1162" w:type="dxa"/>
            <w:vMerge/>
            <w:tcBorders>
              <w:top w:val="nil"/>
            </w:tcBorders>
          </w:tcPr>
          <w:p>
            <w:pPr>
              <w:rPr>
                <w:sz w:val="2"/>
                <w:szCs w:val="2"/>
              </w:rPr>
            </w:pPr>
          </w:p>
        </w:tc>
        <w:tc>
          <w:tcPr>
            <w:tcW w:w="6264" w:type="dxa"/>
          </w:tcPr>
          <w:p>
            <w:pPr>
              <w:pStyle w:val="TableParagraph"/>
              <w:spacing w:before="38"/>
              <w:ind w:left="104" w:right="190"/>
              <w:rPr>
                <w:sz w:val="20"/>
              </w:rPr>
            </w:pPr>
            <w:r>
              <w:rPr>
                <w:sz w:val="20"/>
              </w:rPr>
              <w:t>If randomization is ongoing, confirms with Randomization Vendor/RB</w:t>
            </w:r>
            <w:r>
              <w:rPr>
                <w:spacing w:val="-4"/>
                <w:sz w:val="20"/>
              </w:rPr>
              <w:t> </w:t>
            </w:r>
            <w:r>
              <w:rPr>
                <w:sz w:val="20"/>
              </w:rPr>
              <w:t>if</w:t>
            </w:r>
            <w:r>
              <w:rPr>
                <w:spacing w:val="-4"/>
                <w:sz w:val="20"/>
              </w:rPr>
              <w:t> </w:t>
            </w:r>
            <w:r>
              <w:rPr>
                <w:sz w:val="20"/>
              </w:rPr>
              <w:t>the</w:t>
            </w:r>
            <w:r>
              <w:rPr>
                <w:spacing w:val="-4"/>
                <w:sz w:val="20"/>
              </w:rPr>
              <w:t> </w:t>
            </w:r>
            <w:r>
              <w:rPr>
                <w:sz w:val="20"/>
              </w:rPr>
              <w:t>randomization</w:t>
            </w:r>
            <w:r>
              <w:rPr>
                <w:spacing w:val="-4"/>
                <w:sz w:val="20"/>
              </w:rPr>
              <w:t> </w:t>
            </w:r>
            <w:r>
              <w:rPr>
                <w:sz w:val="20"/>
              </w:rPr>
              <w:t>schedule</w:t>
            </w:r>
            <w:r>
              <w:rPr>
                <w:spacing w:val="-4"/>
                <w:sz w:val="20"/>
              </w:rPr>
              <w:t> </w:t>
            </w:r>
            <w:r>
              <w:rPr>
                <w:sz w:val="20"/>
              </w:rPr>
              <w:t>can</w:t>
            </w:r>
            <w:r>
              <w:rPr>
                <w:spacing w:val="-4"/>
                <w:sz w:val="20"/>
              </w:rPr>
              <w:t> </w:t>
            </w:r>
            <w:r>
              <w:rPr>
                <w:sz w:val="20"/>
              </w:rPr>
              <w:t>be</w:t>
            </w:r>
            <w:r>
              <w:rPr>
                <w:spacing w:val="-4"/>
                <w:sz w:val="20"/>
              </w:rPr>
              <w:t> </w:t>
            </w:r>
            <w:r>
              <w:rPr>
                <w:sz w:val="20"/>
              </w:rPr>
              <w:t>restricted</w:t>
            </w:r>
            <w:r>
              <w:rPr>
                <w:spacing w:val="-4"/>
                <w:sz w:val="20"/>
              </w:rPr>
              <w:t> </w:t>
            </w:r>
            <w:r>
              <w:rPr>
                <w:sz w:val="20"/>
              </w:rPr>
              <w:t>to</w:t>
            </w:r>
            <w:r>
              <w:rPr>
                <w:spacing w:val="-4"/>
                <w:sz w:val="20"/>
              </w:rPr>
              <w:t> </w:t>
            </w:r>
            <w:r>
              <w:rPr>
                <w:sz w:val="20"/>
              </w:rPr>
              <w:t>only those subjects already randomized.</w:t>
            </w:r>
          </w:p>
        </w:tc>
        <w:tc>
          <w:tcPr>
            <w:tcW w:w="1843" w:type="dxa"/>
            <w:vMerge/>
            <w:tcBorders>
              <w:top w:val="nil"/>
            </w:tcBorders>
          </w:tcPr>
          <w:p>
            <w:pPr>
              <w:rPr>
                <w:sz w:val="2"/>
                <w:szCs w:val="2"/>
              </w:rPr>
            </w:pP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Restricting an Open Label Randomization " w:id="9"/>
      <w:bookmarkEnd w:id="9"/>
      <w:r>
        <w:rPr>
          <w:b/>
          <w:sz w:val="22"/>
        </w:rPr>
        <w:t>Restrictin</w:t>
      </w:r>
      <w:r>
        <w:rPr>
          <w:b/>
          <w:sz w:val="22"/>
        </w:rPr>
        <w:t>g</w:t>
      </w:r>
      <w:r>
        <w:rPr>
          <w:b/>
          <w:spacing w:val="-6"/>
          <w:sz w:val="22"/>
        </w:rPr>
        <w:t> </w:t>
      </w:r>
      <w:r>
        <w:rPr>
          <w:b/>
          <w:sz w:val="22"/>
        </w:rPr>
        <w:t>an</w:t>
      </w:r>
      <w:r>
        <w:rPr>
          <w:b/>
          <w:spacing w:val="-5"/>
          <w:sz w:val="22"/>
        </w:rPr>
        <w:t> </w:t>
      </w:r>
      <w:r>
        <w:rPr>
          <w:b/>
          <w:sz w:val="22"/>
        </w:rPr>
        <w:t>Open</w:t>
      </w:r>
      <w:r>
        <w:rPr>
          <w:b/>
          <w:spacing w:val="-4"/>
          <w:sz w:val="22"/>
        </w:rPr>
        <w:t> </w:t>
      </w:r>
      <w:r>
        <w:rPr>
          <w:b/>
          <w:sz w:val="22"/>
        </w:rPr>
        <w:t>Label</w:t>
      </w:r>
      <w:r>
        <w:rPr>
          <w:b/>
          <w:spacing w:val="-7"/>
          <w:sz w:val="22"/>
        </w:rPr>
        <w:t> </w:t>
      </w:r>
      <w:r>
        <w:rPr>
          <w:b/>
          <w:sz w:val="22"/>
        </w:rPr>
        <w:t>Randomization</w:t>
      </w:r>
      <w:r>
        <w:rPr>
          <w:b/>
          <w:spacing w:val="-5"/>
          <w:sz w:val="22"/>
        </w:rPr>
        <w:t> </w:t>
      </w:r>
      <w:r>
        <w:rPr>
          <w:b/>
          <w:spacing w:val="-2"/>
          <w:sz w:val="22"/>
        </w:rPr>
        <w:t>Schedule</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37" w:hRule="atLeast"/>
        </w:trPr>
        <w:tc>
          <w:tcPr>
            <w:tcW w:w="797" w:type="dxa"/>
          </w:tcPr>
          <w:p>
            <w:pPr>
              <w:pStyle w:val="TableParagraph"/>
              <w:spacing w:before="42"/>
              <w:ind w:left="110"/>
              <w:rPr>
                <w:b/>
                <w:sz w:val="20"/>
              </w:rPr>
            </w:pPr>
            <w:r>
              <w:rPr>
                <w:b/>
                <w:spacing w:val="-2"/>
                <w:sz w:val="20"/>
              </w:rPr>
              <w:t>6.3.1</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before="38"/>
              <w:ind w:left="104" w:right="190"/>
              <w:rPr>
                <w:sz w:val="20"/>
              </w:rPr>
            </w:pPr>
            <w:r>
              <w:rPr>
                <w:sz w:val="20"/>
              </w:rPr>
              <w:t>Identifies</w:t>
            </w:r>
            <w:r>
              <w:rPr>
                <w:spacing w:val="-3"/>
                <w:sz w:val="20"/>
              </w:rPr>
              <w:t> </w:t>
            </w:r>
            <w:r>
              <w:rPr>
                <w:sz w:val="20"/>
              </w:rPr>
              <w:t>that</w:t>
            </w:r>
            <w:r>
              <w:rPr>
                <w:spacing w:val="-3"/>
                <w:sz w:val="20"/>
              </w:rPr>
              <w:t> </w:t>
            </w:r>
            <w:r>
              <w:rPr>
                <w:sz w:val="20"/>
              </w:rPr>
              <w:t>a</w:t>
            </w:r>
            <w:r>
              <w:rPr>
                <w:spacing w:val="-3"/>
                <w:sz w:val="20"/>
              </w:rPr>
              <w:t> </w:t>
            </w:r>
            <w:r>
              <w:rPr>
                <w:sz w:val="20"/>
              </w:rPr>
              <w:t>delivery</w:t>
            </w:r>
            <w:r>
              <w:rPr>
                <w:spacing w:val="-3"/>
                <w:sz w:val="20"/>
              </w:rPr>
              <w:t> </w:t>
            </w:r>
            <w:r>
              <w:rPr>
                <w:sz w:val="20"/>
              </w:rPr>
              <w:t>requires</w:t>
            </w:r>
            <w:r>
              <w:rPr>
                <w:spacing w:val="-3"/>
                <w:sz w:val="20"/>
              </w:rPr>
              <w:t> </w:t>
            </w:r>
            <w:r>
              <w:rPr>
                <w:sz w:val="20"/>
              </w:rPr>
              <w:t>access</w:t>
            </w:r>
            <w:r>
              <w:rPr>
                <w:spacing w:val="-3"/>
                <w:sz w:val="20"/>
              </w:rPr>
              <w:t> </w:t>
            </w:r>
            <w:r>
              <w:rPr>
                <w:sz w:val="20"/>
              </w:rPr>
              <w:t>to</w:t>
            </w:r>
            <w:r>
              <w:rPr>
                <w:spacing w:val="-3"/>
                <w:sz w:val="20"/>
              </w:rPr>
              <w:t> </w:t>
            </w:r>
            <w:r>
              <w:rPr>
                <w:sz w:val="20"/>
              </w:rPr>
              <w:t>a</w:t>
            </w:r>
            <w:r>
              <w:rPr>
                <w:spacing w:val="-3"/>
                <w:sz w:val="20"/>
              </w:rPr>
              <w:t> </w:t>
            </w:r>
            <w:r>
              <w:rPr>
                <w:sz w:val="20"/>
              </w:rPr>
              <w:t>restricted</w:t>
            </w:r>
            <w:r>
              <w:rPr>
                <w:spacing w:val="-7"/>
                <w:sz w:val="20"/>
              </w:rPr>
              <w:t> </w:t>
            </w:r>
            <w:r>
              <w:rPr>
                <w:sz w:val="20"/>
              </w:rPr>
              <w:t>version</w:t>
            </w:r>
            <w:r>
              <w:rPr>
                <w:spacing w:val="-3"/>
                <w:sz w:val="20"/>
              </w:rPr>
              <w:t> </w:t>
            </w:r>
            <w:r>
              <w:rPr>
                <w:sz w:val="20"/>
              </w:rPr>
              <w:t>of the randomization schedule and identifies an IB.</w:t>
            </w:r>
          </w:p>
        </w:tc>
        <w:tc>
          <w:tcPr>
            <w:tcW w:w="1843"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1"/>
              <w:rPr>
                <w:b/>
                <w:sz w:val="29"/>
              </w:rPr>
            </w:pPr>
          </w:p>
          <w:p>
            <w:pPr>
              <w:pStyle w:val="TableParagraph"/>
              <w:ind w:left="109" w:right="173"/>
              <w:rPr>
                <w:sz w:val="20"/>
              </w:rPr>
            </w:pPr>
            <w:r>
              <w:rPr>
                <w:sz w:val="20"/>
              </w:rPr>
              <w:t>Prior</w:t>
            </w:r>
            <w:r>
              <w:rPr>
                <w:spacing w:val="-14"/>
                <w:sz w:val="20"/>
              </w:rPr>
              <w:t> </w:t>
            </w:r>
            <w:r>
              <w:rPr>
                <w:sz w:val="20"/>
              </w:rPr>
              <w:t>to</w:t>
            </w:r>
            <w:r>
              <w:rPr>
                <w:spacing w:val="-14"/>
                <w:sz w:val="20"/>
              </w:rPr>
              <w:t> </w:t>
            </w:r>
            <w:r>
              <w:rPr>
                <w:sz w:val="20"/>
              </w:rPr>
              <w:t>the delivery in </w:t>
            </w:r>
            <w:r>
              <w:rPr>
                <w:spacing w:val="-2"/>
                <w:sz w:val="20"/>
              </w:rPr>
              <w:t>question</w:t>
            </w:r>
          </w:p>
        </w:tc>
      </w:tr>
      <w:tr>
        <w:trPr>
          <w:trHeight w:val="772" w:hRule="atLeast"/>
        </w:trPr>
        <w:tc>
          <w:tcPr>
            <w:tcW w:w="797" w:type="dxa"/>
          </w:tcPr>
          <w:p>
            <w:pPr>
              <w:pStyle w:val="TableParagraph"/>
              <w:spacing w:before="42"/>
              <w:ind w:left="110"/>
              <w:rPr>
                <w:b/>
                <w:sz w:val="20"/>
              </w:rPr>
            </w:pPr>
            <w:r>
              <w:rPr>
                <w:b/>
                <w:spacing w:val="-2"/>
                <w:sz w:val="20"/>
              </w:rPr>
              <w:t>6.3.2</w:t>
            </w:r>
          </w:p>
        </w:tc>
        <w:tc>
          <w:tcPr>
            <w:tcW w:w="1162"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9"/>
              <w:rPr>
                <w:b/>
                <w:sz w:val="25"/>
              </w:rPr>
            </w:pPr>
          </w:p>
          <w:p>
            <w:pPr>
              <w:pStyle w:val="TableParagraph"/>
              <w:ind w:left="110"/>
              <w:rPr>
                <w:sz w:val="20"/>
              </w:rPr>
            </w:pPr>
            <w:r>
              <w:rPr>
                <w:spacing w:val="-5"/>
                <w:sz w:val="20"/>
              </w:rPr>
              <w:t>IB</w:t>
            </w:r>
          </w:p>
        </w:tc>
        <w:tc>
          <w:tcPr>
            <w:tcW w:w="6264" w:type="dxa"/>
          </w:tcPr>
          <w:p>
            <w:pPr>
              <w:pStyle w:val="TableParagraph"/>
              <w:spacing w:before="38"/>
              <w:ind w:left="104"/>
              <w:rPr>
                <w:sz w:val="20"/>
              </w:rPr>
            </w:pPr>
            <w:r>
              <w:rPr>
                <w:sz w:val="20"/>
              </w:rPr>
              <w:t>If</w:t>
            </w:r>
            <w:r>
              <w:rPr>
                <w:spacing w:val="-5"/>
                <w:sz w:val="20"/>
              </w:rPr>
              <w:t> </w:t>
            </w:r>
            <w:r>
              <w:rPr>
                <w:sz w:val="20"/>
              </w:rPr>
              <w:t>the</w:t>
            </w:r>
            <w:r>
              <w:rPr>
                <w:spacing w:val="-5"/>
                <w:sz w:val="20"/>
              </w:rPr>
              <w:t> </w:t>
            </w:r>
            <w:r>
              <w:rPr>
                <w:sz w:val="20"/>
              </w:rPr>
              <w:t>Randomization</w:t>
            </w:r>
            <w:r>
              <w:rPr>
                <w:spacing w:val="-5"/>
                <w:sz w:val="20"/>
              </w:rPr>
              <w:t> </w:t>
            </w:r>
            <w:r>
              <w:rPr>
                <w:sz w:val="20"/>
              </w:rPr>
              <w:t>Vendor/RB</w:t>
            </w:r>
            <w:r>
              <w:rPr>
                <w:spacing w:val="-5"/>
                <w:sz w:val="20"/>
              </w:rPr>
              <w:t> </w:t>
            </w:r>
            <w:r>
              <w:rPr>
                <w:sz w:val="20"/>
              </w:rPr>
              <w:t>confirmed</w:t>
            </w:r>
            <w:r>
              <w:rPr>
                <w:spacing w:val="-5"/>
                <w:sz w:val="20"/>
              </w:rPr>
              <w:t> </w:t>
            </w:r>
            <w:r>
              <w:rPr>
                <w:sz w:val="20"/>
              </w:rPr>
              <w:t>a</w:t>
            </w:r>
            <w:r>
              <w:rPr>
                <w:spacing w:val="-5"/>
                <w:sz w:val="20"/>
              </w:rPr>
              <w:t> </w:t>
            </w:r>
            <w:r>
              <w:rPr>
                <w:sz w:val="20"/>
              </w:rPr>
              <w:t>restricted</w:t>
            </w:r>
            <w:r>
              <w:rPr>
                <w:spacing w:val="-5"/>
                <w:sz w:val="20"/>
              </w:rPr>
              <w:t> </w:t>
            </w:r>
            <w:r>
              <w:rPr>
                <w:sz w:val="20"/>
              </w:rPr>
              <w:t>schedule</w:t>
            </w:r>
            <w:r>
              <w:rPr>
                <w:spacing w:val="-5"/>
                <w:sz w:val="20"/>
              </w:rPr>
              <w:t> </w:t>
            </w:r>
            <w:r>
              <w:rPr>
                <w:sz w:val="20"/>
              </w:rPr>
              <w:t>will be provided, obtains the restricted randomization schedule and verifies the schedule only includes subjects already randomized.</w:t>
            </w:r>
          </w:p>
        </w:tc>
        <w:tc>
          <w:tcPr>
            <w:tcW w:w="1843" w:type="dxa"/>
            <w:vMerge/>
            <w:tcBorders>
              <w:top w:val="nil"/>
            </w:tcBorders>
          </w:tcPr>
          <w:p>
            <w:pPr>
              <w:rPr>
                <w:sz w:val="2"/>
                <w:szCs w:val="2"/>
              </w:rPr>
            </w:pPr>
          </w:p>
        </w:tc>
      </w:tr>
      <w:tr>
        <w:trPr>
          <w:trHeight w:val="997" w:hRule="atLeast"/>
        </w:trPr>
        <w:tc>
          <w:tcPr>
            <w:tcW w:w="797" w:type="dxa"/>
          </w:tcPr>
          <w:p>
            <w:pPr>
              <w:pStyle w:val="TableParagraph"/>
              <w:spacing w:before="42"/>
              <w:ind w:left="110"/>
              <w:rPr>
                <w:b/>
                <w:sz w:val="20"/>
              </w:rPr>
            </w:pPr>
            <w:r>
              <w:rPr>
                <w:b/>
                <w:spacing w:val="-2"/>
                <w:sz w:val="20"/>
              </w:rPr>
              <w:t>6.3.3</w:t>
            </w:r>
          </w:p>
        </w:tc>
        <w:tc>
          <w:tcPr>
            <w:tcW w:w="1162" w:type="dxa"/>
            <w:vMerge/>
            <w:tcBorders>
              <w:top w:val="nil"/>
            </w:tcBorders>
          </w:tcPr>
          <w:p>
            <w:pPr>
              <w:rPr>
                <w:sz w:val="2"/>
                <w:szCs w:val="2"/>
              </w:rPr>
            </w:pPr>
          </w:p>
        </w:tc>
        <w:tc>
          <w:tcPr>
            <w:tcW w:w="6264" w:type="dxa"/>
          </w:tcPr>
          <w:p>
            <w:pPr>
              <w:pStyle w:val="TableParagraph"/>
              <w:spacing w:before="38"/>
              <w:ind w:left="104" w:right="190"/>
              <w:rPr>
                <w:sz w:val="20"/>
              </w:rPr>
            </w:pPr>
            <w:r>
              <w:rPr>
                <w:sz w:val="20"/>
              </w:rPr>
              <w:t>If</w:t>
            </w:r>
            <w:r>
              <w:rPr>
                <w:spacing w:val="-5"/>
                <w:sz w:val="20"/>
              </w:rPr>
              <w:t> </w:t>
            </w:r>
            <w:r>
              <w:rPr>
                <w:sz w:val="20"/>
              </w:rPr>
              <w:t>the</w:t>
            </w:r>
            <w:r>
              <w:rPr>
                <w:spacing w:val="-5"/>
                <w:sz w:val="20"/>
              </w:rPr>
              <w:t> </w:t>
            </w:r>
            <w:r>
              <w:rPr>
                <w:sz w:val="20"/>
              </w:rPr>
              <w:t>Randomization</w:t>
            </w:r>
            <w:r>
              <w:rPr>
                <w:spacing w:val="-5"/>
                <w:sz w:val="20"/>
              </w:rPr>
              <w:t> </w:t>
            </w:r>
            <w:r>
              <w:rPr>
                <w:sz w:val="20"/>
              </w:rPr>
              <w:t>Vendor/RB</w:t>
            </w:r>
            <w:r>
              <w:rPr>
                <w:spacing w:val="-5"/>
                <w:sz w:val="20"/>
              </w:rPr>
              <w:t> </w:t>
            </w:r>
            <w:r>
              <w:rPr>
                <w:sz w:val="20"/>
              </w:rPr>
              <w:t>confirmed</w:t>
            </w:r>
            <w:r>
              <w:rPr>
                <w:spacing w:val="-5"/>
                <w:sz w:val="20"/>
              </w:rPr>
              <w:t> </w:t>
            </w:r>
            <w:r>
              <w:rPr>
                <w:sz w:val="20"/>
              </w:rPr>
              <w:t>the</w:t>
            </w:r>
            <w:r>
              <w:rPr>
                <w:spacing w:val="-5"/>
                <w:sz w:val="20"/>
              </w:rPr>
              <w:t> </w:t>
            </w:r>
            <w:r>
              <w:rPr>
                <w:sz w:val="20"/>
              </w:rPr>
              <w:t>full</w:t>
            </w:r>
            <w:r>
              <w:rPr>
                <w:spacing w:val="-5"/>
                <w:sz w:val="20"/>
              </w:rPr>
              <w:t> </w:t>
            </w:r>
            <w:r>
              <w:rPr>
                <w:sz w:val="20"/>
              </w:rPr>
              <w:t>randomization will be provided, obtain the full randomization schedule from the Randomization Vendor/RB and restricts it to just those subjects already randomized.</w:t>
            </w:r>
          </w:p>
        </w:tc>
        <w:tc>
          <w:tcPr>
            <w:tcW w:w="1843" w:type="dxa"/>
            <w:vMerge/>
            <w:tcBorders>
              <w:top w:val="nil"/>
            </w:tcBorders>
          </w:tcPr>
          <w:p>
            <w:pPr>
              <w:rPr>
                <w:sz w:val="2"/>
                <w:szCs w:val="2"/>
              </w:rPr>
            </w:pPr>
          </w:p>
        </w:tc>
      </w:tr>
      <w:tr>
        <w:trPr>
          <w:trHeight w:val="542" w:hRule="atLeast"/>
        </w:trPr>
        <w:tc>
          <w:tcPr>
            <w:tcW w:w="797" w:type="dxa"/>
          </w:tcPr>
          <w:p>
            <w:pPr>
              <w:pStyle w:val="TableParagraph"/>
              <w:spacing w:before="42"/>
              <w:ind w:left="110"/>
              <w:rPr>
                <w:b/>
                <w:sz w:val="20"/>
              </w:rPr>
            </w:pPr>
            <w:r>
              <w:rPr>
                <w:b/>
                <w:spacing w:val="-2"/>
                <w:sz w:val="20"/>
              </w:rPr>
              <w:t>6.3.4</w:t>
            </w:r>
          </w:p>
        </w:tc>
        <w:tc>
          <w:tcPr>
            <w:tcW w:w="1162" w:type="dxa"/>
            <w:vMerge/>
            <w:tcBorders>
              <w:top w:val="nil"/>
            </w:tcBorders>
          </w:tcPr>
          <w:p>
            <w:pPr>
              <w:rPr>
                <w:sz w:val="2"/>
                <w:szCs w:val="2"/>
              </w:rPr>
            </w:pPr>
          </w:p>
        </w:tc>
        <w:tc>
          <w:tcPr>
            <w:tcW w:w="6264" w:type="dxa"/>
          </w:tcPr>
          <w:p>
            <w:pPr>
              <w:pStyle w:val="TableParagraph"/>
              <w:spacing w:before="38"/>
              <w:ind w:left="104" w:right="190"/>
              <w:rPr>
                <w:sz w:val="20"/>
              </w:rPr>
            </w:pPr>
            <w:r>
              <w:rPr>
                <w:sz w:val="20"/>
              </w:rPr>
              <w:t>Assumes</w:t>
            </w:r>
            <w:r>
              <w:rPr>
                <w:spacing w:val="-5"/>
                <w:sz w:val="20"/>
              </w:rPr>
              <w:t> </w:t>
            </w:r>
            <w:r>
              <w:rPr>
                <w:sz w:val="20"/>
              </w:rPr>
              <w:t>role</w:t>
            </w:r>
            <w:r>
              <w:rPr>
                <w:spacing w:val="-5"/>
                <w:sz w:val="20"/>
              </w:rPr>
              <w:t> </w:t>
            </w:r>
            <w:r>
              <w:rPr>
                <w:sz w:val="20"/>
              </w:rPr>
              <w:t>of</w:t>
            </w:r>
            <w:r>
              <w:rPr>
                <w:spacing w:val="-5"/>
                <w:sz w:val="20"/>
              </w:rPr>
              <w:t> </w:t>
            </w:r>
            <w:r>
              <w:rPr>
                <w:sz w:val="20"/>
              </w:rPr>
              <w:t>holder</w:t>
            </w:r>
            <w:r>
              <w:rPr>
                <w:spacing w:val="-5"/>
                <w:sz w:val="20"/>
              </w:rPr>
              <w:t> </w:t>
            </w:r>
            <w:r>
              <w:rPr>
                <w:sz w:val="20"/>
              </w:rPr>
              <w:t>of</w:t>
            </w:r>
            <w:r>
              <w:rPr>
                <w:spacing w:val="-5"/>
                <w:sz w:val="20"/>
              </w:rPr>
              <w:t> </w:t>
            </w:r>
            <w:r>
              <w:rPr>
                <w:sz w:val="20"/>
              </w:rPr>
              <w:t>the</w:t>
            </w:r>
            <w:r>
              <w:rPr>
                <w:spacing w:val="-5"/>
                <w:sz w:val="20"/>
              </w:rPr>
              <w:t> </w:t>
            </w:r>
            <w:r>
              <w:rPr>
                <w:sz w:val="20"/>
              </w:rPr>
              <w:t>randomization</w:t>
            </w:r>
            <w:r>
              <w:rPr>
                <w:spacing w:val="-5"/>
                <w:sz w:val="20"/>
              </w:rPr>
              <w:t> </w:t>
            </w:r>
            <w:r>
              <w:rPr>
                <w:sz w:val="20"/>
              </w:rPr>
              <w:t>schedule</w:t>
            </w:r>
            <w:r>
              <w:rPr>
                <w:spacing w:val="-5"/>
                <w:sz w:val="20"/>
              </w:rPr>
              <w:t> </w:t>
            </w:r>
            <w:r>
              <w:rPr>
                <w:sz w:val="20"/>
              </w:rPr>
              <w:t>until requested to release the restricted schedule to the STL.</w:t>
            </w:r>
          </w:p>
        </w:tc>
        <w:tc>
          <w:tcPr>
            <w:tcW w:w="1843" w:type="dxa"/>
            <w:vMerge/>
            <w:tcBorders>
              <w:top w:val="nil"/>
            </w:tcBorders>
          </w:tcPr>
          <w:p>
            <w:pPr>
              <w:rPr>
                <w:sz w:val="2"/>
                <w:szCs w:val="2"/>
              </w:rPr>
            </w:pPr>
          </w:p>
        </w:tc>
      </w:tr>
    </w:tbl>
    <w:p>
      <w:pPr>
        <w:pStyle w:val="BodyText"/>
        <w:spacing w:before="7"/>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Incorporation of an Open Label Randomiza" w:id="10"/>
      <w:bookmarkEnd w:id="10"/>
      <w:r>
        <w:rPr>
          <w:b/>
          <w:sz w:val="22"/>
        </w:rPr>
        <w:t>Incorporatio</w:t>
      </w:r>
      <w:r>
        <w:rPr>
          <w:b/>
          <w:sz w:val="22"/>
        </w:rPr>
        <w:t>n</w:t>
      </w:r>
      <w:r>
        <w:rPr>
          <w:b/>
          <w:spacing w:val="-7"/>
          <w:sz w:val="22"/>
        </w:rPr>
        <w:t> </w:t>
      </w:r>
      <w:r>
        <w:rPr>
          <w:b/>
          <w:sz w:val="22"/>
        </w:rPr>
        <w:t>of</w:t>
      </w:r>
      <w:r>
        <w:rPr>
          <w:b/>
          <w:spacing w:val="-6"/>
          <w:sz w:val="22"/>
        </w:rPr>
        <w:t> </w:t>
      </w:r>
      <w:r>
        <w:rPr>
          <w:b/>
          <w:sz w:val="22"/>
        </w:rPr>
        <w:t>an</w:t>
      </w:r>
      <w:r>
        <w:rPr>
          <w:b/>
          <w:spacing w:val="-7"/>
          <w:sz w:val="22"/>
        </w:rPr>
        <w:t> </w:t>
      </w:r>
      <w:r>
        <w:rPr>
          <w:b/>
          <w:sz w:val="22"/>
        </w:rPr>
        <w:t>Open</w:t>
      </w:r>
      <w:r>
        <w:rPr>
          <w:b/>
          <w:spacing w:val="-6"/>
          <w:sz w:val="22"/>
        </w:rPr>
        <w:t> </w:t>
      </w:r>
      <w:r>
        <w:rPr>
          <w:b/>
          <w:sz w:val="22"/>
        </w:rPr>
        <w:t>Label</w:t>
      </w:r>
      <w:r>
        <w:rPr>
          <w:b/>
          <w:spacing w:val="-6"/>
          <w:sz w:val="22"/>
        </w:rPr>
        <w:t> </w:t>
      </w:r>
      <w:r>
        <w:rPr>
          <w:b/>
          <w:sz w:val="22"/>
        </w:rPr>
        <w:t>Randomization</w:t>
      </w:r>
      <w:r>
        <w:rPr>
          <w:b/>
          <w:spacing w:val="-6"/>
          <w:sz w:val="22"/>
        </w:rPr>
        <w:t> </w:t>
      </w:r>
      <w:r>
        <w:rPr>
          <w:b/>
          <w:spacing w:val="-2"/>
          <w:sz w:val="22"/>
        </w:rPr>
        <w:t>Schedule</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1228" w:hRule="atLeast"/>
        </w:trPr>
        <w:tc>
          <w:tcPr>
            <w:tcW w:w="797" w:type="dxa"/>
          </w:tcPr>
          <w:p>
            <w:pPr>
              <w:pStyle w:val="TableParagraph"/>
              <w:spacing w:before="42"/>
              <w:ind w:left="110"/>
              <w:rPr>
                <w:b/>
                <w:sz w:val="20"/>
              </w:rPr>
            </w:pPr>
            <w:r>
              <w:rPr>
                <w:b/>
                <w:spacing w:val="-2"/>
                <w:sz w:val="20"/>
              </w:rPr>
              <w:t>6.4.1</w:t>
            </w:r>
          </w:p>
        </w:tc>
        <w:tc>
          <w:tcPr>
            <w:tcW w:w="1162"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58"/>
              <w:ind w:left="110"/>
              <w:rPr>
                <w:sz w:val="20"/>
              </w:rPr>
            </w:pPr>
            <w:r>
              <w:rPr>
                <w:spacing w:val="-5"/>
                <w:sz w:val="20"/>
              </w:rPr>
              <w:t>STL</w:t>
            </w:r>
          </w:p>
        </w:tc>
        <w:tc>
          <w:tcPr>
            <w:tcW w:w="6264" w:type="dxa"/>
          </w:tcPr>
          <w:p>
            <w:pPr>
              <w:pStyle w:val="TableParagraph"/>
              <w:spacing w:before="38"/>
              <w:ind w:left="104"/>
              <w:rPr>
                <w:sz w:val="20"/>
              </w:rPr>
            </w:pPr>
            <w:r>
              <w:rPr>
                <w:sz w:val="20"/>
              </w:rPr>
              <w:t>Completes</w:t>
            </w:r>
            <w:r>
              <w:rPr>
                <w:spacing w:val="-5"/>
                <w:sz w:val="20"/>
              </w:rPr>
              <w:t> </w:t>
            </w:r>
            <w:r>
              <w:rPr>
                <w:sz w:val="20"/>
              </w:rPr>
              <w:t>Section</w:t>
            </w:r>
            <w:r>
              <w:rPr>
                <w:spacing w:val="-5"/>
                <w:sz w:val="20"/>
              </w:rPr>
              <w:t> </w:t>
            </w:r>
            <w:r>
              <w:rPr>
                <w:sz w:val="20"/>
              </w:rPr>
              <w:t>3</w:t>
            </w:r>
            <w:r>
              <w:rPr>
                <w:spacing w:val="-5"/>
                <w:sz w:val="20"/>
              </w:rPr>
              <w:t> </w:t>
            </w:r>
            <w:r>
              <w:rPr>
                <w:sz w:val="20"/>
              </w:rPr>
              <w:t>of</w:t>
            </w:r>
            <w:r>
              <w:rPr>
                <w:spacing w:val="-5"/>
                <w:sz w:val="20"/>
              </w:rPr>
              <w:t> </w:t>
            </w:r>
            <w:r>
              <w:rPr>
                <w:sz w:val="20"/>
              </w:rPr>
              <w:t>the</w:t>
            </w:r>
            <w:r>
              <w:rPr>
                <w:spacing w:val="-3"/>
                <w:sz w:val="20"/>
              </w:rPr>
              <w:t> </w:t>
            </w:r>
            <w:r>
              <w:rPr>
                <w:sz w:val="20"/>
              </w:rPr>
              <w:t>Unblinding</w:t>
            </w:r>
            <w:r>
              <w:rPr>
                <w:spacing w:val="-6"/>
                <w:sz w:val="20"/>
              </w:rPr>
              <w:t> </w:t>
            </w:r>
            <w:r>
              <w:rPr>
                <w:sz w:val="20"/>
              </w:rPr>
              <w:t>Request</w:t>
            </w:r>
            <w:r>
              <w:rPr>
                <w:spacing w:val="-6"/>
                <w:sz w:val="20"/>
              </w:rPr>
              <w:t> </w:t>
            </w:r>
            <w:r>
              <w:rPr>
                <w:sz w:val="20"/>
              </w:rPr>
              <w:t>Form </w:t>
            </w:r>
            <w:r>
              <w:rPr>
                <w:spacing w:val="-2"/>
                <w:sz w:val="20"/>
              </w:rPr>
              <w:t>(CS_FM_BS003).</w:t>
            </w:r>
          </w:p>
        </w:tc>
        <w:tc>
          <w:tcPr>
            <w:tcW w:w="1843" w:type="dxa"/>
          </w:tcPr>
          <w:p>
            <w:pPr>
              <w:pStyle w:val="TableParagraph"/>
              <w:spacing w:before="38"/>
              <w:ind w:left="109" w:right="383"/>
              <w:rPr>
                <w:sz w:val="20"/>
              </w:rPr>
            </w:pPr>
            <w:r>
              <w:rPr>
                <w:sz w:val="20"/>
              </w:rPr>
              <w:t>Once pre- requisites for </w:t>
            </w:r>
            <w:r>
              <w:rPr>
                <w:spacing w:val="-2"/>
                <w:sz w:val="20"/>
              </w:rPr>
              <w:t>receiving </w:t>
            </w:r>
            <w:r>
              <w:rPr>
                <w:sz w:val="20"/>
              </w:rPr>
              <w:t>schedule</w:t>
            </w:r>
            <w:r>
              <w:rPr>
                <w:spacing w:val="-14"/>
                <w:sz w:val="20"/>
              </w:rPr>
              <w:t> </w:t>
            </w:r>
            <w:r>
              <w:rPr>
                <w:sz w:val="20"/>
              </w:rPr>
              <w:t>have been met</w:t>
            </w:r>
          </w:p>
        </w:tc>
      </w:tr>
      <w:tr>
        <w:trPr>
          <w:trHeight w:val="772" w:hRule="atLeast"/>
        </w:trPr>
        <w:tc>
          <w:tcPr>
            <w:tcW w:w="797" w:type="dxa"/>
          </w:tcPr>
          <w:p>
            <w:pPr>
              <w:pStyle w:val="TableParagraph"/>
              <w:spacing w:before="47"/>
              <w:ind w:left="110"/>
              <w:rPr>
                <w:b/>
                <w:sz w:val="20"/>
              </w:rPr>
            </w:pPr>
            <w:r>
              <w:rPr>
                <w:b/>
                <w:spacing w:val="-2"/>
                <w:sz w:val="20"/>
              </w:rPr>
              <w:t>6.4.2</w:t>
            </w:r>
          </w:p>
        </w:tc>
        <w:tc>
          <w:tcPr>
            <w:tcW w:w="1162" w:type="dxa"/>
            <w:vMerge/>
            <w:tcBorders>
              <w:top w:val="nil"/>
            </w:tcBorders>
          </w:tcPr>
          <w:p>
            <w:pPr>
              <w:rPr>
                <w:sz w:val="2"/>
                <w:szCs w:val="2"/>
              </w:rPr>
            </w:pPr>
          </w:p>
        </w:tc>
        <w:tc>
          <w:tcPr>
            <w:tcW w:w="6264" w:type="dxa"/>
          </w:tcPr>
          <w:p>
            <w:pPr>
              <w:pStyle w:val="TableParagraph"/>
              <w:spacing w:before="47"/>
              <w:ind w:left="104"/>
              <w:rPr>
                <w:sz w:val="20"/>
              </w:rPr>
            </w:pPr>
            <w:r>
              <w:rPr>
                <w:sz w:val="20"/>
              </w:rPr>
              <w:t>Circulates</w:t>
            </w:r>
            <w:r>
              <w:rPr>
                <w:spacing w:val="-9"/>
                <w:sz w:val="20"/>
              </w:rPr>
              <w:t> </w:t>
            </w:r>
            <w:r>
              <w:rPr>
                <w:sz w:val="20"/>
              </w:rPr>
              <w:t>Unblinding</w:t>
            </w:r>
            <w:r>
              <w:rPr>
                <w:spacing w:val="-7"/>
                <w:sz w:val="20"/>
              </w:rPr>
              <w:t> </w:t>
            </w:r>
            <w:r>
              <w:rPr>
                <w:sz w:val="20"/>
              </w:rPr>
              <w:t>Request</w:t>
            </w:r>
            <w:r>
              <w:rPr>
                <w:spacing w:val="-7"/>
                <w:sz w:val="20"/>
              </w:rPr>
              <w:t> </w:t>
            </w:r>
            <w:r>
              <w:rPr>
                <w:sz w:val="20"/>
              </w:rPr>
              <w:t>Form</w:t>
            </w:r>
            <w:r>
              <w:rPr>
                <w:spacing w:val="-7"/>
                <w:sz w:val="20"/>
              </w:rPr>
              <w:t> </w:t>
            </w:r>
            <w:r>
              <w:rPr>
                <w:sz w:val="20"/>
              </w:rPr>
              <w:t>for</w:t>
            </w:r>
            <w:r>
              <w:rPr>
                <w:spacing w:val="-6"/>
                <w:sz w:val="20"/>
              </w:rPr>
              <w:t> </w:t>
            </w:r>
            <w:r>
              <w:rPr>
                <w:spacing w:val="-2"/>
                <w:sz w:val="20"/>
              </w:rPr>
              <w:t>approval.</w:t>
            </w:r>
          </w:p>
        </w:tc>
        <w:tc>
          <w:tcPr>
            <w:tcW w:w="1843" w:type="dxa"/>
          </w:tcPr>
          <w:p>
            <w:pPr>
              <w:pStyle w:val="TableParagraph"/>
              <w:spacing w:before="42"/>
              <w:ind w:left="109"/>
              <w:rPr>
                <w:sz w:val="20"/>
              </w:rPr>
            </w:pPr>
            <w:r>
              <w:rPr>
                <w:sz w:val="20"/>
              </w:rPr>
              <w:t>Once</w:t>
            </w:r>
            <w:r>
              <w:rPr>
                <w:spacing w:val="-14"/>
                <w:sz w:val="20"/>
              </w:rPr>
              <w:t> </w:t>
            </w:r>
            <w:r>
              <w:rPr>
                <w:sz w:val="20"/>
              </w:rPr>
              <w:t>Unblinding Request Form </w:t>
            </w:r>
            <w:r>
              <w:rPr>
                <w:spacing w:val="-2"/>
                <w:sz w:val="20"/>
              </w:rPr>
              <w:t>completed</w:t>
            </w:r>
          </w:p>
        </w:tc>
      </w:tr>
      <w:tr>
        <w:trPr>
          <w:trHeight w:val="541" w:hRule="atLeast"/>
        </w:trPr>
        <w:tc>
          <w:tcPr>
            <w:tcW w:w="797" w:type="dxa"/>
          </w:tcPr>
          <w:p>
            <w:pPr>
              <w:pStyle w:val="TableParagraph"/>
              <w:spacing w:before="42"/>
              <w:ind w:left="110"/>
              <w:rPr>
                <w:b/>
                <w:sz w:val="20"/>
              </w:rPr>
            </w:pPr>
            <w:r>
              <w:rPr>
                <w:b/>
                <w:spacing w:val="-2"/>
                <w:sz w:val="20"/>
              </w:rPr>
              <w:t>6.4.3</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Submits</w:t>
            </w:r>
            <w:r>
              <w:rPr>
                <w:spacing w:val="-5"/>
                <w:sz w:val="20"/>
              </w:rPr>
              <w:t> </w:t>
            </w:r>
            <w:r>
              <w:rPr>
                <w:sz w:val="20"/>
              </w:rPr>
              <w:t>Unblinding</w:t>
            </w:r>
            <w:r>
              <w:rPr>
                <w:spacing w:val="-5"/>
                <w:sz w:val="20"/>
              </w:rPr>
              <w:t> </w:t>
            </w:r>
            <w:r>
              <w:rPr>
                <w:sz w:val="20"/>
              </w:rPr>
              <w:t>Request</w:t>
            </w:r>
            <w:r>
              <w:rPr>
                <w:spacing w:val="-5"/>
                <w:sz w:val="20"/>
              </w:rPr>
              <w:t> </w:t>
            </w:r>
            <w:r>
              <w:rPr>
                <w:sz w:val="20"/>
              </w:rPr>
              <w:t>Form</w:t>
            </w:r>
            <w:r>
              <w:rPr>
                <w:spacing w:val="-5"/>
                <w:sz w:val="20"/>
              </w:rPr>
              <w:t> </w:t>
            </w:r>
            <w:r>
              <w:rPr>
                <w:sz w:val="20"/>
              </w:rPr>
              <w:t>to</w:t>
            </w:r>
            <w:r>
              <w:rPr>
                <w:spacing w:val="-5"/>
                <w:sz w:val="20"/>
              </w:rPr>
              <w:t> </w:t>
            </w:r>
            <w:r>
              <w:rPr>
                <w:sz w:val="20"/>
              </w:rPr>
              <w:t>holder</w:t>
            </w:r>
            <w:r>
              <w:rPr>
                <w:spacing w:val="-5"/>
                <w:sz w:val="20"/>
              </w:rPr>
              <w:t> </w:t>
            </w:r>
            <w:r>
              <w:rPr>
                <w:sz w:val="20"/>
              </w:rPr>
              <w:t>of</w:t>
            </w:r>
            <w:r>
              <w:rPr>
                <w:spacing w:val="-5"/>
                <w:sz w:val="20"/>
              </w:rPr>
              <w:t> </w:t>
            </w:r>
            <w:r>
              <w:rPr>
                <w:sz w:val="20"/>
              </w:rPr>
              <w:t>randomization </w:t>
            </w:r>
            <w:r>
              <w:rPr>
                <w:spacing w:val="-2"/>
                <w:sz w:val="20"/>
              </w:rPr>
              <w:t>schedule.</w:t>
            </w:r>
          </w:p>
        </w:tc>
        <w:tc>
          <w:tcPr>
            <w:tcW w:w="1843" w:type="dxa"/>
            <w:vMerge w:val="restart"/>
          </w:tcPr>
          <w:p>
            <w:pPr>
              <w:pStyle w:val="TableParagraph"/>
              <w:rPr>
                <w:b/>
                <w:sz w:val="22"/>
              </w:rPr>
            </w:pPr>
          </w:p>
          <w:p>
            <w:pPr>
              <w:pStyle w:val="TableParagraph"/>
              <w:spacing w:before="9"/>
              <w:rPr>
                <w:b/>
                <w:sz w:val="26"/>
              </w:rPr>
            </w:pPr>
          </w:p>
          <w:p>
            <w:pPr>
              <w:pStyle w:val="TableParagraph"/>
              <w:spacing w:line="244" w:lineRule="auto"/>
              <w:ind w:left="109" w:right="173"/>
              <w:rPr>
                <w:sz w:val="20"/>
              </w:rPr>
            </w:pPr>
            <w:r>
              <w:rPr>
                <w:sz w:val="20"/>
              </w:rPr>
              <w:t>Once</w:t>
            </w:r>
            <w:r>
              <w:rPr>
                <w:spacing w:val="-14"/>
                <w:sz w:val="20"/>
              </w:rPr>
              <w:t> </w:t>
            </w:r>
            <w:r>
              <w:rPr>
                <w:sz w:val="20"/>
              </w:rPr>
              <w:t>approvals </w:t>
            </w:r>
            <w:r>
              <w:rPr>
                <w:spacing w:val="-2"/>
                <w:sz w:val="20"/>
              </w:rPr>
              <w:t>obtained</w:t>
            </w:r>
          </w:p>
        </w:tc>
      </w:tr>
      <w:tr>
        <w:trPr>
          <w:trHeight w:val="1036" w:hRule="atLeast"/>
        </w:trPr>
        <w:tc>
          <w:tcPr>
            <w:tcW w:w="797" w:type="dxa"/>
          </w:tcPr>
          <w:p>
            <w:pPr>
              <w:pStyle w:val="TableParagraph"/>
              <w:spacing w:before="42"/>
              <w:ind w:left="110"/>
              <w:rPr>
                <w:b/>
                <w:sz w:val="20"/>
              </w:rPr>
            </w:pPr>
            <w:r>
              <w:rPr>
                <w:b/>
                <w:spacing w:val="-2"/>
                <w:sz w:val="20"/>
              </w:rPr>
              <w:t>6.4.4</w:t>
            </w:r>
          </w:p>
        </w:tc>
        <w:tc>
          <w:tcPr>
            <w:tcW w:w="1162" w:type="dxa"/>
          </w:tcPr>
          <w:p>
            <w:pPr>
              <w:pStyle w:val="TableParagraph"/>
              <w:spacing w:before="38"/>
              <w:ind w:left="110" w:right="5"/>
              <w:rPr>
                <w:sz w:val="20"/>
              </w:rPr>
            </w:pPr>
            <w:r>
              <w:rPr>
                <w:spacing w:val="-2"/>
                <w:sz w:val="20"/>
              </w:rPr>
              <w:t>Randomiz ation Vendor</w:t>
            </w:r>
          </w:p>
          <w:p>
            <w:pPr>
              <w:pStyle w:val="TableParagraph"/>
              <w:spacing w:before="1"/>
              <w:ind w:left="110"/>
              <w:rPr>
                <w:sz w:val="20"/>
              </w:rPr>
            </w:pPr>
            <w:r>
              <w:rPr>
                <w:spacing w:val="-5"/>
                <w:sz w:val="20"/>
              </w:rPr>
              <w:t>/RB</w:t>
            </w:r>
          </w:p>
        </w:tc>
        <w:tc>
          <w:tcPr>
            <w:tcW w:w="6264" w:type="dxa"/>
          </w:tcPr>
          <w:p>
            <w:pPr>
              <w:pStyle w:val="TableParagraph"/>
              <w:spacing w:before="38"/>
              <w:ind w:left="104" w:right="105"/>
              <w:rPr>
                <w:sz w:val="20"/>
              </w:rPr>
            </w:pPr>
            <w:r>
              <w:rPr>
                <w:sz w:val="20"/>
              </w:rPr>
              <w:t>Completes</w:t>
            </w:r>
            <w:r>
              <w:rPr>
                <w:spacing w:val="-7"/>
                <w:sz w:val="20"/>
              </w:rPr>
              <w:t> </w:t>
            </w:r>
            <w:r>
              <w:rPr>
                <w:sz w:val="20"/>
              </w:rPr>
              <w:t>Unblinding</w:t>
            </w:r>
            <w:r>
              <w:rPr>
                <w:spacing w:val="-7"/>
                <w:sz w:val="20"/>
              </w:rPr>
              <w:t> </w:t>
            </w:r>
            <w:r>
              <w:rPr>
                <w:sz w:val="20"/>
              </w:rPr>
              <w:t>Request</w:t>
            </w:r>
            <w:r>
              <w:rPr>
                <w:spacing w:val="-7"/>
                <w:sz w:val="20"/>
              </w:rPr>
              <w:t> </w:t>
            </w:r>
            <w:r>
              <w:rPr>
                <w:sz w:val="20"/>
              </w:rPr>
              <w:t>Form</w:t>
            </w:r>
            <w:r>
              <w:rPr>
                <w:spacing w:val="-6"/>
                <w:sz w:val="20"/>
              </w:rPr>
              <w:t> </w:t>
            </w:r>
            <w:r>
              <w:rPr>
                <w:sz w:val="20"/>
              </w:rPr>
              <w:t>and</w:t>
            </w:r>
            <w:r>
              <w:rPr>
                <w:spacing w:val="-7"/>
                <w:sz w:val="20"/>
              </w:rPr>
              <w:t> </w:t>
            </w:r>
            <w:r>
              <w:rPr>
                <w:sz w:val="20"/>
              </w:rPr>
              <w:t>releases</w:t>
            </w:r>
            <w:r>
              <w:rPr>
                <w:spacing w:val="-6"/>
                <w:sz w:val="20"/>
              </w:rPr>
              <w:t> </w:t>
            </w:r>
            <w:r>
              <w:rPr>
                <w:sz w:val="20"/>
              </w:rPr>
              <w:t>schedule according to the procedure specified in Section 6.4 of CS_WI_BS003, Unblinding.</w:t>
            </w:r>
          </w:p>
        </w:tc>
        <w:tc>
          <w:tcPr>
            <w:tcW w:w="1843" w:type="dxa"/>
            <w:vMerge/>
            <w:tcBorders>
              <w:top w:val="nil"/>
            </w:tcBorders>
          </w:tcPr>
          <w:p>
            <w:pPr>
              <w:rPr>
                <w:sz w:val="2"/>
                <w:szCs w:val="2"/>
              </w:rPr>
            </w:pPr>
          </w:p>
        </w:tc>
      </w:tr>
      <w:tr>
        <w:trPr>
          <w:trHeight w:val="541" w:hRule="atLeast"/>
        </w:trPr>
        <w:tc>
          <w:tcPr>
            <w:tcW w:w="797" w:type="dxa"/>
          </w:tcPr>
          <w:p>
            <w:pPr>
              <w:pStyle w:val="TableParagraph"/>
              <w:spacing w:before="42"/>
              <w:ind w:left="110"/>
              <w:rPr>
                <w:b/>
                <w:sz w:val="20"/>
              </w:rPr>
            </w:pPr>
            <w:r>
              <w:rPr>
                <w:b/>
                <w:spacing w:val="-2"/>
                <w:sz w:val="20"/>
              </w:rPr>
              <w:t>6.4.5</w:t>
            </w:r>
          </w:p>
        </w:tc>
        <w:tc>
          <w:tcPr>
            <w:tcW w:w="1162" w:type="dxa"/>
            <w:vMerge w:val="restart"/>
          </w:tcPr>
          <w:p>
            <w:pPr>
              <w:pStyle w:val="TableParagraph"/>
              <w:rPr>
                <w:b/>
                <w:sz w:val="22"/>
              </w:rPr>
            </w:pPr>
          </w:p>
          <w:p>
            <w:pPr>
              <w:pStyle w:val="TableParagraph"/>
              <w:spacing w:before="183"/>
              <w:ind w:left="110"/>
              <w:rPr>
                <w:sz w:val="20"/>
              </w:rPr>
            </w:pPr>
            <w:r>
              <w:rPr>
                <w:spacing w:val="-5"/>
                <w:sz w:val="20"/>
              </w:rPr>
              <w:t>STL</w:t>
            </w:r>
          </w:p>
        </w:tc>
        <w:tc>
          <w:tcPr>
            <w:tcW w:w="6264" w:type="dxa"/>
          </w:tcPr>
          <w:p>
            <w:pPr>
              <w:pStyle w:val="TableParagraph"/>
              <w:spacing w:line="244" w:lineRule="auto" w:before="38"/>
              <w:ind w:left="104" w:right="190"/>
              <w:rPr>
                <w:sz w:val="20"/>
              </w:rPr>
            </w:pPr>
            <w:r>
              <w:rPr>
                <w:sz w:val="20"/>
              </w:rPr>
              <w:t>Incorporates</w:t>
            </w:r>
            <w:r>
              <w:rPr>
                <w:spacing w:val="-7"/>
                <w:sz w:val="20"/>
              </w:rPr>
              <w:t> </w:t>
            </w:r>
            <w:r>
              <w:rPr>
                <w:sz w:val="20"/>
              </w:rPr>
              <w:t>randomization</w:t>
            </w:r>
            <w:r>
              <w:rPr>
                <w:spacing w:val="-7"/>
                <w:sz w:val="20"/>
              </w:rPr>
              <w:t> </w:t>
            </w:r>
            <w:r>
              <w:rPr>
                <w:sz w:val="20"/>
              </w:rPr>
              <w:t>schedule</w:t>
            </w:r>
            <w:r>
              <w:rPr>
                <w:spacing w:val="-7"/>
                <w:sz w:val="20"/>
              </w:rPr>
              <w:t> </w:t>
            </w:r>
            <w:r>
              <w:rPr>
                <w:sz w:val="20"/>
              </w:rPr>
              <w:t>enabling</w:t>
            </w:r>
            <w:r>
              <w:rPr>
                <w:spacing w:val="-6"/>
                <w:sz w:val="20"/>
              </w:rPr>
              <w:t> </w:t>
            </w:r>
            <w:r>
              <w:rPr>
                <w:sz w:val="20"/>
              </w:rPr>
              <w:t>Planned</w:t>
            </w:r>
            <w:r>
              <w:rPr>
                <w:spacing w:val="-8"/>
                <w:sz w:val="20"/>
              </w:rPr>
              <w:t> </w:t>
            </w:r>
            <w:r>
              <w:rPr>
                <w:sz w:val="20"/>
              </w:rPr>
              <w:t>Treatment to be identified.</w:t>
            </w:r>
          </w:p>
        </w:tc>
        <w:tc>
          <w:tcPr>
            <w:tcW w:w="1843" w:type="dxa"/>
          </w:tcPr>
          <w:p>
            <w:pPr>
              <w:pStyle w:val="TableParagraph"/>
              <w:spacing w:line="244" w:lineRule="auto" w:before="38"/>
              <w:ind w:left="109" w:right="383"/>
              <w:rPr>
                <w:sz w:val="20"/>
              </w:rPr>
            </w:pPr>
            <w:r>
              <w:rPr>
                <w:sz w:val="20"/>
              </w:rPr>
              <w:t>Once</w:t>
            </w:r>
            <w:r>
              <w:rPr>
                <w:spacing w:val="-14"/>
                <w:sz w:val="20"/>
              </w:rPr>
              <w:t> </w:t>
            </w:r>
            <w:r>
              <w:rPr>
                <w:sz w:val="20"/>
              </w:rPr>
              <w:t>schedule </w:t>
            </w:r>
            <w:r>
              <w:rPr>
                <w:spacing w:val="-2"/>
                <w:sz w:val="20"/>
              </w:rPr>
              <w:t>released</w:t>
            </w:r>
          </w:p>
        </w:tc>
      </w:tr>
      <w:tr>
        <w:trPr>
          <w:trHeight w:val="537" w:hRule="atLeast"/>
        </w:trPr>
        <w:tc>
          <w:tcPr>
            <w:tcW w:w="797" w:type="dxa"/>
          </w:tcPr>
          <w:p>
            <w:pPr>
              <w:pStyle w:val="TableParagraph"/>
              <w:spacing w:before="42"/>
              <w:ind w:left="110"/>
              <w:rPr>
                <w:b/>
                <w:sz w:val="20"/>
              </w:rPr>
            </w:pPr>
            <w:r>
              <w:rPr>
                <w:b/>
                <w:spacing w:val="-2"/>
                <w:sz w:val="20"/>
              </w:rPr>
              <w:t>6.4.6</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Completes</w:t>
            </w:r>
            <w:r>
              <w:rPr>
                <w:spacing w:val="-5"/>
                <w:sz w:val="20"/>
              </w:rPr>
              <w:t> </w:t>
            </w:r>
            <w:r>
              <w:rPr>
                <w:sz w:val="20"/>
              </w:rPr>
              <w:t>Section</w:t>
            </w:r>
            <w:r>
              <w:rPr>
                <w:spacing w:val="-4"/>
                <w:sz w:val="20"/>
              </w:rPr>
              <w:t> </w:t>
            </w:r>
            <w:r>
              <w:rPr>
                <w:sz w:val="20"/>
              </w:rPr>
              <w:t>4</w:t>
            </w:r>
            <w:r>
              <w:rPr>
                <w:spacing w:val="-5"/>
                <w:sz w:val="20"/>
              </w:rPr>
              <w:t> </w:t>
            </w:r>
            <w:r>
              <w:rPr>
                <w:sz w:val="20"/>
              </w:rPr>
              <w:t>of</w:t>
            </w:r>
            <w:r>
              <w:rPr>
                <w:spacing w:val="-5"/>
                <w:sz w:val="20"/>
              </w:rPr>
              <w:t> </w:t>
            </w:r>
            <w:r>
              <w:rPr>
                <w:sz w:val="20"/>
              </w:rPr>
              <w:t>the</w:t>
            </w:r>
            <w:r>
              <w:rPr>
                <w:spacing w:val="-4"/>
                <w:sz w:val="20"/>
              </w:rPr>
              <w:t> </w:t>
            </w:r>
            <w:r>
              <w:rPr>
                <w:sz w:val="20"/>
              </w:rPr>
              <w:t>Unblinding</w:t>
            </w:r>
            <w:r>
              <w:rPr>
                <w:spacing w:val="-5"/>
                <w:sz w:val="20"/>
              </w:rPr>
              <w:t> </w:t>
            </w:r>
            <w:r>
              <w:rPr>
                <w:sz w:val="20"/>
              </w:rPr>
              <w:t>Request</w:t>
            </w:r>
            <w:r>
              <w:rPr>
                <w:spacing w:val="-5"/>
                <w:sz w:val="20"/>
              </w:rPr>
              <w:t> </w:t>
            </w:r>
            <w:r>
              <w:rPr>
                <w:sz w:val="20"/>
              </w:rPr>
              <w:t>Form</w:t>
            </w:r>
            <w:r>
              <w:rPr>
                <w:spacing w:val="-4"/>
                <w:sz w:val="20"/>
              </w:rPr>
              <w:t> </w:t>
            </w:r>
            <w:r>
              <w:rPr>
                <w:sz w:val="20"/>
              </w:rPr>
              <w:t>documenting correct incorporation of schedule.</w:t>
            </w:r>
          </w:p>
        </w:tc>
        <w:tc>
          <w:tcPr>
            <w:tcW w:w="1843" w:type="dxa"/>
          </w:tcPr>
          <w:p>
            <w:pPr>
              <w:pStyle w:val="TableParagraph"/>
              <w:spacing w:before="38"/>
              <w:ind w:left="109" w:right="383"/>
              <w:rPr>
                <w:sz w:val="20"/>
              </w:rPr>
            </w:pPr>
            <w:r>
              <w:rPr>
                <w:sz w:val="20"/>
              </w:rPr>
              <w:t>Once</w:t>
            </w:r>
            <w:r>
              <w:rPr>
                <w:spacing w:val="-14"/>
                <w:sz w:val="20"/>
              </w:rPr>
              <w:t> </w:t>
            </w:r>
            <w:r>
              <w:rPr>
                <w:sz w:val="20"/>
              </w:rPr>
              <w:t>schedule </w:t>
            </w:r>
            <w:r>
              <w:rPr>
                <w:spacing w:val="-2"/>
                <w:sz w:val="20"/>
              </w:rPr>
              <w:t>incorporated</w:t>
            </w:r>
          </w:p>
        </w:tc>
      </w:tr>
    </w:tbl>
    <w:p>
      <w:pPr>
        <w:spacing w:after="0"/>
        <w:rPr>
          <w:sz w:val="20"/>
        </w:rPr>
        <w:sectPr>
          <w:pgSz w:w="12240" w:h="15840"/>
          <w:pgMar w:header="979" w:footer="952" w:top="2760" w:bottom="11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1070" w:hRule="atLeast"/>
        </w:trPr>
        <w:tc>
          <w:tcPr>
            <w:tcW w:w="797" w:type="dxa"/>
          </w:tcPr>
          <w:p>
            <w:pPr>
              <w:pStyle w:val="TableParagraph"/>
              <w:spacing w:before="42"/>
              <w:ind w:left="110"/>
              <w:rPr>
                <w:b/>
                <w:sz w:val="20"/>
              </w:rPr>
            </w:pPr>
            <w:r>
              <w:rPr>
                <w:b/>
                <w:spacing w:val="-2"/>
                <w:sz w:val="20"/>
              </w:rPr>
              <w:t>6.4.7</w:t>
            </w:r>
          </w:p>
        </w:tc>
        <w:tc>
          <w:tcPr>
            <w:tcW w:w="1162" w:type="dxa"/>
            <w:vMerge w:val="restart"/>
          </w:tcPr>
          <w:p>
            <w:pPr>
              <w:pStyle w:val="TableParagraph"/>
              <w:rPr>
                <w:rFonts w:ascii="Times New Roman"/>
                <w:sz w:val="20"/>
              </w:rPr>
            </w:pPr>
          </w:p>
        </w:tc>
        <w:tc>
          <w:tcPr>
            <w:tcW w:w="6264" w:type="dxa"/>
          </w:tcPr>
          <w:p>
            <w:pPr>
              <w:pStyle w:val="TableParagraph"/>
              <w:spacing w:before="38"/>
              <w:ind w:left="104" w:right="190"/>
              <w:rPr>
                <w:sz w:val="20"/>
              </w:rPr>
            </w:pPr>
            <w:r>
              <w:rPr>
                <w:sz w:val="20"/>
              </w:rPr>
              <w:t>Verifies the randomization schedule is correctly incorporated into the</w:t>
            </w:r>
            <w:r>
              <w:rPr>
                <w:spacing w:val="-5"/>
                <w:sz w:val="20"/>
              </w:rPr>
              <w:t> </w:t>
            </w:r>
            <w:r>
              <w:rPr>
                <w:sz w:val="20"/>
              </w:rPr>
              <w:t>deliverables</w:t>
            </w:r>
            <w:r>
              <w:rPr>
                <w:spacing w:val="-5"/>
                <w:sz w:val="20"/>
              </w:rPr>
              <w:t> </w:t>
            </w:r>
            <w:r>
              <w:rPr>
                <w:sz w:val="20"/>
              </w:rPr>
              <w:t>according</w:t>
            </w:r>
            <w:r>
              <w:rPr>
                <w:spacing w:val="-5"/>
                <w:sz w:val="20"/>
              </w:rPr>
              <w:t> </w:t>
            </w:r>
            <w:r>
              <w:rPr>
                <w:sz w:val="20"/>
              </w:rPr>
              <w:t>to</w:t>
            </w:r>
            <w:r>
              <w:rPr>
                <w:spacing w:val="-5"/>
                <w:sz w:val="20"/>
              </w:rPr>
              <w:t> </w:t>
            </w:r>
            <w:r>
              <w:rPr>
                <w:sz w:val="20"/>
              </w:rPr>
              <w:t>CS_WI_BS015,</w:t>
            </w:r>
            <w:r>
              <w:rPr>
                <w:spacing w:val="-3"/>
                <w:sz w:val="20"/>
              </w:rPr>
              <w:t> </w:t>
            </w:r>
            <w:r>
              <w:rPr>
                <w:sz w:val="22"/>
              </w:rPr>
              <w:t>Approaches</w:t>
            </w:r>
            <w:r>
              <w:rPr>
                <w:spacing w:val="-6"/>
                <w:sz w:val="22"/>
              </w:rPr>
              <w:t> </w:t>
            </w:r>
            <w:r>
              <w:rPr>
                <w:sz w:val="22"/>
              </w:rPr>
              <w:t>to</w:t>
            </w:r>
            <w:r>
              <w:rPr>
                <w:spacing w:val="-6"/>
                <w:sz w:val="22"/>
              </w:rPr>
              <w:t> </w:t>
            </w:r>
            <w:r>
              <w:rPr>
                <w:sz w:val="22"/>
              </w:rPr>
              <w:t>QC: Appendix G - Quality Gates for Derived Data Specifications and Sets </w:t>
            </w:r>
            <w:r>
              <w:rPr>
                <w:sz w:val="20"/>
              </w:rPr>
              <w:t>(CS_OD_BS0227, Appendix G).</w:t>
            </w:r>
          </w:p>
        </w:tc>
        <w:tc>
          <w:tcPr>
            <w:tcW w:w="1843" w:type="dxa"/>
            <w:vMerge w:val="restart"/>
          </w:tcPr>
          <w:p>
            <w:pPr>
              <w:pStyle w:val="TableParagraph"/>
              <w:rPr>
                <w:rFonts w:ascii="Times New Roman"/>
                <w:sz w:val="20"/>
              </w:rPr>
            </w:pPr>
          </w:p>
        </w:tc>
      </w:tr>
      <w:tr>
        <w:trPr>
          <w:trHeight w:val="767" w:hRule="atLeast"/>
        </w:trPr>
        <w:tc>
          <w:tcPr>
            <w:tcW w:w="797" w:type="dxa"/>
          </w:tcPr>
          <w:p>
            <w:pPr>
              <w:pStyle w:val="TableParagraph"/>
              <w:spacing w:before="42"/>
              <w:ind w:left="110"/>
              <w:rPr>
                <w:b/>
                <w:sz w:val="20"/>
              </w:rPr>
            </w:pPr>
            <w:r>
              <w:rPr>
                <w:b/>
                <w:spacing w:val="-2"/>
                <w:sz w:val="20"/>
              </w:rPr>
              <w:t>6.4.8</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Files</w:t>
            </w:r>
            <w:r>
              <w:rPr>
                <w:spacing w:val="-4"/>
                <w:sz w:val="20"/>
              </w:rPr>
              <w:t> </w:t>
            </w:r>
            <w:r>
              <w:rPr>
                <w:sz w:val="20"/>
              </w:rPr>
              <w:t>the</w:t>
            </w:r>
            <w:r>
              <w:rPr>
                <w:spacing w:val="-4"/>
                <w:sz w:val="20"/>
              </w:rPr>
              <w:t> </w:t>
            </w:r>
            <w:r>
              <w:rPr>
                <w:sz w:val="20"/>
              </w:rPr>
              <w:t>completed</w:t>
            </w:r>
            <w:r>
              <w:rPr>
                <w:spacing w:val="-5"/>
                <w:sz w:val="20"/>
              </w:rPr>
              <w:t> </w:t>
            </w:r>
            <w:r>
              <w:rPr>
                <w:sz w:val="20"/>
              </w:rPr>
              <w:t>Unblinding</w:t>
            </w:r>
            <w:r>
              <w:rPr>
                <w:spacing w:val="-5"/>
                <w:sz w:val="20"/>
              </w:rPr>
              <w:t> </w:t>
            </w:r>
            <w:r>
              <w:rPr>
                <w:sz w:val="20"/>
              </w:rPr>
              <w:t>Request</w:t>
            </w:r>
            <w:r>
              <w:rPr>
                <w:spacing w:val="-5"/>
                <w:sz w:val="20"/>
              </w:rPr>
              <w:t> </w:t>
            </w:r>
            <w:r>
              <w:rPr>
                <w:sz w:val="20"/>
              </w:rPr>
              <w:t>Form</w:t>
            </w:r>
            <w:r>
              <w:rPr>
                <w:spacing w:val="-5"/>
                <w:sz w:val="20"/>
              </w:rPr>
              <w:t> </w:t>
            </w:r>
            <w:r>
              <w:rPr>
                <w:sz w:val="20"/>
              </w:rPr>
              <w:t>in</w:t>
            </w:r>
            <w:r>
              <w:rPr>
                <w:spacing w:val="-5"/>
                <w:sz w:val="20"/>
              </w:rPr>
              <w:t> </w:t>
            </w:r>
            <w:r>
              <w:rPr>
                <w:sz w:val="20"/>
              </w:rPr>
              <w:t>the</w:t>
            </w:r>
            <w:r>
              <w:rPr>
                <w:spacing w:val="-5"/>
                <w:sz w:val="20"/>
              </w:rPr>
              <w:t> </w:t>
            </w:r>
            <w:r>
              <w:rPr>
                <w:sz w:val="20"/>
              </w:rPr>
              <w:t>eTMF as</w:t>
            </w:r>
            <w:r>
              <w:rPr>
                <w:spacing w:val="-5"/>
                <w:sz w:val="20"/>
              </w:rPr>
              <w:t> </w:t>
            </w:r>
            <w:r>
              <w:rPr>
                <w:sz w:val="20"/>
              </w:rPr>
              <w:t>per CS_WI_BS0237, Management and Filing of Biostatistics </w:t>
            </w:r>
            <w:r>
              <w:rPr>
                <w:spacing w:val="-2"/>
                <w:sz w:val="20"/>
              </w:rPr>
              <w:t>Documentation.</w:t>
            </w:r>
          </w:p>
        </w:tc>
        <w:tc>
          <w:tcPr>
            <w:tcW w:w="1843" w:type="dxa"/>
            <w:vMerge/>
            <w:tcBorders>
              <w:top w:val="nil"/>
            </w:tcBorders>
          </w:tcPr>
          <w:p>
            <w:pPr>
              <w:rPr>
                <w:sz w:val="2"/>
                <w:szCs w:val="2"/>
              </w:rPr>
            </w:pPr>
          </w:p>
        </w:tc>
      </w:tr>
    </w:tbl>
    <w:p>
      <w:pPr>
        <w:pStyle w:val="BodyText"/>
        <w:spacing w:before="4"/>
        <w:rPr>
          <w:b/>
          <w:sz w:val="12"/>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bookmarkStart w:name="SUPPORTING DOCUMENTATION" w:id="11"/>
      <w:bookmarkEnd w:id="11"/>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rPr>
                <w:rFonts w:ascii="Times New Roman"/>
                <w:sz w:val="20"/>
              </w:rPr>
            </w:pP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7.1</w:t>
            </w:r>
            <w:r>
              <w:rPr>
                <w:b/>
                <w:sz w:val="22"/>
              </w:rPr>
              <w:tab/>
            </w:r>
            <w:hyperlink r:id="rId9">
              <w:r>
                <w:rPr>
                  <w:color w:val="0000FF"/>
                  <w:spacing w:val="-2"/>
                  <w:sz w:val="22"/>
                  <w:u w:val="single" w:color="0000FF"/>
                </w:rPr>
                <w:t>CS_FM_BS003</w:t>
              </w:r>
            </w:hyperlink>
          </w:p>
        </w:tc>
        <w:tc>
          <w:tcPr>
            <w:tcW w:w="6125" w:type="dxa"/>
          </w:tcPr>
          <w:p>
            <w:pPr>
              <w:pStyle w:val="TableParagraph"/>
              <w:spacing w:before="33"/>
              <w:ind w:left="109"/>
              <w:rPr>
                <w:sz w:val="22"/>
              </w:rPr>
            </w:pPr>
            <w:r>
              <w:rPr>
                <w:sz w:val="22"/>
              </w:rPr>
              <w:t>Unblinding</w:t>
            </w:r>
            <w:r>
              <w:rPr>
                <w:spacing w:val="-9"/>
                <w:sz w:val="22"/>
              </w:rPr>
              <w:t> </w:t>
            </w:r>
            <w:r>
              <w:rPr>
                <w:sz w:val="22"/>
              </w:rPr>
              <w:t>Request</w:t>
            </w:r>
            <w:r>
              <w:rPr>
                <w:spacing w:val="-8"/>
                <w:sz w:val="22"/>
              </w:rPr>
              <w:t> </w:t>
            </w:r>
            <w:r>
              <w:rPr>
                <w:spacing w:val="-4"/>
                <w:sz w:val="22"/>
              </w:rPr>
              <w:t>Form</w:t>
            </w:r>
          </w:p>
        </w:tc>
      </w:tr>
      <w:tr>
        <w:trPr>
          <w:trHeight w:val="335" w:hRule="atLeast"/>
        </w:trPr>
        <w:tc>
          <w:tcPr>
            <w:tcW w:w="3778" w:type="dxa"/>
          </w:tcPr>
          <w:p>
            <w:pPr>
              <w:pStyle w:val="TableParagraph"/>
              <w:tabs>
                <w:tab w:pos="1569" w:val="left" w:leader="none"/>
              </w:tabs>
              <w:spacing w:before="38"/>
              <w:ind w:left="1022"/>
              <w:rPr>
                <w:sz w:val="22"/>
              </w:rPr>
            </w:pPr>
            <w:r>
              <w:rPr>
                <w:b/>
                <w:spacing w:val="-5"/>
                <w:sz w:val="22"/>
              </w:rPr>
              <w:t>7.2</w:t>
            </w:r>
            <w:r>
              <w:rPr>
                <w:b/>
                <w:sz w:val="22"/>
              </w:rPr>
              <w:tab/>
            </w:r>
            <w:hyperlink r:id="rId10">
              <w:r>
                <w:rPr>
                  <w:color w:val="0000FF"/>
                  <w:spacing w:val="-2"/>
                  <w:sz w:val="22"/>
                  <w:u w:val="single" w:color="0000FF"/>
                </w:rPr>
                <w:t>CS_FM_BS007</w:t>
              </w:r>
            </w:hyperlink>
          </w:p>
        </w:tc>
        <w:tc>
          <w:tcPr>
            <w:tcW w:w="6125" w:type="dxa"/>
          </w:tcPr>
          <w:p>
            <w:pPr>
              <w:pStyle w:val="TableParagraph"/>
              <w:spacing w:before="38"/>
              <w:ind w:left="109"/>
              <w:rPr>
                <w:sz w:val="22"/>
              </w:rPr>
            </w:pPr>
            <w:r>
              <w:rPr>
                <w:sz w:val="22"/>
              </w:rPr>
              <w:t>Reviewer</w:t>
            </w:r>
            <w:r>
              <w:rPr>
                <w:spacing w:val="-8"/>
                <w:sz w:val="22"/>
              </w:rPr>
              <w:t> </w:t>
            </w:r>
            <w:r>
              <w:rPr>
                <w:sz w:val="22"/>
              </w:rPr>
              <w:t>Feedback</w:t>
            </w:r>
            <w:r>
              <w:rPr>
                <w:spacing w:val="-8"/>
                <w:sz w:val="22"/>
              </w:rPr>
              <w:t> </w:t>
            </w:r>
            <w:r>
              <w:rPr>
                <w:spacing w:val="-4"/>
                <w:sz w:val="22"/>
              </w:rPr>
              <w:t>Form</w:t>
            </w:r>
          </w:p>
        </w:tc>
      </w:tr>
      <w:tr>
        <w:trPr>
          <w:trHeight w:val="330" w:hRule="atLeast"/>
        </w:trPr>
        <w:tc>
          <w:tcPr>
            <w:tcW w:w="3778" w:type="dxa"/>
          </w:tcPr>
          <w:p>
            <w:pPr>
              <w:pStyle w:val="TableParagraph"/>
              <w:tabs>
                <w:tab w:pos="547" w:val="left" w:leader="none"/>
              </w:tabs>
              <w:spacing w:before="38"/>
              <w:ind w:right="581"/>
              <w:jc w:val="right"/>
              <w:rPr>
                <w:sz w:val="22"/>
              </w:rPr>
            </w:pPr>
            <w:r>
              <w:rPr>
                <w:b/>
                <w:spacing w:val="-5"/>
                <w:sz w:val="22"/>
              </w:rPr>
              <w:t>7.3</w:t>
            </w:r>
            <w:r>
              <w:rPr>
                <w:b/>
                <w:sz w:val="22"/>
              </w:rPr>
              <w:tab/>
            </w:r>
            <w:hyperlink r:id="rId11">
              <w:r>
                <w:rPr>
                  <w:color w:val="0000FF"/>
                  <w:spacing w:val="-2"/>
                  <w:sz w:val="22"/>
                  <w:u w:val="single" w:color="0000FF"/>
                </w:rPr>
                <w:t>CS_TP_BS0201</w:t>
              </w:r>
            </w:hyperlink>
          </w:p>
        </w:tc>
        <w:tc>
          <w:tcPr>
            <w:tcW w:w="6125" w:type="dxa"/>
          </w:tcPr>
          <w:p>
            <w:pPr>
              <w:pStyle w:val="TableParagraph"/>
              <w:spacing w:before="33"/>
              <w:ind w:left="109"/>
              <w:rPr>
                <w:sz w:val="22"/>
              </w:rPr>
            </w:pPr>
            <w:r>
              <w:rPr>
                <w:sz w:val="22"/>
              </w:rPr>
              <w:t>Unblinding</w:t>
            </w:r>
            <w:r>
              <w:rPr>
                <w:spacing w:val="-6"/>
                <w:sz w:val="22"/>
              </w:rPr>
              <w:t> </w:t>
            </w:r>
            <w:r>
              <w:rPr>
                <w:spacing w:val="-4"/>
                <w:sz w:val="22"/>
              </w:rPr>
              <w:t>Plan</w:t>
            </w:r>
          </w:p>
        </w:tc>
      </w:tr>
      <w:tr>
        <w:trPr>
          <w:trHeight w:val="335" w:hRule="atLeast"/>
        </w:trPr>
        <w:tc>
          <w:tcPr>
            <w:tcW w:w="3778" w:type="dxa"/>
          </w:tcPr>
          <w:p>
            <w:pPr>
              <w:pStyle w:val="TableParagraph"/>
              <w:tabs>
                <w:tab w:pos="1569" w:val="left" w:leader="none"/>
              </w:tabs>
              <w:spacing w:before="38"/>
              <w:ind w:left="1022"/>
              <w:rPr>
                <w:sz w:val="22"/>
              </w:rPr>
            </w:pPr>
            <w:r>
              <w:rPr>
                <w:b/>
                <w:spacing w:val="-5"/>
                <w:sz w:val="22"/>
              </w:rPr>
              <w:t>7.4</w:t>
            </w:r>
            <w:r>
              <w:rPr>
                <w:b/>
                <w:sz w:val="22"/>
              </w:rPr>
              <w:tab/>
            </w:r>
            <w:hyperlink r:id="rId12">
              <w:r>
                <w:rPr>
                  <w:color w:val="0000FF"/>
                  <w:spacing w:val="-2"/>
                  <w:sz w:val="22"/>
                  <w:u w:val="single" w:color="0000FF"/>
                </w:rPr>
                <w:t>CS_WI_BS002</w:t>
              </w:r>
            </w:hyperlink>
          </w:p>
        </w:tc>
        <w:tc>
          <w:tcPr>
            <w:tcW w:w="6125" w:type="dxa"/>
          </w:tcPr>
          <w:p>
            <w:pPr>
              <w:pStyle w:val="TableParagraph"/>
              <w:spacing w:before="33"/>
              <w:ind w:left="109"/>
              <w:rPr>
                <w:sz w:val="22"/>
              </w:rPr>
            </w:pPr>
            <w:r>
              <w:rPr>
                <w:spacing w:val="-2"/>
                <w:sz w:val="22"/>
              </w:rPr>
              <w:t>Randomization</w:t>
            </w: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7.5</w:t>
            </w:r>
            <w:r>
              <w:rPr>
                <w:b/>
                <w:sz w:val="22"/>
              </w:rPr>
              <w:tab/>
            </w:r>
            <w:hyperlink r:id="rId13">
              <w:r>
                <w:rPr>
                  <w:color w:val="0000FF"/>
                  <w:spacing w:val="-2"/>
                  <w:sz w:val="22"/>
                  <w:u w:val="single" w:color="0000FF"/>
                </w:rPr>
                <w:t>CS_WI_BS003</w:t>
              </w:r>
            </w:hyperlink>
          </w:p>
        </w:tc>
        <w:tc>
          <w:tcPr>
            <w:tcW w:w="6125" w:type="dxa"/>
          </w:tcPr>
          <w:p>
            <w:pPr>
              <w:pStyle w:val="TableParagraph"/>
              <w:spacing w:before="33"/>
              <w:ind w:left="109"/>
              <w:rPr>
                <w:sz w:val="22"/>
              </w:rPr>
            </w:pPr>
            <w:r>
              <w:rPr>
                <w:spacing w:val="-2"/>
                <w:sz w:val="22"/>
              </w:rPr>
              <w:t>Unblinding</w:t>
            </w: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7.6</w:t>
            </w:r>
            <w:r>
              <w:rPr>
                <w:b/>
                <w:sz w:val="22"/>
              </w:rPr>
              <w:tab/>
            </w:r>
            <w:hyperlink r:id="rId14">
              <w:r>
                <w:rPr>
                  <w:color w:val="0000FF"/>
                  <w:spacing w:val="-2"/>
                  <w:sz w:val="22"/>
                  <w:u w:val="single" w:color="0000FF"/>
                </w:rPr>
                <w:t>CS_WI_BS015</w:t>
              </w:r>
            </w:hyperlink>
          </w:p>
        </w:tc>
        <w:tc>
          <w:tcPr>
            <w:tcW w:w="6125" w:type="dxa"/>
          </w:tcPr>
          <w:p>
            <w:pPr>
              <w:pStyle w:val="TableParagraph"/>
              <w:spacing w:before="33"/>
              <w:ind w:left="109"/>
              <w:rPr>
                <w:sz w:val="22"/>
              </w:rPr>
            </w:pPr>
            <w:r>
              <w:rPr>
                <w:sz w:val="22"/>
              </w:rPr>
              <w:t>Approaches</w:t>
            </w:r>
            <w:r>
              <w:rPr>
                <w:spacing w:val="-5"/>
                <w:sz w:val="22"/>
              </w:rPr>
              <w:t> </w:t>
            </w:r>
            <w:r>
              <w:rPr>
                <w:sz w:val="22"/>
              </w:rPr>
              <w:t>to</w:t>
            </w:r>
            <w:r>
              <w:rPr>
                <w:spacing w:val="-4"/>
                <w:sz w:val="22"/>
              </w:rPr>
              <w:t> </w:t>
            </w:r>
            <w:r>
              <w:rPr>
                <w:spacing w:val="-5"/>
                <w:sz w:val="22"/>
              </w:rPr>
              <w:t>QC</w:t>
            </w:r>
          </w:p>
        </w:tc>
      </w:tr>
      <w:tr>
        <w:trPr>
          <w:trHeight w:val="335" w:hRule="atLeast"/>
        </w:trPr>
        <w:tc>
          <w:tcPr>
            <w:tcW w:w="3778" w:type="dxa"/>
          </w:tcPr>
          <w:p>
            <w:pPr>
              <w:pStyle w:val="TableParagraph"/>
              <w:tabs>
                <w:tab w:pos="547" w:val="left" w:leader="none"/>
              </w:tabs>
              <w:spacing w:before="43"/>
              <w:ind w:right="591"/>
              <w:jc w:val="right"/>
              <w:rPr>
                <w:sz w:val="22"/>
              </w:rPr>
            </w:pPr>
            <w:r>
              <w:rPr>
                <w:b/>
                <w:spacing w:val="-5"/>
                <w:sz w:val="22"/>
              </w:rPr>
              <w:t>7.7</w:t>
            </w:r>
            <w:r>
              <w:rPr>
                <w:b/>
                <w:sz w:val="22"/>
              </w:rPr>
              <w:tab/>
            </w:r>
            <w:hyperlink r:id="rId15">
              <w:r>
                <w:rPr>
                  <w:color w:val="0000FF"/>
                  <w:spacing w:val="-2"/>
                  <w:sz w:val="22"/>
                  <w:u w:val="single" w:color="0000FF"/>
                </w:rPr>
                <w:t>CS_WI_BS0237</w:t>
              </w:r>
            </w:hyperlink>
          </w:p>
        </w:tc>
        <w:tc>
          <w:tcPr>
            <w:tcW w:w="6125" w:type="dxa"/>
          </w:tcPr>
          <w:p>
            <w:pPr>
              <w:pStyle w:val="TableParagraph"/>
              <w:spacing w:before="38"/>
              <w:ind w:left="109"/>
              <w:rPr>
                <w:sz w:val="22"/>
              </w:rPr>
            </w:pPr>
            <w:r>
              <w:rPr>
                <w:sz w:val="22"/>
              </w:rPr>
              <w:t>Management</w:t>
            </w:r>
            <w:r>
              <w:rPr>
                <w:spacing w:val="-7"/>
                <w:sz w:val="22"/>
              </w:rPr>
              <w:t> </w:t>
            </w:r>
            <w:r>
              <w:rPr>
                <w:sz w:val="22"/>
              </w:rPr>
              <w:t>and</w:t>
            </w:r>
            <w:r>
              <w:rPr>
                <w:spacing w:val="-7"/>
                <w:sz w:val="22"/>
              </w:rPr>
              <w:t> </w:t>
            </w:r>
            <w:r>
              <w:rPr>
                <w:sz w:val="22"/>
              </w:rPr>
              <w:t>Filing</w:t>
            </w:r>
            <w:r>
              <w:rPr>
                <w:spacing w:val="-7"/>
                <w:sz w:val="22"/>
              </w:rPr>
              <w:t> </w:t>
            </w:r>
            <w:r>
              <w:rPr>
                <w:sz w:val="22"/>
              </w:rPr>
              <w:t>of</w:t>
            </w:r>
            <w:r>
              <w:rPr>
                <w:spacing w:val="-7"/>
                <w:sz w:val="22"/>
              </w:rPr>
              <w:t> </w:t>
            </w:r>
            <w:r>
              <w:rPr>
                <w:sz w:val="22"/>
              </w:rPr>
              <w:t>Biostatistics</w:t>
            </w:r>
            <w:r>
              <w:rPr>
                <w:spacing w:val="-6"/>
                <w:sz w:val="22"/>
              </w:rPr>
              <w:t> </w:t>
            </w:r>
            <w:r>
              <w:rPr>
                <w:spacing w:val="-2"/>
                <w:sz w:val="22"/>
              </w:rPr>
              <w:t>Documentation</w:t>
            </w:r>
          </w:p>
        </w:tc>
      </w:tr>
      <w:tr>
        <w:trPr>
          <w:trHeight w:val="503" w:hRule="atLeast"/>
        </w:trPr>
        <w:tc>
          <w:tcPr>
            <w:tcW w:w="3778" w:type="dxa"/>
          </w:tcPr>
          <w:p>
            <w:pPr>
              <w:pStyle w:val="TableParagraph"/>
              <w:tabs>
                <w:tab w:pos="547" w:val="left" w:leader="none"/>
              </w:tabs>
              <w:spacing w:before="124"/>
              <w:ind w:right="533"/>
              <w:jc w:val="right"/>
              <w:rPr>
                <w:sz w:val="22"/>
              </w:rPr>
            </w:pPr>
            <w:r>
              <w:rPr>
                <w:b/>
                <w:spacing w:val="-5"/>
                <w:sz w:val="22"/>
              </w:rPr>
              <w:t>7.8</w:t>
            </w:r>
            <w:r>
              <w:rPr>
                <w:b/>
                <w:sz w:val="22"/>
              </w:rPr>
              <w:tab/>
            </w:r>
            <w:hyperlink r:id="rId16">
              <w:r>
                <w:rPr>
                  <w:color w:val="0000FF"/>
                  <w:spacing w:val="-2"/>
                  <w:sz w:val="22"/>
                  <w:u w:val="single" w:color="0000FF"/>
                </w:rPr>
                <w:t>CS_OD_BS0227</w:t>
              </w:r>
            </w:hyperlink>
          </w:p>
        </w:tc>
        <w:tc>
          <w:tcPr>
            <w:tcW w:w="6125" w:type="dxa"/>
          </w:tcPr>
          <w:p>
            <w:pPr>
              <w:pStyle w:val="TableParagraph"/>
              <w:spacing w:line="250" w:lineRule="exact"/>
              <w:ind w:left="109"/>
              <w:rPr>
                <w:sz w:val="22"/>
              </w:rPr>
            </w:pPr>
            <w:r>
              <w:rPr>
                <w:sz w:val="22"/>
              </w:rPr>
              <w:t>Approaches</w:t>
            </w:r>
            <w:r>
              <w:rPr>
                <w:spacing w:val="-4"/>
                <w:sz w:val="22"/>
              </w:rPr>
              <w:t> </w:t>
            </w:r>
            <w:r>
              <w:rPr>
                <w:sz w:val="22"/>
              </w:rPr>
              <w:t>to</w:t>
            </w:r>
            <w:r>
              <w:rPr>
                <w:spacing w:val="-4"/>
                <w:sz w:val="22"/>
              </w:rPr>
              <w:t> </w:t>
            </w:r>
            <w:r>
              <w:rPr>
                <w:sz w:val="22"/>
              </w:rPr>
              <w:t>QC:</w:t>
            </w:r>
            <w:r>
              <w:rPr>
                <w:spacing w:val="-4"/>
                <w:sz w:val="22"/>
              </w:rPr>
              <w:t> </w:t>
            </w:r>
            <w:r>
              <w:rPr>
                <w:sz w:val="22"/>
              </w:rPr>
              <w:t>Appendix</w:t>
            </w:r>
            <w:r>
              <w:rPr>
                <w:spacing w:val="-4"/>
                <w:sz w:val="22"/>
              </w:rPr>
              <w:t> </w:t>
            </w:r>
            <w:r>
              <w:rPr>
                <w:sz w:val="22"/>
              </w:rPr>
              <w:t>G</w:t>
            </w:r>
            <w:r>
              <w:rPr>
                <w:spacing w:val="-3"/>
                <w:sz w:val="22"/>
              </w:rPr>
              <w:t> </w:t>
            </w:r>
            <w:r>
              <w:rPr>
                <w:sz w:val="22"/>
              </w:rPr>
              <w:t>-</w:t>
            </w:r>
            <w:r>
              <w:rPr>
                <w:spacing w:val="-8"/>
                <w:sz w:val="22"/>
              </w:rPr>
              <w:t> </w:t>
            </w:r>
            <w:r>
              <w:rPr>
                <w:sz w:val="22"/>
              </w:rPr>
              <w:t>Quality</w:t>
            </w:r>
            <w:r>
              <w:rPr>
                <w:spacing w:val="-4"/>
                <w:sz w:val="22"/>
              </w:rPr>
              <w:t> </w:t>
            </w:r>
            <w:r>
              <w:rPr>
                <w:sz w:val="22"/>
              </w:rPr>
              <w:t>Gates</w:t>
            </w:r>
            <w:r>
              <w:rPr>
                <w:spacing w:val="-4"/>
                <w:sz w:val="22"/>
              </w:rPr>
              <w:t> </w:t>
            </w:r>
            <w:r>
              <w:rPr>
                <w:sz w:val="22"/>
              </w:rPr>
              <w:t>for</w:t>
            </w:r>
            <w:r>
              <w:rPr>
                <w:spacing w:val="-4"/>
                <w:sz w:val="22"/>
              </w:rPr>
              <w:t> </w:t>
            </w:r>
            <w:r>
              <w:rPr>
                <w:sz w:val="22"/>
              </w:rPr>
              <w:t>Derived Data Specifications and Sets</w:t>
            </w:r>
          </w:p>
        </w:tc>
      </w:tr>
    </w:tbl>
    <w:p>
      <w:pPr>
        <w:pStyle w:val="BodyText"/>
        <w:spacing w:before="10"/>
        <w:rPr>
          <w:b/>
          <w:sz w:val="20"/>
        </w:rPr>
      </w:pPr>
    </w:p>
    <w:p>
      <w:pPr>
        <w:pStyle w:val="ListParagraph"/>
        <w:numPr>
          <w:ilvl w:val="0"/>
          <w:numId w:val="1"/>
        </w:numPr>
        <w:tabs>
          <w:tab w:pos="1259" w:val="left" w:leader="none"/>
          <w:tab w:pos="1260" w:val="left" w:leader="none"/>
        </w:tabs>
        <w:spacing w:line="240" w:lineRule="auto" w:before="1" w:after="6"/>
        <w:ind w:left="1260" w:right="0" w:hanging="720"/>
        <w:jc w:val="left"/>
        <w:rPr>
          <w:b/>
          <w:sz w:val="22"/>
        </w:rPr>
      </w:pPr>
      <w:bookmarkStart w:name="SUPERSEDES" w:id="12"/>
      <w:bookmarkEnd w:id="12"/>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561" w:hRule="atLeast"/>
        </w:trPr>
        <w:tc>
          <w:tcPr>
            <w:tcW w:w="3778" w:type="dxa"/>
          </w:tcPr>
          <w:p>
            <w:pPr>
              <w:pStyle w:val="TableParagraph"/>
              <w:spacing w:before="38"/>
              <w:ind w:left="105"/>
              <w:rPr>
                <w:sz w:val="22"/>
              </w:rPr>
            </w:pPr>
            <w:r>
              <w:rPr>
                <w:spacing w:val="-2"/>
                <w:sz w:val="22"/>
              </w:rPr>
              <w:t>CS_WI_BS0236</w:t>
            </w:r>
          </w:p>
        </w:tc>
        <w:tc>
          <w:tcPr>
            <w:tcW w:w="3802" w:type="dxa"/>
          </w:tcPr>
          <w:p>
            <w:pPr>
              <w:pStyle w:val="TableParagraph"/>
              <w:spacing w:line="232" w:lineRule="auto" w:before="30"/>
              <w:ind w:left="105"/>
              <w:rPr>
                <w:sz w:val="22"/>
              </w:rPr>
            </w:pPr>
            <w:r>
              <w:rPr>
                <w:sz w:val="22"/>
              </w:rPr>
              <w:t>Handling</w:t>
            </w:r>
            <w:r>
              <w:rPr>
                <w:spacing w:val="-13"/>
                <w:sz w:val="22"/>
              </w:rPr>
              <w:t> </w:t>
            </w:r>
            <w:r>
              <w:rPr>
                <w:sz w:val="22"/>
              </w:rPr>
              <w:t>Randomization</w:t>
            </w:r>
            <w:r>
              <w:rPr>
                <w:spacing w:val="-13"/>
                <w:sz w:val="22"/>
              </w:rPr>
              <w:t> </w:t>
            </w:r>
            <w:r>
              <w:rPr>
                <w:sz w:val="22"/>
              </w:rPr>
              <w:t>Material</w:t>
            </w:r>
            <w:r>
              <w:rPr>
                <w:spacing w:val="-13"/>
                <w:sz w:val="22"/>
              </w:rPr>
              <w:t> </w:t>
            </w:r>
            <w:r>
              <w:rPr>
                <w:sz w:val="22"/>
              </w:rPr>
              <w:t>in Open Label Studies</w:t>
            </w:r>
          </w:p>
        </w:tc>
        <w:tc>
          <w:tcPr>
            <w:tcW w:w="2338" w:type="dxa"/>
          </w:tcPr>
          <w:p>
            <w:pPr>
              <w:pStyle w:val="TableParagraph"/>
              <w:spacing w:before="38"/>
              <w:ind w:left="104"/>
              <w:rPr>
                <w:sz w:val="22"/>
              </w:rPr>
            </w:pPr>
            <w:r>
              <w:rPr>
                <w:w w:val="100"/>
                <w:sz w:val="22"/>
              </w:rPr>
              <w:t>1</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0" w:after="7"/>
        <w:ind w:left="1260" w:right="0" w:hanging="720"/>
        <w:jc w:val="left"/>
        <w:rPr>
          <w:b/>
          <w:sz w:val="22"/>
        </w:rPr>
      </w:pPr>
      <w:bookmarkStart w:name="MODIFICATION FROM PREVIOUS REVISION" w:id="13"/>
      <w:bookmarkEnd w:id="13"/>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561" w:hRule="atLeast"/>
        </w:trPr>
        <w:tc>
          <w:tcPr>
            <w:tcW w:w="3298" w:type="dxa"/>
          </w:tcPr>
          <w:p>
            <w:pPr>
              <w:pStyle w:val="TableParagraph"/>
              <w:spacing w:line="232" w:lineRule="auto" w:before="30"/>
              <w:ind w:left="110" w:right="115"/>
              <w:rPr>
                <w:sz w:val="22"/>
              </w:rPr>
            </w:pPr>
            <w:r>
              <w:rPr>
                <w:sz w:val="22"/>
              </w:rPr>
              <w:t>Minor</w:t>
            </w:r>
            <w:r>
              <w:rPr>
                <w:spacing w:val="-4"/>
                <w:sz w:val="22"/>
              </w:rPr>
              <w:t> </w:t>
            </w:r>
            <w:r>
              <w:rPr>
                <w:sz w:val="22"/>
              </w:rPr>
              <w:t>updates</w:t>
            </w:r>
            <w:r>
              <w:rPr>
                <w:spacing w:val="-4"/>
                <w:sz w:val="22"/>
              </w:rPr>
              <w:t> </w:t>
            </w:r>
            <w:r>
              <w:rPr>
                <w:sz w:val="22"/>
              </w:rPr>
              <w:t>to</w:t>
            </w:r>
            <w:r>
              <w:rPr>
                <w:spacing w:val="-4"/>
                <w:sz w:val="22"/>
              </w:rPr>
              <w:t> </w:t>
            </w:r>
            <w:r>
              <w:rPr>
                <w:sz w:val="22"/>
              </w:rPr>
              <w:t>text throughout</w:t>
            </w:r>
            <w:r>
              <w:rPr>
                <w:spacing w:val="-10"/>
                <w:sz w:val="22"/>
              </w:rPr>
              <w:t> </w:t>
            </w:r>
            <w:r>
              <w:rPr>
                <w:spacing w:val="-2"/>
                <w:sz w:val="22"/>
              </w:rPr>
              <w:t>document</w:t>
            </w:r>
          </w:p>
        </w:tc>
        <w:tc>
          <w:tcPr>
            <w:tcW w:w="3298" w:type="dxa"/>
          </w:tcPr>
          <w:p>
            <w:pPr>
              <w:pStyle w:val="TableParagraph"/>
              <w:spacing w:before="28"/>
              <w:ind w:left="109"/>
              <w:rPr>
                <w:sz w:val="22"/>
              </w:rPr>
            </w:pPr>
            <w:r>
              <w:rPr>
                <w:spacing w:val="-5"/>
                <w:sz w:val="22"/>
              </w:rPr>
              <w:t>All</w:t>
            </w:r>
          </w:p>
        </w:tc>
        <w:tc>
          <w:tcPr>
            <w:tcW w:w="3303" w:type="dxa"/>
          </w:tcPr>
          <w:p>
            <w:pPr>
              <w:pStyle w:val="TableParagraph"/>
              <w:spacing w:line="232" w:lineRule="auto" w:before="30"/>
              <w:ind w:left="109"/>
              <w:rPr>
                <w:sz w:val="22"/>
              </w:rPr>
            </w:pPr>
            <w:r>
              <w:rPr>
                <w:sz w:val="22"/>
              </w:rPr>
              <w:t>To</w:t>
            </w:r>
            <w:r>
              <w:rPr>
                <w:spacing w:val="-9"/>
                <w:sz w:val="22"/>
              </w:rPr>
              <w:t> </w:t>
            </w:r>
            <w:r>
              <w:rPr>
                <w:sz w:val="22"/>
              </w:rPr>
              <w:t>improve</w:t>
            </w:r>
            <w:r>
              <w:rPr>
                <w:spacing w:val="-12"/>
                <w:sz w:val="22"/>
              </w:rPr>
              <w:t> </w:t>
            </w:r>
            <w:r>
              <w:rPr>
                <w:sz w:val="22"/>
              </w:rPr>
              <w:t>clarity</w:t>
            </w:r>
            <w:r>
              <w:rPr>
                <w:spacing w:val="-12"/>
                <w:sz w:val="22"/>
              </w:rPr>
              <w:t> </w:t>
            </w:r>
            <w:r>
              <w:rPr>
                <w:sz w:val="22"/>
              </w:rPr>
              <w:t>and </w:t>
            </w:r>
            <w:r>
              <w:rPr>
                <w:spacing w:val="-2"/>
                <w:sz w:val="22"/>
              </w:rPr>
              <w:t>consistency</w:t>
            </w:r>
          </w:p>
        </w:tc>
      </w:tr>
      <w:tr>
        <w:trPr>
          <w:trHeight w:val="1281" w:hRule="atLeast"/>
        </w:trPr>
        <w:tc>
          <w:tcPr>
            <w:tcW w:w="3298" w:type="dxa"/>
          </w:tcPr>
          <w:p>
            <w:pPr>
              <w:pStyle w:val="TableParagraph"/>
              <w:spacing w:line="228" w:lineRule="auto" w:before="34"/>
              <w:ind w:left="110" w:right="115"/>
              <w:rPr>
                <w:sz w:val="22"/>
              </w:rPr>
            </w:pPr>
            <w:r>
              <w:rPr>
                <w:sz w:val="22"/>
              </w:rPr>
              <w:t>Added</w:t>
            </w:r>
            <w:r>
              <w:rPr>
                <w:spacing w:val="-8"/>
                <w:sz w:val="22"/>
              </w:rPr>
              <w:t> </w:t>
            </w:r>
            <w:r>
              <w:rPr>
                <w:sz w:val="22"/>
              </w:rPr>
              <w:t>if</w:t>
            </w:r>
            <w:r>
              <w:rPr>
                <w:spacing w:val="-10"/>
                <w:sz w:val="22"/>
              </w:rPr>
              <w:t> </w:t>
            </w:r>
            <w:r>
              <w:rPr>
                <w:sz w:val="22"/>
              </w:rPr>
              <w:t>IQVIA</w:t>
            </w:r>
            <w:r>
              <w:rPr>
                <w:spacing w:val="-10"/>
                <w:sz w:val="22"/>
              </w:rPr>
              <w:t> </w:t>
            </w:r>
            <w:r>
              <w:rPr>
                <w:sz w:val="22"/>
              </w:rPr>
              <w:t>Biostatistics</w:t>
            </w:r>
            <w:r>
              <w:rPr>
                <w:spacing w:val="-10"/>
                <w:sz w:val="22"/>
              </w:rPr>
              <w:t> </w:t>
            </w:r>
            <w:r>
              <w:rPr>
                <w:sz w:val="22"/>
              </w:rPr>
              <w:t>are to remain blinded, the unblinding of the study should be handled according to CS_WI_BS003 (Unblinding).</w:t>
            </w:r>
          </w:p>
        </w:tc>
        <w:tc>
          <w:tcPr>
            <w:tcW w:w="3298" w:type="dxa"/>
          </w:tcPr>
          <w:p>
            <w:pPr>
              <w:pStyle w:val="TableParagraph"/>
              <w:spacing w:before="28"/>
              <w:ind w:left="109"/>
              <w:rPr>
                <w:sz w:val="22"/>
              </w:rPr>
            </w:pPr>
            <w:r>
              <w:rPr>
                <w:spacing w:val="-5"/>
                <w:sz w:val="22"/>
              </w:rPr>
              <w:t>1.0</w:t>
            </w:r>
          </w:p>
        </w:tc>
        <w:tc>
          <w:tcPr>
            <w:tcW w:w="3303" w:type="dxa"/>
          </w:tcPr>
          <w:p>
            <w:pPr>
              <w:pStyle w:val="TableParagraph"/>
              <w:spacing w:line="228" w:lineRule="auto" w:before="34"/>
              <w:ind w:left="109" w:right="190"/>
              <w:rPr>
                <w:sz w:val="22"/>
              </w:rPr>
            </w:pPr>
            <w:r>
              <w:rPr>
                <w:sz w:val="22"/>
              </w:rPr>
              <w:t>To</w:t>
            </w:r>
            <w:r>
              <w:rPr>
                <w:spacing w:val="-14"/>
                <w:sz w:val="22"/>
              </w:rPr>
              <w:t> </w:t>
            </w:r>
            <w:r>
              <w:rPr>
                <w:sz w:val="22"/>
              </w:rPr>
              <w:t>follow</w:t>
            </w:r>
            <w:r>
              <w:rPr>
                <w:spacing w:val="-12"/>
                <w:sz w:val="22"/>
              </w:rPr>
              <w:t> </w:t>
            </w:r>
            <w:r>
              <w:rPr>
                <w:sz w:val="22"/>
              </w:rPr>
              <w:t>standard</w:t>
            </w:r>
            <w:r>
              <w:rPr>
                <w:spacing w:val="-10"/>
                <w:sz w:val="22"/>
              </w:rPr>
              <w:t> </w:t>
            </w:r>
            <w:r>
              <w:rPr>
                <w:sz w:val="22"/>
              </w:rPr>
              <w:t>unblinding </w:t>
            </w:r>
            <w:r>
              <w:rPr>
                <w:spacing w:val="-6"/>
                <w:sz w:val="22"/>
              </w:rPr>
              <w:t>WI</w:t>
            </w:r>
          </w:p>
        </w:tc>
      </w:tr>
      <w:tr>
        <w:trPr>
          <w:trHeight w:val="758" w:hRule="atLeast"/>
        </w:trPr>
        <w:tc>
          <w:tcPr>
            <w:tcW w:w="3298" w:type="dxa"/>
          </w:tcPr>
          <w:p>
            <w:pPr>
              <w:pStyle w:val="TableParagraph"/>
              <w:spacing w:line="240" w:lineRule="exact" w:before="18"/>
              <w:ind w:left="110"/>
              <w:rPr>
                <w:sz w:val="22"/>
              </w:rPr>
            </w:pPr>
            <w:r>
              <w:rPr>
                <w:sz w:val="22"/>
              </w:rPr>
              <w:t>Added Early Clinical Development (ECD) Randomization</w:t>
            </w:r>
            <w:r>
              <w:rPr>
                <w:spacing w:val="-16"/>
                <w:sz w:val="22"/>
              </w:rPr>
              <w:t> </w:t>
            </w:r>
            <w:r>
              <w:rPr>
                <w:sz w:val="22"/>
              </w:rPr>
              <w:t>team</w:t>
            </w:r>
            <w:r>
              <w:rPr>
                <w:spacing w:val="-15"/>
                <w:sz w:val="22"/>
              </w:rPr>
              <w:t> </w:t>
            </w:r>
            <w:r>
              <w:rPr>
                <w:sz w:val="22"/>
              </w:rPr>
              <w:t>to</w:t>
            </w:r>
          </w:p>
        </w:tc>
        <w:tc>
          <w:tcPr>
            <w:tcW w:w="3298" w:type="dxa"/>
          </w:tcPr>
          <w:p>
            <w:pPr>
              <w:pStyle w:val="TableParagraph"/>
              <w:spacing w:before="28"/>
              <w:ind w:left="109"/>
              <w:rPr>
                <w:sz w:val="22"/>
              </w:rPr>
            </w:pPr>
            <w:r>
              <w:rPr>
                <w:spacing w:val="-5"/>
                <w:sz w:val="22"/>
              </w:rPr>
              <w:t>4.0</w:t>
            </w:r>
          </w:p>
        </w:tc>
        <w:tc>
          <w:tcPr>
            <w:tcW w:w="3303" w:type="dxa"/>
          </w:tcPr>
          <w:p>
            <w:pPr>
              <w:pStyle w:val="TableParagraph"/>
              <w:spacing w:before="28"/>
              <w:ind w:left="109"/>
              <w:rPr>
                <w:sz w:val="22"/>
              </w:rPr>
            </w:pPr>
            <w:r>
              <w:rPr>
                <w:sz w:val="22"/>
              </w:rPr>
              <w:t>To</w:t>
            </w:r>
            <w:r>
              <w:rPr>
                <w:spacing w:val="-4"/>
                <w:sz w:val="22"/>
              </w:rPr>
              <w:t> </w:t>
            </w:r>
            <w:r>
              <w:rPr>
                <w:sz w:val="22"/>
              </w:rPr>
              <w:t>reflect</w:t>
            </w:r>
            <w:r>
              <w:rPr>
                <w:spacing w:val="-3"/>
                <w:sz w:val="22"/>
              </w:rPr>
              <w:t> </w:t>
            </w:r>
            <w:r>
              <w:rPr>
                <w:sz w:val="22"/>
              </w:rPr>
              <w:t>the</w:t>
            </w:r>
            <w:r>
              <w:rPr>
                <w:spacing w:val="-3"/>
                <w:sz w:val="22"/>
              </w:rPr>
              <w:t> </w:t>
            </w:r>
            <w:r>
              <w:rPr>
                <w:sz w:val="22"/>
              </w:rPr>
              <w:t>current</w:t>
            </w:r>
            <w:r>
              <w:rPr>
                <w:spacing w:val="-7"/>
                <w:sz w:val="22"/>
              </w:rPr>
              <w:t> </w:t>
            </w:r>
            <w:r>
              <w:rPr>
                <w:spacing w:val="-2"/>
                <w:sz w:val="22"/>
              </w:rPr>
              <w:t>process</w:t>
            </w:r>
          </w:p>
        </w:tc>
      </w:tr>
    </w:tbl>
    <w:p>
      <w:pPr>
        <w:spacing w:after="0"/>
        <w:rPr>
          <w:sz w:val="22"/>
        </w:rPr>
        <w:sectPr>
          <w:pgSz w:w="12240" w:h="15840"/>
          <w:pgMar w:header="979" w:footer="952" w:top="2760" w:bottom="114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522" w:hRule="atLeast"/>
        </w:trPr>
        <w:tc>
          <w:tcPr>
            <w:tcW w:w="3298" w:type="dxa"/>
          </w:tcPr>
          <w:p>
            <w:pPr>
              <w:pStyle w:val="TableParagraph"/>
              <w:spacing w:line="228" w:lineRule="auto"/>
              <w:ind w:left="110" w:right="115"/>
              <w:rPr>
                <w:sz w:val="22"/>
              </w:rPr>
            </w:pPr>
            <w:r>
              <w:rPr>
                <w:sz w:val="22"/>
              </w:rPr>
              <w:t>Randomization</w:t>
            </w:r>
            <w:r>
              <w:rPr>
                <w:spacing w:val="-16"/>
                <w:sz w:val="22"/>
              </w:rPr>
              <w:t> </w:t>
            </w:r>
            <w:r>
              <w:rPr>
                <w:sz w:val="22"/>
              </w:rPr>
              <w:t>Vendor </w:t>
            </w:r>
            <w:r>
              <w:rPr>
                <w:spacing w:val="-2"/>
                <w:sz w:val="22"/>
              </w:rPr>
              <w:t>definition</w:t>
            </w:r>
          </w:p>
        </w:tc>
        <w:tc>
          <w:tcPr>
            <w:tcW w:w="3298" w:type="dxa"/>
          </w:tcPr>
          <w:p>
            <w:pPr>
              <w:pStyle w:val="TableParagraph"/>
              <w:rPr>
                <w:rFonts w:ascii="Times New Roman"/>
                <w:sz w:val="20"/>
              </w:rPr>
            </w:pPr>
          </w:p>
        </w:tc>
        <w:tc>
          <w:tcPr>
            <w:tcW w:w="3303" w:type="dxa"/>
          </w:tcPr>
          <w:p>
            <w:pPr>
              <w:pStyle w:val="TableParagraph"/>
              <w:rPr>
                <w:rFonts w:ascii="Times New Roman"/>
                <w:sz w:val="20"/>
              </w:rPr>
            </w:pPr>
          </w:p>
        </w:tc>
      </w:tr>
      <w:tr>
        <w:trPr>
          <w:trHeight w:val="1041" w:hRule="atLeast"/>
        </w:trPr>
        <w:tc>
          <w:tcPr>
            <w:tcW w:w="3298" w:type="dxa"/>
          </w:tcPr>
          <w:p>
            <w:pPr>
              <w:pStyle w:val="TableParagraph"/>
              <w:spacing w:line="228" w:lineRule="auto" w:before="34"/>
              <w:ind w:left="110" w:right="115"/>
              <w:rPr>
                <w:sz w:val="22"/>
              </w:rPr>
            </w:pPr>
            <w:r>
              <w:rPr>
                <w:sz w:val="22"/>
              </w:rPr>
              <w:t>Added step to identify blinded/unblinded deliveries and</w:t>
            </w:r>
            <w:r>
              <w:rPr>
                <w:spacing w:val="-6"/>
                <w:sz w:val="22"/>
              </w:rPr>
              <w:t> </w:t>
            </w:r>
            <w:r>
              <w:rPr>
                <w:sz w:val="22"/>
              </w:rPr>
              <w:t>team</w:t>
            </w:r>
            <w:r>
              <w:rPr>
                <w:spacing w:val="-10"/>
                <w:sz w:val="22"/>
              </w:rPr>
              <w:t> </w:t>
            </w:r>
            <w:r>
              <w:rPr>
                <w:sz w:val="22"/>
              </w:rPr>
              <w:t>members</w:t>
            </w:r>
            <w:r>
              <w:rPr>
                <w:spacing w:val="-12"/>
                <w:sz w:val="22"/>
              </w:rPr>
              <w:t> </w:t>
            </w:r>
            <w:r>
              <w:rPr>
                <w:sz w:val="22"/>
              </w:rPr>
              <w:t>and</w:t>
            </w:r>
            <w:r>
              <w:rPr>
                <w:spacing w:val="-10"/>
                <w:sz w:val="22"/>
              </w:rPr>
              <w:t> </w:t>
            </w:r>
            <w:r>
              <w:rPr>
                <w:sz w:val="22"/>
              </w:rPr>
              <w:t>write the unblinding plan.</w:t>
            </w:r>
          </w:p>
        </w:tc>
        <w:tc>
          <w:tcPr>
            <w:tcW w:w="3298" w:type="dxa"/>
          </w:tcPr>
          <w:p>
            <w:pPr>
              <w:pStyle w:val="TableParagraph"/>
              <w:spacing w:before="28"/>
              <w:ind w:left="109"/>
              <w:rPr>
                <w:sz w:val="22"/>
              </w:rPr>
            </w:pPr>
            <w:r>
              <w:rPr>
                <w:sz w:val="22"/>
              </w:rPr>
              <w:t>6.2.1</w:t>
            </w:r>
            <w:r>
              <w:rPr>
                <w:spacing w:val="-3"/>
                <w:sz w:val="22"/>
              </w:rPr>
              <w:t> </w:t>
            </w:r>
            <w:r>
              <w:rPr>
                <w:sz w:val="22"/>
              </w:rPr>
              <w:t>and</w:t>
            </w:r>
            <w:r>
              <w:rPr>
                <w:spacing w:val="-2"/>
                <w:sz w:val="22"/>
              </w:rPr>
              <w:t> 6.2.2</w:t>
            </w:r>
          </w:p>
        </w:tc>
        <w:tc>
          <w:tcPr>
            <w:tcW w:w="3303" w:type="dxa"/>
          </w:tcPr>
          <w:p>
            <w:pPr>
              <w:pStyle w:val="TableParagraph"/>
              <w:spacing w:line="228" w:lineRule="auto" w:before="34"/>
              <w:ind w:left="109"/>
              <w:rPr>
                <w:sz w:val="22"/>
              </w:rPr>
            </w:pPr>
            <w:r>
              <w:rPr>
                <w:sz w:val="22"/>
              </w:rPr>
              <w:t>To</w:t>
            </w:r>
            <w:r>
              <w:rPr>
                <w:spacing w:val="-6"/>
                <w:sz w:val="22"/>
              </w:rPr>
              <w:t> </w:t>
            </w:r>
            <w:r>
              <w:rPr>
                <w:sz w:val="22"/>
              </w:rPr>
              <w:t>reduce</w:t>
            </w:r>
            <w:r>
              <w:rPr>
                <w:spacing w:val="-8"/>
                <w:sz w:val="22"/>
              </w:rPr>
              <w:t> </w:t>
            </w:r>
            <w:r>
              <w:rPr>
                <w:sz w:val="22"/>
              </w:rPr>
              <w:t>the</w:t>
            </w:r>
            <w:r>
              <w:rPr>
                <w:spacing w:val="-8"/>
                <w:sz w:val="22"/>
              </w:rPr>
              <w:t> </w:t>
            </w:r>
            <w:r>
              <w:rPr>
                <w:sz w:val="22"/>
              </w:rPr>
              <w:t>risk</w:t>
            </w:r>
            <w:r>
              <w:rPr>
                <w:spacing w:val="-8"/>
                <w:sz w:val="22"/>
              </w:rPr>
              <w:t> </w:t>
            </w:r>
            <w:r>
              <w:rPr>
                <w:sz w:val="22"/>
              </w:rPr>
              <w:t>of</w:t>
            </w:r>
            <w:r>
              <w:rPr>
                <w:spacing w:val="-8"/>
                <w:sz w:val="22"/>
              </w:rPr>
              <w:t> </w:t>
            </w:r>
            <w:r>
              <w:rPr>
                <w:sz w:val="22"/>
              </w:rPr>
              <w:t>unblinding team members who should remain blinded</w:t>
            </w:r>
          </w:p>
        </w:tc>
      </w:tr>
      <w:tr>
        <w:trPr>
          <w:trHeight w:val="796" w:hRule="atLeast"/>
        </w:trPr>
        <w:tc>
          <w:tcPr>
            <w:tcW w:w="3298" w:type="dxa"/>
          </w:tcPr>
          <w:p>
            <w:pPr>
              <w:pStyle w:val="TableParagraph"/>
              <w:spacing w:line="228" w:lineRule="auto" w:before="34"/>
              <w:ind w:left="110" w:right="188"/>
              <w:rPr>
                <w:sz w:val="22"/>
              </w:rPr>
            </w:pPr>
            <w:r>
              <w:rPr>
                <w:sz w:val="22"/>
              </w:rPr>
              <w:t>Replaced</w:t>
            </w:r>
            <w:r>
              <w:rPr>
                <w:spacing w:val="-16"/>
                <w:sz w:val="22"/>
              </w:rPr>
              <w:t> </w:t>
            </w:r>
            <w:r>
              <w:rPr>
                <w:sz w:val="22"/>
              </w:rPr>
              <w:t>“actual</w:t>
            </w:r>
            <w:r>
              <w:rPr>
                <w:spacing w:val="-15"/>
                <w:sz w:val="22"/>
              </w:rPr>
              <w:t> </w:t>
            </w:r>
            <w:r>
              <w:rPr>
                <w:sz w:val="22"/>
              </w:rPr>
              <w:t>schedule” with “planned treatment </w:t>
            </w:r>
            <w:r>
              <w:rPr>
                <w:spacing w:val="-2"/>
                <w:sz w:val="22"/>
              </w:rPr>
              <w:t>schedule”.</w:t>
            </w:r>
          </w:p>
        </w:tc>
        <w:tc>
          <w:tcPr>
            <w:tcW w:w="3298" w:type="dxa"/>
          </w:tcPr>
          <w:p>
            <w:pPr>
              <w:pStyle w:val="TableParagraph"/>
              <w:spacing w:before="28"/>
              <w:ind w:left="109"/>
              <w:rPr>
                <w:sz w:val="22"/>
              </w:rPr>
            </w:pPr>
            <w:r>
              <w:rPr>
                <w:spacing w:val="-2"/>
                <w:sz w:val="22"/>
              </w:rPr>
              <w:t>6.2.3</w:t>
            </w:r>
          </w:p>
        </w:tc>
        <w:tc>
          <w:tcPr>
            <w:tcW w:w="3303" w:type="dxa"/>
          </w:tcPr>
          <w:p>
            <w:pPr>
              <w:pStyle w:val="TableParagraph"/>
              <w:spacing w:before="28"/>
              <w:ind w:left="109"/>
              <w:rPr>
                <w:sz w:val="22"/>
              </w:rPr>
            </w:pPr>
            <w:r>
              <w:rPr>
                <w:sz w:val="22"/>
              </w:rPr>
              <w:t>For</w:t>
            </w:r>
            <w:r>
              <w:rPr>
                <w:spacing w:val="-8"/>
                <w:sz w:val="22"/>
              </w:rPr>
              <w:t> </w:t>
            </w:r>
            <w:r>
              <w:rPr>
                <w:sz w:val="22"/>
              </w:rPr>
              <w:t>clarification</w:t>
            </w:r>
            <w:r>
              <w:rPr>
                <w:spacing w:val="-7"/>
                <w:sz w:val="22"/>
              </w:rPr>
              <w:t> </w:t>
            </w:r>
            <w:r>
              <w:rPr>
                <w:spacing w:val="-2"/>
                <w:sz w:val="22"/>
              </w:rPr>
              <w:t>purposes</w:t>
            </w:r>
          </w:p>
        </w:tc>
      </w:tr>
      <w:tr>
        <w:trPr>
          <w:trHeight w:val="561" w:hRule="atLeast"/>
        </w:trPr>
        <w:tc>
          <w:tcPr>
            <w:tcW w:w="3298" w:type="dxa"/>
          </w:tcPr>
          <w:p>
            <w:pPr>
              <w:pStyle w:val="TableParagraph"/>
              <w:spacing w:line="232" w:lineRule="auto" w:before="30"/>
              <w:ind w:left="110"/>
              <w:rPr>
                <w:sz w:val="22"/>
              </w:rPr>
            </w:pPr>
            <w:r>
              <w:rPr>
                <w:sz w:val="22"/>
              </w:rPr>
              <w:t>Added</w:t>
            </w:r>
            <w:r>
              <w:rPr>
                <w:spacing w:val="-11"/>
                <w:sz w:val="22"/>
              </w:rPr>
              <w:t> </w:t>
            </w:r>
            <w:r>
              <w:rPr>
                <w:sz w:val="22"/>
              </w:rPr>
              <w:t>“if</w:t>
            </w:r>
            <w:r>
              <w:rPr>
                <w:spacing w:val="-11"/>
                <w:sz w:val="22"/>
              </w:rPr>
              <w:t> </w:t>
            </w:r>
            <w:r>
              <w:rPr>
                <w:sz w:val="22"/>
              </w:rPr>
              <w:t>randomization</w:t>
            </w:r>
            <w:r>
              <w:rPr>
                <w:spacing w:val="-11"/>
                <w:sz w:val="22"/>
              </w:rPr>
              <w:t> </w:t>
            </w:r>
            <w:r>
              <w:rPr>
                <w:sz w:val="22"/>
              </w:rPr>
              <w:t>is </w:t>
            </w:r>
            <w:r>
              <w:rPr>
                <w:spacing w:val="-2"/>
                <w:sz w:val="22"/>
              </w:rPr>
              <w:t>ongoing”.</w:t>
            </w:r>
          </w:p>
        </w:tc>
        <w:tc>
          <w:tcPr>
            <w:tcW w:w="3298" w:type="dxa"/>
          </w:tcPr>
          <w:p>
            <w:pPr>
              <w:pStyle w:val="TableParagraph"/>
              <w:spacing w:before="28"/>
              <w:ind w:left="109"/>
              <w:rPr>
                <w:sz w:val="22"/>
              </w:rPr>
            </w:pPr>
            <w:r>
              <w:rPr>
                <w:spacing w:val="-2"/>
                <w:sz w:val="22"/>
              </w:rPr>
              <w:t>6.2.4</w:t>
            </w:r>
          </w:p>
        </w:tc>
        <w:tc>
          <w:tcPr>
            <w:tcW w:w="3303" w:type="dxa"/>
          </w:tcPr>
          <w:p>
            <w:pPr>
              <w:pStyle w:val="TableParagraph"/>
              <w:spacing w:before="28"/>
              <w:ind w:left="109"/>
              <w:rPr>
                <w:sz w:val="22"/>
              </w:rPr>
            </w:pPr>
            <w:r>
              <w:rPr>
                <w:sz w:val="22"/>
              </w:rPr>
              <w:t>For</w:t>
            </w:r>
            <w:r>
              <w:rPr>
                <w:spacing w:val="-8"/>
                <w:sz w:val="22"/>
              </w:rPr>
              <w:t> </w:t>
            </w:r>
            <w:r>
              <w:rPr>
                <w:sz w:val="22"/>
              </w:rPr>
              <w:t>clarification</w:t>
            </w:r>
            <w:r>
              <w:rPr>
                <w:spacing w:val="-7"/>
                <w:sz w:val="22"/>
              </w:rPr>
              <w:t> </w:t>
            </w:r>
            <w:r>
              <w:rPr>
                <w:spacing w:val="-2"/>
                <w:sz w:val="22"/>
              </w:rPr>
              <w:t>purposes</w:t>
            </w:r>
          </w:p>
        </w:tc>
      </w:tr>
      <w:tr>
        <w:trPr>
          <w:trHeight w:val="561" w:hRule="atLeast"/>
        </w:trPr>
        <w:tc>
          <w:tcPr>
            <w:tcW w:w="3298" w:type="dxa"/>
          </w:tcPr>
          <w:p>
            <w:pPr>
              <w:pStyle w:val="TableParagraph"/>
              <w:spacing w:line="232" w:lineRule="auto" w:before="30"/>
              <w:ind w:left="110" w:right="188"/>
              <w:rPr>
                <w:sz w:val="22"/>
              </w:rPr>
            </w:pPr>
            <w:r>
              <w:rPr>
                <w:sz w:val="22"/>
              </w:rPr>
              <w:t>Added</w:t>
            </w:r>
            <w:r>
              <w:rPr>
                <w:spacing w:val="-12"/>
                <w:sz w:val="22"/>
              </w:rPr>
              <w:t> </w:t>
            </w:r>
            <w:r>
              <w:rPr>
                <w:sz w:val="22"/>
              </w:rPr>
              <w:t>reference</w:t>
            </w:r>
            <w:r>
              <w:rPr>
                <w:spacing w:val="-12"/>
                <w:sz w:val="22"/>
              </w:rPr>
              <w:t> </w:t>
            </w:r>
            <w:r>
              <w:rPr>
                <w:sz w:val="22"/>
              </w:rPr>
              <w:t>to</w:t>
            </w:r>
            <w:r>
              <w:rPr>
                <w:spacing w:val="-12"/>
                <w:sz w:val="22"/>
              </w:rPr>
              <w:t> </w:t>
            </w:r>
            <w:r>
              <w:rPr>
                <w:sz w:val="22"/>
              </w:rPr>
              <w:t>appendix </w:t>
            </w:r>
            <w:r>
              <w:rPr>
                <w:spacing w:val="-6"/>
                <w:sz w:val="22"/>
              </w:rPr>
              <w:t>G.</w:t>
            </w:r>
          </w:p>
        </w:tc>
        <w:tc>
          <w:tcPr>
            <w:tcW w:w="3298" w:type="dxa"/>
          </w:tcPr>
          <w:p>
            <w:pPr>
              <w:pStyle w:val="TableParagraph"/>
              <w:spacing w:before="28"/>
              <w:ind w:left="109"/>
              <w:rPr>
                <w:sz w:val="22"/>
              </w:rPr>
            </w:pPr>
            <w:r>
              <w:rPr>
                <w:spacing w:val="-2"/>
                <w:sz w:val="22"/>
              </w:rPr>
              <w:t>6.4.7</w:t>
            </w:r>
          </w:p>
        </w:tc>
        <w:tc>
          <w:tcPr>
            <w:tcW w:w="3303" w:type="dxa"/>
          </w:tcPr>
          <w:p>
            <w:pPr>
              <w:pStyle w:val="TableParagraph"/>
              <w:spacing w:before="28"/>
              <w:ind w:left="109"/>
              <w:rPr>
                <w:sz w:val="22"/>
              </w:rPr>
            </w:pPr>
            <w:r>
              <w:rPr>
                <w:sz w:val="22"/>
              </w:rPr>
              <w:t>For</w:t>
            </w:r>
            <w:r>
              <w:rPr>
                <w:spacing w:val="-8"/>
                <w:sz w:val="22"/>
              </w:rPr>
              <w:t> </w:t>
            </w:r>
            <w:r>
              <w:rPr>
                <w:sz w:val="22"/>
              </w:rPr>
              <w:t>clarification</w:t>
            </w:r>
            <w:r>
              <w:rPr>
                <w:spacing w:val="-7"/>
                <w:sz w:val="22"/>
              </w:rPr>
              <w:t> </w:t>
            </w:r>
            <w:r>
              <w:rPr>
                <w:spacing w:val="-2"/>
                <w:sz w:val="22"/>
              </w:rPr>
              <w:t>purposes</w:t>
            </w:r>
          </w:p>
        </w:tc>
      </w:tr>
      <w:tr>
        <w:trPr>
          <w:trHeight w:val="561" w:hRule="atLeast"/>
        </w:trPr>
        <w:tc>
          <w:tcPr>
            <w:tcW w:w="3298" w:type="dxa"/>
          </w:tcPr>
          <w:p>
            <w:pPr>
              <w:pStyle w:val="TableParagraph"/>
              <w:spacing w:line="228" w:lineRule="auto" w:before="34"/>
              <w:ind w:left="110" w:right="115"/>
              <w:rPr>
                <w:sz w:val="22"/>
              </w:rPr>
            </w:pPr>
            <w:r>
              <w:rPr>
                <w:sz w:val="22"/>
              </w:rPr>
              <w:t>Added</w:t>
            </w:r>
            <w:r>
              <w:rPr>
                <w:spacing w:val="-16"/>
                <w:sz w:val="22"/>
              </w:rPr>
              <w:t> </w:t>
            </w:r>
            <w:r>
              <w:rPr>
                <w:sz w:val="22"/>
              </w:rPr>
              <w:t>Unblinding</w:t>
            </w:r>
            <w:r>
              <w:rPr>
                <w:spacing w:val="-15"/>
                <w:sz w:val="22"/>
              </w:rPr>
              <w:t> </w:t>
            </w:r>
            <w:r>
              <w:rPr>
                <w:sz w:val="22"/>
              </w:rPr>
              <w:t>Plan </w:t>
            </w:r>
            <w:r>
              <w:rPr>
                <w:spacing w:val="-2"/>
                <w:sz w:val="22"/>
              </w:rPr>
              <w:t>Template</w:t>
            </w:r>
          </w:p>
        </w:tc>
        <w:tc>
          <w:tcPr>
            <w:tcW w:w="3298" w:type="dxa"/>
          </w:tcPr>
          <w:p>
            <w:pPr>
              <w:pStyle w:val="TableParagraph"/>
              <w:spacing w:before="28"/>
              <w:ind w:left="109"/>
              <w:rPr>
                <w:sz w:val="22"/>
              </w:rPr>
            </w:pPr>
            <w:r>
              <w:rPr>
                <w:spacing w:val="-5"/>
                <w:sz w:val="22"/>
              </w:rPr>
              <w:t>7.0</w:t>
            </w:r>
          </w:p>
        </w:tc>
        <w:tc>
          <w:tcPr>
            <w:tcW w:w="3303" w:type="dxa"/>
          </w:tcPr>
          <w:p>
            <w:pPr>
              <w:pStyle w:val="TableParagraph"/>
              <w:spacing w:line="228" w:lineRule="auto" w:before="34"/>
              <w:ind w:left="109" w:right="190"/>
              <w:rPr>
                <w:sz w:val="22"/>
              </w:rPr>
            </w:pPr>
            <w:r>
              <w:rPr>
                <w:sz w:val="22"/>
              </w:rPr>
              <w:t>Document</w:t>
            </w:r>
            <w:r>
              <w:rPr>
                <w:spacing w:val="-16"/>
                <w:sz w:val="22"/>
              </w:rPr>
              <w:t> </w:t>
            </w:r>
            <w:r>
              <w:rPr>
                <w:sz w:val="22"/>
              </w:rPr>
              <w:t>referenced</w:t>
            </w:r>
            <w:r>
              <w:rPr>
                <w:spacing w:val="-15"/>
                <w:sz w:val="22"/>
              </w:rPr>
              <w:t> </w:t>
            </w:r>
            <w:r>
              <w:rPr>
                <w:sz w:val="22"/>
              </w:rPr>
              <w:t>in section 6.2.2</w:t>
            </w:r>
          </w:p>
        </w:tc>
      </w:tr>
    </w:tbl>
    <w:p>
      <w:pPr>
        <w:pStyle w:val="BodyText"/>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APPENDICES" w:id="14"/>
      <w:bookmarkEnd w:id="14"/>
      <w:r>
        <w:rPr>
          <w:b/>
          <w:spacing w:val="-2"/>
          <w:sz w:val="22"/>
        </w:rPr>
        <w:t>APPENDICES</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r>
        <w:rPr/>
      </w:r>
    </w:p>
    <w:p>
      <w:pPr>
        <w:spacing w:line="183" w:lineRule="exact" w:before="18"/>
        <w:ind w:left="4764" w:right="0" w:firstLine="0"/>
        <w:jc w:val="left"/>
        <w:rPr>
          <w:sz w:val="16"/>
        </w:rPr>
      </w:pPr>
      <w:r>
        <w:rPr>
          <w:sz w:val="16"/>
        </w:rPr>
        <w:t>Page</w:t>
      </w:r>
      <w:r>
        <w:rPr>
          <w:spacing w:val="-2"/>
          <w:sz w:val="16"/>
        </w:rPr>
        <w:t> </w:t>
      </w:r>
      <w:r>
        <w:rPr>
          <w:sz w:val="16"/>
        </w:rPr>
        <w:t>5</w:t>
      </w:r>
      <w:r>
        <w:rPr>
          <w:spacing w:val="-4"/>
          <w:sz w:val="16"/>
        </w:rPr>
        <w:t> </w:t>
      </w:r>
      <w:r>
        <w:rPr>
          <w:sz w:val="16"/>
        </w:rPr>
        <w:t>of</w:t>
      </w:r>
      <w:r>
        <w:rPr>
          <w:spacing w:val="-3"/>
          <w:sz w:val="16"/>
        </w:rPr>
        <w:t> </w:t>
      </w:r>
      <w:r>
        <w:rPr>
          <w:spacing w:val="-10"/>
          <w:sz w:val="16"/>
        </w:rPr>
        <w:t>5</w:t>
      </w:r>
    </w:p>
    <w:p>
      <w:pPr>
        <w:spacing w:line="244" w:lineRule="auto" w:before="0"/>
        <w:ind w:left="448" w:right="569" w:firstLine="0"/>
        <w:jc w:val="left"/>
        <w:rPr>
          <w:sz w:val="16"/>
        </w:rPr>
      </w:pPr>
      <w:r>
        <w:rPr>
          <w:sz w:val="16"/>
        </w:rPr>
        <w:t>Copyright</w:t>
      </w:r>
      <w:r>
        <w:rPr>
          <w:spacing w:val="-2"/>
          <w:sz w:val="16"/>
        </w:rPr>
        <w:t> </w:t>
      </w:r>
      <w:r>
        <w:rPr>
          <w:sz w:val="16"/>
        </w:rPr>
        <w:t>©</w:t>
      </w:r>
      <w:r>
        <w:rPr>
          <w:spacing w:val="-2"/>
          <w:sz w:val="16"/>
        </w:rPr>
        <w:t> </w:t>
      </w:r>
      <w:r>
        <w:rPr>
          <w:sz w:val="16"/>
        </w:rPr>
        <w:t>2020,</w:t>
      </w:r>
      <w:r>
        <w:rPr>
          <w:spacing w:val="-2"/>
          <w:sz w:val="16"/>
        </w:rPr>
        <w:t> </w:t>
      </w:r>
      <w:r>
        <w:rPr>
          <w:sz w:val="16"/>
        </w:rPr>
        <w:t>2022</w:t>
      </w:r>
      <w:r>
        <w:rPr>
          <w:spacing w:val="-6"/>
          <w:sz w:val="16"/>
        </w:rPr>
        <w:t> </w:t>
      </w:r>
      <w:r>
        <w:rPr>
          <w:sz w:val="16"/>
        </w:rPr>
        <w:t>IQVIA.</w:t>
      </w:r>
      <w:r>
        <w:rPr>
          <w:spacing w:val="-3"/>
          <w:sz w:val="16"/>
        </w:rPr>
        <w:t> </w:t>
      </w:r>
      <w:r>
        <w:rPr>
          <w:sz w:val="16"/>
        </w:rPr>
        <w:t>All 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17"/>
          <w:footerReference w:type="default" r:id="rId18"/>
          <w:pgSz w:w="12240" w:h="15840"/>
          <w:pgMar w:header="979" w:footer="268" w:top="2760" w:bottom="460" w:left="900" w:right="960"/>
        </w:sectPr>
      </w:pPr>
    </w:p>
    <w:p>
      <w:pPr>
        <w:spacing w:line="321" w:lineRule="exact" w:before="79"/>
        <w:ind w:left="606" w:right="516"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777" w:firstLine="0"/>
        <w:jc w:val="left"/>
        <w:rPr>
          <w:sz w:val="20"/>
        </w:rPr>
      </w:pPr>
      <w:r>
        <w:rPr>
          <w:sz w:val="20"/>
        </w:rPr>
        <w:t>UserName:</w:t>
      </w:r>
      <w:r>
        <w:rPr>
          <w:spacing w:val="-11"/>
          <w:sz w:val="20"/>
        </w:rPr>
        <w:t> </w:t>
      </w:r>
      <w:r>
        <w:rPr>
          <w:sz w:val="20"/>
        </w:rPr>
        <w:t>Bickford,</w:t>
      </w:r>
      <w:r>
        <w:rPr>
          <w:spacing w:val="-10"/>
          <w:sz w:val="20"/>
        </w:rPr>
        <w:t> </w:t>
      </w:r>
      <w:r>
        <w:rPr>
          <w:sz w:val="20"/>
        </w:rPr>
        <w:t>Emma</w:t>
      </w:r>
      <w:r>
        <w:rPr>
          <w:spacing w:val="36"/>
          <w:sz w:val="20"/>
        </w:rPr>
        <w:t> </w:t>
      </w:r>
      <w:r>
        <w:rPr>
          <w:sz w:val="20"/>
        </w:rPr>
        <w:t>(q637065) </w:t>
      </w:r>
      <w:r>
        <w:rPr>
          <w:spacing w:val="-2"/>
          <w:sz w:val="20"/>
        </w:rPr>
        <w:t>Title:</w:t>
      </w:r>
    </w:p>
    <w:p>
      <w:pPr>
        <w:spacing w:line="249" w:lineRule="auto" w:before="1"/>
        <w:ind w:left="740" w:right="2827" w:firstLine="0"/>
        <w:jc w:val="left"/>
        <w:rPr>
          <w:sz w:val="20"/>
        </w:rPr>
      </w:pPr>
      <w:r>
        <w:rPr>
          <w:sz w:val="20"/>
        </w:rPr>
        <w:t>Date:</w:t>
      </w:r>
      <w:r>
        <w:rPr>
          <w:spacing w:val="-4"/>
          <w:sz w:val="20"/>
        </w:rPr>
        <w:t> </w:t>
      </w:r>
      <w:r>
        <w:rPr>
          <w:sz w:val="20"/>
        </w:rPr>
        <w:t>Thursday,</w:t>
      </w:r>
      <w:r>
        <w:rPr>
          <w:spacing w:val="-3"/>
          <w:sz w:val="20"/>
        </w:rPr>
        <w:t> </w:t>
      </w:r>
      <w:r>
        <w:rPr>
          <w:sz w:val="20"/>
        </w:rPr>
        <w:t>06</w:t>
      </w:r>
      <w:r>
        <w:rPr>
          <w:spacing w:val="-4"/>
          <w:sz w:val="20"/>
        </w:rPr>
        <w:t> </w:t>
      </w:r>
      <w:r>
        <w:rPr>
          <w:sz w:val="20"/>
        </w:rPr>
        <w:t>October</w:t>
      </w:r>
      <w:r>
        <w:rPr>
          <w:spacing w:val="-3"/>
          <w:sz w:val="20"/>
        </w:rPr>
        <w:t> </w:t>
      </w:r>
      <w:r>
        <w:rPr>
          <w:sz w:val="20"/>
        </w:rPr>
        <w:t>2022,</w:t>
      </w:r>
      <w:r>
        <w:rPr>
          <w:spacing w:val="-4"/>
          <w:sz w:val="20"/>
        </w:rPr>
        <w:t> </w:t>
      </w:r>
      <w:r>
        <w:rPr>
          <w:sz w:val="20"/>
        </w:rPr>
        <w:t>12:18</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777" w:firstLine="0"/>
        <w:jc w:val="left"/>
        <w:rPr>
          <w:sz w:val="20"/>
        </w:rPr>
      </w:pPr>
      <w:r>
        <w:rPr>
          <w:sz w:val="20"/>
        </w:rPr>
        <w:t>UserName:</w:t>
      </w:r>
      <w:r>
        <w:rPr>
          <w:spacing w:val="-11"/>
          <w:sz w:val="20"/>
        </w:rPr>
        <w:t> </w:t>
      </w:r>
      <w:r>
        <w:rPr>
          <w:sz w:val="20"/>
        </w:rPr>
        <w:t>Ranjan,</w:t>
      </w:r>
      <w:r>
        <w:rPr>
          <w:spacing w:val="-11"/>
          <w:sz w:val="20"/>
        </w:rPr>
        <w:t> </w:t>
      </w:r>
      <w:r>
        <w:rPr>
          <w:sz w:val="20"/>
        </w:rPr>
        <w:t>Santosh</w:t>
      </w:r>
      <w:r>
        <w:rPr>
          <w:spacing w:val="36"/>
          <w:sz w:val="20"/>
        </w:rPr>
        <w:t> </w:t>
      </w:r>
      <w:r>
        <w:rPr>
          <w:sz w:val="20"/>
        </w:rPr>
        <w:t>(q723916) </w:t>
      </w:r>
      <w:r>
        <w:rPr>
          <w:spacing w:val="-2"/>
          <w:sz w:val="20"/>
        </w:rPr>
        <w:t>Title:</w:t>
      </w:r>
    </w:p>
    <w:p>
      <w:pPr>
        <w:spacing w:line="249" w:lineRule="auto" w:before="1"/>
        <w:ind w:left="740" w:right="2827" w:firstLine="0"/>
        <w:jc w:val="left"/>
        <w:rPr>
          <w:sz w:val="20"/>
        </w:rPr>
      </w:pPr>
      <w:r>
        <w:rPr>
          <w:sz w:val="20"/>
        </w:rPr>
        <w:t>Date:</w:t>
      </w:r>
      <w:r>
        <w:rPr>
          <w:spacing w:val="-4"/>
          <w:sz w:val="20"/>
        </w:rPr>
        <w:t> </w:t>
      </w:r>
      <w:r>
        <w:rPr>
          <w:sz w:val="20"/>
        </w:rPr>
        <w:t>Thursday,</w:t>
      </w:r>
      <w:r>
        <w:rPr>
          <w:spacing w:val="-3"/>
          <w:sz w:val="20"/>
        </w:rPr>
        <w:t> </w:t>
      </w:r>
      <w:r>
        <w:rPr>
          <w:sz w:val="20"/>
        </w:rPr>
        <w:t>06</w:t>
      </w:r>
      <w:r>
        <w:rPr>
          <w:spacing w:val="-4"/>
          <w:sz w:val="20"/>
        </w:rPr>
        <w:t> </w:t>
      </w:r>
      <w:r>
        <w:rPr>
          <w:sz w:val="20"/>
        </w:rPr>
        <w:t>October</w:t>
      </w:r>
      <w:r>
        <w:rPr>
          <w:spacing w:val="-3"/>
          <w:sz w:val="20"/>
        </w:rPr>
        <w:t> </w:t>
      </w:r>
      <w:r>
        <w:rPr>
          <w:sz w:val="20"/>
        </w:rPr>
        <w:t>2022,</w:t>
      </w:r>
      <w:r>
        <w:rPr>
          <w:spacing w:val="-4"/>
          <w:sz w:val="20"/>
        </w:rPr>
        <w:t> </w:t>
      </w:r>
      <w:r>
        <w:rPr>
          <w:sz w:val="20"/>
        </w:rPr>
        <w:t>05:08</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9"/>
      <w:footerReference w:type="default" r:id="rId20"/>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FM_BS003" TargetMode="External"/><Relationship Id="rId10" Type="http://schemas.openxmlformats.org/officeDocument/2006/relationships/hyperlink" Target="https://elvis.quintiles.com/livelink/llisapi.dll/open/CS_FM_BS007" TargetMode="External"/><Relationship Id="rId11" Type="http://schemas.openxmlformats.org/officeDocument/2006/relationships/hyperlink" Target="https://elvis.quintiles.com/livelink/llisapi.dll/open/CS_TP_BS0201" TargetMode="External"/><Relationship Id="rId12" Type="http://schemas.openxmlformats.org/officeDocument/2006/relationships/hyperlink" Target="https://elvis.quintiles.com/livelink/llisapi.dll/open/CS_WI_BS002" TargetMode="External"/><Relationship Id="rId13" Type="http://schemas.openxmlformats.org/officeDocument/2006/relationships/hyperlink" Target="https://elvis.quintiles.com/livelink/llisapi.dll/open/CS_WI_BS003" TargetMode="External"/><Relationship Id="rId14" Type="http://schemas.openxmlformats.org/officeDocument/2006/relationships/hyperlink" Target="https://elvis.quintiles.com/livelink/llisapi.dll/open/CS_WI_BS015" TargetMode="External"/><Relationship Id="rId15" Type="http://schemas.openxmlformats.org/officeDocument/2006/relationships/hyperlink" Target="https://elvis.quintiles.com/livelink/llisapi.dll/open/CS_WI_BS0237" TargetMode="External"/><Relationship Id="rId16" Type="http://schemas.openxmlformats.org/officeDocument/2006/relationships/hyperlink" Target="https://elvis.quintiles.com/livelink/llisapi.dll/open/CS_OD_BS0227" TargetMode="External"/><Relationship Id="rId17" Type="http://schemas.openxmlformats.org/officeDocument/2006/relationships/header" Target="header2.xml"/><Relationship Id="rId18" Type="http://schemas.openxmlformats.org/officeDocument/2006/relationships/footer" Target="footer3.xml"/><Relationship Id="rId19" Type="http://schemas.openxmlformats.org/officeDocument/2006/relationships/header" Target="header3.xml"/><Relationship Id="rId20" Type="http://schemas.openxmlformats.org/officeDocument/2006/relationships/footer" Target="footer4.xml"/><Relationship Id="rId21" Type="http://schemas.openxmlformats.org/officeDocument/2006/relationships/image" Target="media/image2.png"/><Relationship Id="rId22" Type="http://schemas.openxmlformats.org/officeDocument/2006/relationships/numbering" Target="numbering.xml"/><Relationship Id="rId23" Type="http://schemas.openxmlformats.org/officeDocument/2006/relationships/header" Target="header4.xml"/><Relationship Id="rId24" Type="http://schemas.openxmlformats.org/officeDocument/2006/relationships/header" Target="header5.xml"/><Relationship Id="rId25" Type="http://schemas.openxmlformats.org/officeDocument/2006/relationships/header" Target="header6.xml"/><Relationship Id="rId26" Type="http://schemas.openxmlformats.org/officeDocument/2006/relationships/footer" Target="footer5.xml"/><Relationship Id="rId27"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2023-04-11T16:43:29Z</dcterms:created>
  <dcterms:modified xsi:type="dcterms:W3CDTF">2023-04-11T16:43:29Z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2022-10-03T00:00:00Z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