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line="310" w:lineRule="atLeast" w:before="143"/>
              <w:ind w:left="294" w:firstLine="739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Operating Procedure Distribution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Setup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&amp;</w:t>
            </w:r>
            <w:r>
              <w:rPr>
                <w:b/>
                <w:spacing w:val="-7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Product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Disposition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at</w:t>
            </w:r>
          </w:p>
          <w:p>
            <w:pPr>
              <w:pStyle w:val="TableParagraph"/>
              <w:spacing w:before="9"/>
              <w:ind w:left="1744"/>
              <w:rPr>
                <w:b/>
                <w:sz w:val="22"/>
              </w:rPr>
            </w:pPr>
            <w:r>
              <w:rPr>
                <w:b/>
                <w:sz w:val="22"/>
              </w:rPr>
              <w:t>Vendor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Facility.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CRO_OP_CTS0003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80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39"/>
              <w:ind w:left="107"/>
              <w:rPr>
                <w:sz w:val="20"/>
              </w:rPr>
            </w:pPr>
            <w:r>
              <w:rPr>
                <w:sz w:val="20"/>
              </w:rPr>
              <w:t>Lewis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Prior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39"/>
              <w:ind w:left="121"/>
              <w:rPr>
                <w:sz w:val="20"/>
              </w:rPr>
            </w:pPr>
            <w:r>
              <w:rPr>
                <w:sz w:val="20"/>
              </w:rPr>
              <w:t>Kerry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Tingley,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Karolina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Zabawa,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Stacy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Lamb,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Ulrika </w:t>
            </w:r>
            <w:r>
              <w:rPr>
                <w:spacing w:val="-2"/>
                <w:sz w:val="20"/>
              </w:rPr>
              <w:t>Böiers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8"/>
        <w:rPr>
          <w:rFonts w:ascii="Times New Roman"/>
          <w:sz w:val="15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3" w:after="0"/>
        <w:ind w:left="1260" w:right="0" w:hanging="720"/>
        <w:jc w:val="left"/>
      </w:pPr>
      <w:r>
        <w:rPr>
          <w:spacing w:val="-2"/>
        </w:rPr>
        <w:t>PURPOSE</w:t>
      </w:r>
    </w:p>
    <w:p>
      <w:pPr>
        <w:pStyle w:val="BodyText"/>
        <w:spacing w:before="122"/>
        <w:ind w:left="1260" w:right="806"/>
        <w:jc w:val="both"/>
      </w:pPr>
      <w:r>
        <w:rPr/>
        <w:t>The</w:t>
      </w:r>
      <w:r>
        <w:rPr>
          <w:spacing w:val="-3"/>
        </w:rPr>
        <w:t> </w:t>
      </w:r>
      <w:r>
        <w:rPr/>
        <w:t>purpose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SOP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process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distribution</w:t>
      </w:r>
      <w:r>
        <w:rPr>
          <w:spacing w:val="-3"/>
        </w:rPr>
        <w:t> </w:t>
      </w:r>
      <w:r>
        <w:rPr/>
        <w:t>setup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product disposition at a vendor facility for projects involving IQVIA CTS Team services.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>
          <w:spacing w:val="-2"/>
        </w:rPr>
        <w:t>SCOPE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599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operating</w:t>
      </w:r>
      <w:r>
        <w:rPr>
          <w:spacing w:val="-3"/>
          <w:sz w:val="22"/>
        </w:rPr>
        <w:t> </w:t>
      </w:r>
      <w:r>
        <w:rPr>
          <w:sz w:val="22"/>
        </w:rPr>
        <w:t>procedure</w:t>
      </w:r>
      <w:r>
        <w:rPr>
          <w:spacing w:val="-3"/>
          <w:sz w:val="22"/>
        </w:rPr>
        <w:t> </w:t>
      </w:r>
      <w:r>
        <w:rPr>
          <w:sz w:val="22"/>
        </w:rPr>
        <w:t>(OP)</w:t>
      </w:r>
      <w:r>
        <w:rPr>
          <w:spacing w:val="-7"/>
          <w:sz w:val="22"/>
        </w:rPr>
        <w:t> </w:t>
      </w:r>
      <w:r>
        <w:rPr>
          <w:sz w:val="22"/>
        </w:rPr>
        <w:t>applies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IQVIA</w:t>
      </w:r>
      <w:r>
        <w:rPr>
          <w:spacing w:val="-3"/>
          <w:sz w:val="22"/>
        </w:rPr>
        <w:t> </w:t>
      </w:r>
      <w:r>
        <w:rPr>
          <w:sz w:val="22"/>
        </w:rPr>
        <w:t>CTS</w:t>
      </w:r>
      <w:r>
        <w:rPr>
          <w:spacing w:val="-3"/>
          <w:sz w:val="22"/>
        </w:rPr>
        <w:t> </w:t>
      </w:r>
      <w:r>
        <w:rPr>
          <w:sz w:val="22"/>
        </w:rPr>
        <w:t>staff,</w:t>
      </w:r>
      <w:r>
        <w:rPr>
          <w:spacing w:val="-3"/>
          <w:sz w:val="22"/>
        </w:rPr>
        <w:t> </w:t>
      </w:r>
      <w:r>
        <w:rPr>
          <w:sz w:val="22"/>
        </w:rPr>
        <w:t>including</w:t>
      </w:r>
      <w:r>
        <w:rPr>
          <w:spacing w:val="-3"/>
          <w:sz w:val="22"/>
        </w:rPr>
        <w:t> </w:t>
      </w:r>
      <w:r>
        <w:rPr>
          <w:sz w:val="22"/>
        </w:rPr>
        <w:t>contract and temporary staff.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/>
        <w:t>ROLES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60"/>
        <w:jc w:val="both"/>
      </w:pPr>
      <w:r>
        <w:rPr/>
        <w:t>The</w:t>
      </w:r>
      <w:r>
        <w:rPr>
          <w:spacing w:val="-8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8"/>
        </w:rPr>
        <w:t> </w:t>
      </w:r>
      <w:r>
        <w:rPr>
          <w:spacing w:val="-5"/>
        </w:rPr>
        <w:t>OP:</w:t>
      </w:r>
    </w:p>
    <w:p>
      <w:pPr>
        <w:pStyle w:val="BodyText"/>
        <w:spacing w:before="1" w:after="1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58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 w:right="131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Supplies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(CTS)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(see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Section </w:t>
            </w:r>
            <w:r>
              <w:rPr>
                <w:spacing w:val="-4"/>
                <w:sz w:val="22"/>
              </w:rPr>
              <w:t>4.0)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6.5, </w:t>
            </w:r>
            <w:r>
              <w:rPr>
                <w:spacing w:val="-5"/>
                <w:sz w:val="22"/>
              </w:rPr>
              <w:t>6.6</w:t>
            </w:r>
          </w:p>
        </w:tc>
      </w:tr>
    </w:tbl>
    <w:p>
      <w:pPr>
        <w:pStyle w:val="BodyText"/>
        <w:spacing w:before="5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>
          <w:spacing w:val="-2"/>
        </w:rPr>
        <w:t>DEFINITIONS</w:t>
      </w:r>
    </w:p>
    <w:p>
      <w:pPr>
        <w:pStyle w:val="BodyText"/>
        <w:rPr>
          <w:b/>
          <w:sz w:val="21"/>
        </w:rPr>
      </w:pPr>
    </w:p>
    <w:p>
      <w:pPr>
        <w:pStyle w:val="BodyText"/>
        <w:ind w:left="1260" w:right="536"/>
        <w:jc w:val="both"/>
      </w:pPr>
      <w:r>
        <w:rPr>
          <w:b/>
        </w:rPr>
        <w:t>CoA: </w:t>
      </w:r>
      <w:r>
        <w:rPr/>
        <w:t>Certificate</w:t>
      </w:r>
      <w:r>
        <w:rPr>
          <w:spacing w:val="-3"/>
        </w:rPr>
        <w:t> </w:t>
      </w:r>
      <w:r>
        <w:rPr/>
        <w:t>of</w:t>
      </w:r>
      <w:r>
        <w:rPr>
          <w:spacing w:val="-2"/>
        </w:rPr>
        <w:t> </w:t>
      </w:r>
      <w:r>
        <w:rPr/>
        <w:t>Analysis</w:t>
      </w:r>
      <w:r>
        <w:rPr>
          <w:spacing w:val="-6"/>
        </w:rPr>
        <w:t> </w:t>
      </w:r>
      <w:r>
        <w:rPr/>
        <w:t>–</w:t>
      </w:r>
      <w:r>
        <w:rPr>
          <w:spacing w:val="-4"/>
        </w:rPr>
        <w:t> </w:t>
      </w:r>
      <w:r>
        <w:rPr/>
        <w:t>A</w:t>
      </w:r>
      <w:r>
        <w:rPr>
          <w:spacing w:val="-3"/>
        </w:rPr>
        <w:t> </w:t>
      </w:r>
      <w:r>
        <w:rPr/>
        <w:t>document</w:t>
      </w:r>
      <w:r>
        <w:rPr>
          <w:spacing w:val="-3"/>
        </w:rPr>
        <w:t> </w:t>
      </w:r>
      <w:r>
        <w:rPr/>
        <w:t>that</w:t>
      </w:r>
      <w:r>
        <w:rPr>
          <w:spacing w:val="-1"/>
        </w:rPr>
        <w:t> </w:t>
      </w:r>
      <w:r>
        <w:rPr/>
        <w:t>certifies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mandatory</w:t>
      </w:r>
      <w:r>
        <w:rPr>
          <w:spacing w:val="-3"/>
        </w:rPr>
        <w:t> </w:t>
      </w:r>
      <w:r>
        <w:rPr/>
        <w:t>series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tests have</w:t>
      </w:r>
      <w:r>
        <w:rPr>
          <w:spacing w:val="-3"/>
        </w:rPr>
        <w:t> </w:t>
      </w:r>
      <w:r>
        <w:rPr/>
        <w:t>been successfully</w:t>
      </w:r>
      <w:r>
        <w:rPr>
          <w:spacing w:val="-6"/>
        </w:rPr>
        <w:t> </w:t>
      </w:r>
      <w:r>
        <w:rPr/>
        <w:t>performed</w:t>
      </w:r>
      <w:r>
        <w:rPr>
          <w:spacing w:val="-3"/>
        </w:rPr>
        <w:t> </w:t>
      </w:r>
      <w:r>
        <w:rPr/>
        <w:t>on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product</w:t>
      </w:r>
      <w:r>
        <w:rPr>
          <w:spacing w:val="-4"/>
        </w:rPr>
        <w:t> </w:t>
      </w:r>
      <w:r>
        <w:rPr/>
        <w:t>to</w:t>
      </w:r>
      <w:r>
        <w:rPr>
          <w:spacing w:val="-2"/>
        </w:rPr>
        <w:t> </w:t>
      </w:r>
      <w:r>
        <w:rPr/>
        <w:t>verify</w:t>
      </w:r>
      <w:r>
        <w:rPr>
          <w:spacing w:val="-2"/>
        </w:rPr>
        <w:t> </w:t>
      </w:r>
      <w:r>
        <w:rPr/>
        <w:t>that</w:t>
      </w:r>
      <w:r>
        <w:rPr>
          <w:spacing w:val="-2"/>
        </w:rPr>
        <w:t> </w:t>
      </w:r>
      <w:r>
        <w:rPr/>
        <w:t>it</w:t>
      </w:r>
      <w:r>
        <w:rPr>
          <w:spacing w:val="-2"/>
        </w:rPr>
        <w:t> </w:t>
      </w:r>
      <w:r>
        <w:rPr/>
        <w:t>conforms</w:t>
      </w:r>
      <w:r>
        <w:rPr>
          <w:spacing w:val="-3"/>
        </w:rPr>
        <w:t> </w:t>
      </w:r>
      <w:r>
        <w:rPr/>
        <w:t>to</w:t>
      </w:r>
      <w:r>
        <w:rPr>
          <w:spacing w:val="-2"/>
        </w:rPr>
        <w:t> </w:t>
      </w:r>
      <w:r>
        <w:rPr/>
        <w:t>the</w:t>
      </w:r>
      <w:r>
        <w:rPr>
          <w:spacing w:val="-3"/>
        </w:rPr>
        <w:t> </w:t>
      </w:r>
      <w:r>
        <w:rPr/>
        <w:t>required </w:t>
      </w:r>
      <w:r>
        <w:rPr>
          <w:spacing w:val="-2"/>
        </w:rPr>
        <w:t>specifications.</w:t>
      </w:r>
    </w:p>
    <w:p>
      <w:pPr>
        <w:pStyle w:val="BodyText"/>
        <w:spacing w:before="10"/>
        <w:rPr>
          <w:sz w:val="20"/>
        </w:rPr>
      </w:pPr>
    </w:p>
    <w:p>
      <w:pPr>
        <w:pStyle w:val="BodyText"/>
        <w:ind w:left="1260" w:right="709"/>
        <w:jc w:val="both"/>
      </w:pPr>
      <w:r>
        <w:rPr>
          <w:b/>
        </w:rPr>
        <w:t>CoC: </w:t>
      </w:r>
      <w:r>
        <w:rPr/>
        <w:t>Certificate</w:t>
      </w:r>
      <w:r>
        <w:rPr>
          <w:spacing w:val="-4"/>
        </w:rPr>
        <w:t> </w:t>
      </w:r>
      <w:r>
        <w:rPr/>
        <w:t>of</w:t>
      </w:r>
      <w:r>
        <w:rPr>
          <w:spacing w:val="-2"/>
        </w:rPr>
        <w:t> </w:t>
      </w:r>
      <w:r>
        <w:rPr/>
        <w:t>Compliance</w:t>
      </w:r>
      <w:r>
        <w:rPr>
          <w:spacing w:val="-5"/>
        </w:rPr>
        <w:t> </w:t>
      </w:r>
      <w:r>
        <w:rPr/>
        <w:t>– A</w:t>
      </w:r>
      <w:r>
        <w:rPr>
          <w:spacing w:val="-4"/>
        </w:rPr>
        <w:t> </w:t>
      </w:r>
      <w:r>
        <w:rPr/>
        <w:t>document</w:t>
      </w:r>
      <w:r>
        <w:rPr>
          <w:spacing w:val="-4"/>
        </w:rPr>
        <w:t> </w:t>
      </w:r>
      <w:r>
        <w:rPr/>
        <w:t>issued</w:t>
      </w:r>
      <w:r>
        <w:rPr>
          <w:spacing w:val="-4"/>
        </w:rPr>
        <w:t> </w:t>
      </w:r>
      <w:r>
        <w:rPr/>
        <w:t>by</w:t>
      </w:r>
      <w:r>
        <w:rPr>
          <w:spacing w:val="-4"/>
        </w:rPr>
        <w:t> </w:t>
      </w:r>
      <w:r>
        <w:rPr/>
        <w:t>manufacturers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designated personnel</w:t>
      </w:r>
      <w:r>
        <w:rPr>
          <w:spacing w:val="-4"/>
        </w:rPr>
        <w:t> </w:t>
      </w:r>
      <w:r>
        <w:rPr/>
        <w:t>with</w:t>
      </w:r>
      <w:r>
        <w:rPr>
          <w:spacing w:val="-4"/>
        </w:rPr>
        <w:t> </w:t>
      </w:r>
      <w:r>
        <w:rPr/>
        <w:t>authority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assure</w:t>
      </w:r>
      <w:r>
        <w:rPr>
          <w:spacing w:val="-4"/>
        </w:rPr>
        <w:t> </w:t>
      </w:r>
      <w:r>
        <w:rPr/>
        <w:t>customers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product</w:t>
      </w:r>
      <w:r>
        <w:rPr>
          <w:spacing w:val="-4"/>
        </w:rPr>
        <w:t> </w:t>
      </w:r>
      <w:r>
        <w:rPr/>
        <w:t>has</w:t>
      </w:r>
      <w:r>
        <w:rPr>
          <w:spacing w:val="-4"/>
        </w:rPr>
        <w:t> </w:t>
      </w:r>
      <w:r>
        <w:rPr/>
        <w:t>been</w:t>
      </w:r>
      <w:r>
        <w:rPr>
          <w:spacing w:val="-4"/>
        </w:rPr>
        <w:t> </w:t>
      </w:r>
      <w:r>
        <w:rPr/>
        <w:t>manufactured with test results showing compliance to international or regulatory standards.</w:t>
      </w:r>
    </w:p>
    <w:p>
      <w:pPr>
        <w:pStyle w:val="BodyText"/>
        <w:spacing w:before="9"/>
        <w:rPr>
          <w:sz w:val="20"/>
        </w:rPr>
      </w:pPr>
    </w:p>
    <w:p>
      <w:pPr>
        <w:pStyle w:val="BodyText"/>
        <w:spacing w:line="244" w:lineRule="auto"/>
        <w:ind w:left="1260" w:right="426"/>
      </w:pPr>
      <w:r>
        <w:rPr>
          <w:b/>
        </w:rPr>
        <w:t>CoD: </w:t>
      </w:r>
      <w:r>
        <w:rPr/>
        <w:t>Certificate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Destruction</w:t>
      </w:r>
      <w:r>
        <w:rPr>
          <w:spacing w:val="-4"/>
        </w:rPr>
        <w:t> </w:t>
      </w:r>
      <w:r>
        <w:rPr/>
        <w:t>–</w:t>
      </w:r>
      <w:r>
        <w:rPr>
          <w:spacing w:val="-5"/>
        </w:rPr>
        <w:t> </w:t>
      </w:r>
      <w:r>
        <w:rPr/>
        <w:t>A</w:t>
      </w:r>
      <w:r>
        <w:rPr>
          <w:spacing w:val="-4"/>
        </w:rPr>
        <w:t> </w:t>
      </w:r>
      <w:r>
        <w:rPr/>
        <w:t>document</w:t>
      </w:r>
      <w:r>
        <w:rPr>
          <w:spacing w:val="-4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as</w:t>
      </w:r>
      <w:r>
        <w:rPr>
          <w:spacing w:val="-4"/>
        </w:rPr>
        <w:t> </w:t>
      </w:r>
      <w:r>
        <w:rPr/>
        <w:t>evidence</w:t>
      </w:r>
      <w:r>
        <w:rPr>
          <w:spacing w:val="-4"/>
        </w:rPr>
        <w:t> </w:t>
      </w:r>
      <w:r>
        <w:rPr/>
        <w:t>that</w:t>
      </w:r>
      <w:r>
        <w:rPr>
          <w:spacing w:val="-2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Trial Material has been disposed of safely.</w:t>
      </w:r>
    </w:p>
    <w:p>
      <w:pPr>
        <w:pStyle w:val="BodyText"/>
        <w:spacing w:before="10"/>
        <w:rPr>
          <w:sz w:val="19"/>
        </w:rPr>
      </w:pPr>
    </w:p>
    <w:p>
      <w:pPr>
        <w:pStyle w:val="BodyText"/>
        <w:spacing w:line="242" w:lineRule="auto"/>
        <w:ind w:left="1260" w:right="426"/>
      </w:pPr>
      <w:r>
        <w:rPr>
          <w:b/>
        </w:rPr>
        <w:t>GSA: </w:t>
      </w:r>
      <w:r>
        <w:rPr/>
        <w:t>Global</w:t>
      </w:r>
      <w:r>
        <w:rPr>
          <w:spacing w:val="-2"/>
        </w:rPr>
        <w:t> </w:t>
      </w:r>
      <w:r>
        <w:rPr/>
        <w:t>Site</w:t>
      </w:r>
      <w:r>
        <w:rPr>
          <w:spacing w:val="-2"/>
        </w:rPr>
        <w:t> </w:t>
      </w:r>
      <w:r>
        <w:rPr/>
        <w:t>Activation</w:t>
      </w:r>
      <w:r>
        <w:rPr>
          <w:spacing w:val="-7"/>
        </w:rPr>
        <w:t> </w:t>
      </w:r>
      <w:r>
        <w:rPr/>
        <w:t>–</w:t>
      </w:r>
      <w:r>
        <w:rPr>
          <w:spacing w:val="-4"/>
        </w:rPr>
        <w:t> </w:t>
      </w:r>
      <w:r>
        <w:rPr/>
        <w:t>previously</w:t>
      </w:r>
      <w:r>
        <w:rPr>
          <w:spacing w:val="-3"/>
        </w:rPr>
        <w:t> </w:t>
      </w:r>
      <w:r>
        <w:rPr/>
        <w:t>Regulatory</w:t>
      </w:r>
      <w:r>
        <w:rPr>
          <w:spacing w:val="-1"/>
        </w:rPr>
        <w:t> </w:t>
      </w:r>
      <w:r>
        <w:rPr/>
        <w:t>&amp; Start</w:t>
      </w:r>
      <w:r>
        <w:rPr>
          <w:spacing w:val="-4"/>
        </w:rPr>
        <w:t> </w:t>
      </w:r>
      <w:r>
        <w:rPr/>
        <w:t>Up (RSU)</w:t>
      </w:r>
      <w:r>
        <w:rPr>
          <w:spacing w:val="-3"/>
        </w:rPr>
        <w:t> </w:t>
      </w:r>
      <w:r>
        <w:rPr/>
        <w:t>team</w:t>
      </w:r>
      <w:r>
        <w:rPr>
          <w:spacing w:val="-8"/>
        </w:rPr>
        <w:t> </w:t>
      </w:r>
      <w:r>
        <w:rPr/>
        <w:t>plays</w:t>
      </w:r>
      <w:r>
        <w:rPr>
          <w:spacing w:val="-6"/>
        </w:rPr>
        <w:t> </w:t>
      </w:r>
      <w:r>
        <w:rPr/>
        <w:t>a</w:t>
      </w:r>
      <w:r>
        <w:rPr>
          <w:spacing w:val="-2"/>
        </w:rPr>
        <w:t> </w:t>
      </w:r>
      <w:r>
        <w:rPr/>
        <w:t>key part in our regulatory and start up division by managing and executing the site identification process and performs regulatory, start-up, and maintenance activities in accordance with regulations, SOPs, and project requirements either at the global, regional, or country level.</w:t>
      </w:r>
    </w:p>
    <w:p>
      <w:pPr>
        <w:pStyle w:val="BodyText"/>
        <w:spacing w:before="11"/>
        <w:rPr>
          <w:sz w:val="19"/>
        </w:rPr>
      </w:pPr>
    </w:p>
    <w:p>
      <w:pPr>
        <w:pStyle w:val="BodyText"/>
        <w:ind w:left="1260" w:right="426"/>
      </w:pPr>
      <w:r>
        <w:rPr>
          <w:b/>
        </w:rPr>
        <w:t>CSA: </w:t>
      </w:r>
      <w:r>
        <w:rPr/>
        <w:t>Country Site Activation – previously Regional Site Activation Managers that manage and execute the country specific site identification process and performs regulatory,</w:t>
      </w:r>
      <w:r>
        <w:rPr>
          <w:spacing w:val="-5"/>
        </w:rPr>
        <w:t> </w:t>
      </w:r>
      <w:r>
        <w:rPr/>
        <w:t>start-up,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maintenance</w:t>
      </w:r>
      <w:r>
        <w:rPr>
          <w:spacing w:val="-5"/>
        </w:rPr>
        <w:t> </w:t>
      </w:r>
      <w:r>
        <w:rPr/>
        <w:t>activities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accordance</w:t>
      </w:r>
      <w:r>
        <w:rPr>
          <w:spacing w:val="-5"/>
        </w:rPr>
        <w:t> </w:t>
      </w:r>
      <w:r>
        <w:rPr/>
        <w:t>with</w:t>
      </w:r>
      <w:r>
        <w:rPr>
          <w:spacing w:val="-5"/>
        </w:rPr>
        <w:t> </w:t>
      </w:r>
      <w:r>
        <w:rPr/>
        <w:t>regulations,</w:t>
      </w:r>
      <w:r>
        <w:rPr>
          <w:spacing w:val="-5"/>
        </w:rPr>
        <w:t> </w:t>
      </w:r>
      <w:r>
        <w:rPr/>
        <w:t>SOPs, and project requirements.</w:t>
      </w:r>
    </w:p>
    <w:p>
      <w:pPr>
        <w:pStyle w:val="BodyText"/>
        <w:rPr>
          <w:sz w:val="28"/>
        </w:rPr>
      </w:pPr>
      <w:r>
        <w:rPr/>
      </w:r>
    </w:p>
    <w:p>
      <w:pPr>
        <w:spacing w:line="183" w:lineRule="exact" w:before="22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5"/>
          <w:sz w:val="16"/>
        </w:rPr>
        <w:t>12</w:t>
      </w:r>
    </w:p>
    <w:p>
      <w:pPr>
        <w:spacing w:before="0"/>
        <w:ind w:left="540" w:right="426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2020,</w:t>
      </w:r>
      <w:r>
        <w:rPr>
          <w:spacing w:val="-3"/>
          <w:sz w:val="16"/>
        </w:rPr>
        <w:t> </w:t>
      </w:r>
      <w:r>
        <w:rPr>
          <w:sz w:val="16"/>
        </w:rPr>
        <w:t>2021,2023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4"/>
          <w:sz w:val="16"/>
        </w:rPr>
        <w:t> </w:t>
      </w:r>
      <w:r>
        <w:rPr>
          <w:sz w:val="16"/>
        </w:rPr>
        <w:t>rights</w:t>
      </w:r>
      <w:r>
        <w:rPr>
          <w:spacing w:val="-2"/>
          <w:sz w:val="16"/>
        </w:rPr>
        <w:t> </w:t>
      </w:r>
      <w:r>
        <w:rPr>
          <w:sz w:val="16"/>
        </w:rPr>
        <w:t>reserved.</w:t>
      </w:r>
      <w:r>
        <w:rPr>
          <w:spacing w:val="-2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 Holdings 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footerReference w:type="default" r:id="rId5"/>
          <w:headerReference w:type="default" r:id="rId17"/>
          <w:headerReference w:type="first" r:id="rId18"/>
          <w:headerReference w:type="even" r:id="rId19"/>
          <w:footerReference w:type="first" r:id="rId20"/>
          <w:footerReference w:type="even" r:id="rId21"/>
          <w:type w:val="continuous"/>
          <w:pgSz w:w="12240" w:h="15840"/>
          <w:pgMar w:footer="268" w:header="0" w:top="960" w:bottom="460" w:left="900" w:right="104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BodyText"/>
        <w:spacing w:line="244" w:lineRule="auto" w:before="94"/>
        <w:ind w:left="1259" w:right="426"/>
      </w:pPr>
      <w:r>
        <w:rPr>
          <w:b/>
        </w:rPr>
        <w:t>CTS Team:</w:t>
      </w:r>
      <w:r>
        <w:rPr>
          <w:b/>
          <w:spacing w:val="40"/>
        </w:rPr>
        <w:t> </w:t>
      </w:r>
      <w:r>
        <w:rPr/>
        <w:t>Clinical Trial Supplies Team – This could be a Clinical Supply Chain Coordinator,</w:t>
      </w:r>
      <w:r>
        <w:rPr>
          <w:spacing w:val="-5"/>
        </w:rPr>
        <w:t> </w:t>
      </w:r>
      <w:r>
        <w:rPr/>
        <w:t>Associate</w:t>
      </w:r>
      <w:r>
        <w:rPr>
          <w:spacing w:val="-5"/>
        </w:rPr>
        <w:t> </w:t>
      </w:r>
      <w:r>
        <w:rPr/>
        <w:t>Clinical</w:t>
      </w:r>
      <w:r>
        <w:rPr>
          <w:spacing w:val="-5"/>
        </w:rPr>
        <w:t> </w:t>
      </w:r>
      <w:r>
        <w:rPr/>
        <w:t>Supply</w:t>
      </w:r>
      <w:r>
        <w:rPr>
          <w:spacing w:val="-5"/>
        </w:rPr>
        <w:t> </w:t>
      </w:r>
      <w:r>
        <w:rPr/>
        <w:t>Chain</w:t>
      </w:r>
      <w:r>
        <w:rPr>
          <w:spacing w:val="-5"/>
        </w:rPr>
        <w:t> </w:t>
      </w:r>
      <w:r>
        <w:rPr/>
        <w:t>Manager,</w:t>
      </w:r>
      <w:r>
        <w:rPr>
          <w:spacing w:val="-5"/>
        </w:rPr>
        <w:t> </w:t>
      </w:r>
      <w:r>
        <w:rPr/>
        <w:t>Clinical</w:t>
      </w:r>
      <w:r>
        <w:rPr>
          <w:spacing w:val="-5"/>
        </w:rPr>
        <w:t> </w:t>
      </w:r>
      <w:r>
        <w:rPr/>
        <w:t>Supply</w:t>
      </w:r>
      <w:r>
        <w:rPr>
          <w:spacing w:val="-5"/>
        </w:rPr>
        <w:t> </w:t>
      </w:r>
      <w:r>
        <w:rPr/>
        <w:t>Chain</w:t>
      </w:r>
      <w:r>
        <w:rPr>
          <w:spacing w:val="-5"/>
        </w:rPr>
        <w:t> </w:t>
      </w:r>
      <w:r>
        <w:rPr/>
        <w:t>Manager, Senior Clinical Supply Chain Manager, Associate Director, Director or Senior Director.</w:t>
      </w:r>
    </w:p>
    <w:p>
      <w:pPr>
        <w:pStyle w:val="BodyText"/>
        <w:spacing w:line="244" w:lineRule="auto" w:before="104"/>
        <w:ind w:left="1259" w:right="426"/>
      </w:pPr>
      <w:r>
        <w:rPr>
          <w:b/>
        </w:rPr>
        <w:t>IRT: </w:t>
      </w:r>
      <w:r>
        <w:rPr/>
        <w:t>Interactive</w:t>
      </w:r>
      <w:r>
        <w:rPr>
          <w:spacing w:val="-3"/>
        </w:rPr>
        <w:t> </w:t>
      </w:r>
      <w:r>
        <w:rPr/>
        <w:t>Response</w:t>
      </w:r>
      <w:r>
        <w:rPr>
          <w:spacing w:val="-3"/>
        </w:rPr>
        <w:t> </w:t>
      </w:r>
      <w:r>
        <w:rPr/>
        <w:t>Technology,</w:t>
      </w:r>
      <w:r>
        <w:rPr>
          <w:spacing w:val="-5"/>
        </w:rPr>
        <w:t> </w:t>
      </w:r>
      <w:r>
        <w:rPr/>
        <w:t>also</w:t>
      </w:r>
      <w:r>
        <w:rPr>
          <w:spacing w:val="-3"/>
        </w:rPr>
        <w:t> </w:t>
      </w:r>
      <w:r>
        <w:rPr/>
        <w:t>known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IVRS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IWRS</w:t>
      </w:r>
      <w:r>
        <w:rPr>
          <w:spacing w:val="-7"/>
        </w:rPr>
        <w:t> </w:t>
      </w:r>
      <w:r>
        <w:rPr/>
        <w:t>– A</w:t>
      </w:r>
      <w:r>
        <w:rPr>
          <w:spacing w:val="-9"/>
        </w:rPr>
        <w:t> </w:t>
      </w:r>
      <w:r>
        <w:rPr/>
        <w:t>Web</w:t>
      </w:r>
      <w:r>
        <w:rPr>
          <w:spacing w:val="-4"/>
        </w:rPr>
        <w:t> </w:t>
      </w:r>
      <w:r>
        <w:rPr/>
        <w:t>based platform that provides complex subject/activity management functionality and robust management of drug supply and shipping throughout the trial.</w:t>
      </w:r>
    </w:p>
    <w:p>
      <w:pPr>
        <w:pStyle w:val="BodyText"/>
        <w:spacing w:before="6"/>
        <w:rPr>
          <w:sz w:val="19"/>
        </w:rPr>
      </w:pPr>
    </w:p>
    <w:p>
      <w:pPr>
        <w:pStyle w:val="BodyText"/>
        <w:spacing w:line="244" w:lineRule="auto"/>
        <w:ind w:left="1259" w:right="426"/>
      </w:pPr>
      <w:r>
        <w:rPr>
          <w:b/>
        </w:rPr>
        <w:t>IP: </w:t>
      </w:r>
      <w:r>
        <w:rPr/>
        <w:t>Investigational</w:t>
      </w:r>
      <w:r>
        <w:rPr>
          <w:spacing w:val="-3"/>
        </w:rPr>
        <w:t> </w:t>
      </w:r>
      <w:r>
        <w:rPr/>
        <w:t>Product</w:t>
      </w:r>
      <w:r>
        <w:rPr>
          <w:spacing w:val="-6"/>
        </w:rPr>
        <w:t> </w:t>
      </w:r>
      <w:r>
        <w:rPr/>
        <w:t>–</w:t>
      </w:r>
      <w:r>
        <w:rPr>
          <w:spacing w:val="-4"/>
        </w:rPr>
        <w:t> </w:t>
      </w:r>
      <w:r>
        <w:rPr/>
        <w:t>A product</w:t>
      </w:r>
      <w:r>
        <w:rPr>
          <w:spacing w:val="-5"/>
        </w:rPr>
        <w:t> </w:t>
      </w:r>
      <w:r>
        <w:rPr/>
        <w:t>being</w:t>
      </w:r>
      <w:r>
        <w:rPr>
          <w:spacing w:val="-3"/>
        </w:rPr>
        <w:t> </w:t>
      </w:r>
      <w:r>
        <w:rPr/>
        <w:t>tested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reference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clinical </w:t>
      </w:r>
      <w:r>
        <w:rPr>
          <w:spacing w:val="-2"/>
        </w:rPr>
        <w:t>trial.</w:t>
      </w:r>
    </w:p>
    <w:p>
      <w:pPr>
        <w:pStyle w:val="BodyText"/>
        <w:spacing w:before="2"/>
        <w:rPr>
          <w:sz w:val="20"/>
        </w:rPr>
      </w:pPr>
    </w:p>
    <w:p>
      <w:pPr>
        <w:pStyle w:val="BodyText"/>
        <w:spacing w:before="1"/>
        <w:ind w:left="1979" w:hanging="720"/>
      </w:pPr>
      <w:r>
        <w:rPr>
          <w:b/>
        </w:rPr>
        <w:t>RACI:</w:t>
      </w:r>
      <w:r>
        <w:rPr>
          <w:b/>
          <w:spacing w:val="-2"/>
        </w:rPr>
        <w:t> </w:t>
      </w:r>
      <w:r>
        <w:rPr/>
        <w:t>Is</w:t>
      </w:r>
      <w:r>
        <w:rPr>
          <w:spacing w:val="-4"/>
        </w:rPr>
        <w:t> </w:t>
      </w:r>
      <w:r>
        <w:rPr/>
        <w:t>a</w:t>
      </w:r>
      <w:r>
        <w:rPr>
          <w:spacing w:val="-3"/>
        </w:rPr>
        <w:t> </w:t>
      </w:r>
      <w:r>
        <w:rPr/>
        <w:t>system</w:t>
      </w:r>
      <w:r>
        <w:rPr>
          <w:spacing w:val="-4"/>
        </w:rPr>
        <w:t> </w:t>
      </w:r>
      <w:r>
        <w:rPr/>
        <w:t>that</w:t>
      </w:r>
      <w:r>
        <w:rPr>
          <w:spacing w:val="-8"/>
        </w:rPr>
        <w:t> </w:t>
      </w:r>
      <w:r>
        <w:rPr/>
        <w:t>brings</w:t>
      </w:r>
      <w:r>
        <w:rPr>
          <w:spacing w:val="-5"/>
        </w:rPr>
        <w:t> </w:t>
      </w:r>
      <w:r>
        <w:rPr/>
        <w:t>structure</w:t>
      </w:r>
      <w:r>
        <w:rPr>
          <w:spacing w:val="-4"/>
        </w:rPr>
        <w:t> </w:t>
      </w:r>
      <w:r>
        <w:rPr/>
        <w:t>and</w:t>
      </w:r>
      <w:r>
        <w:rPr>
          <w:spacing w:val="-5"/>
        </w:rPr>
        <w:t> </w:t>
      </w:r>
      <w:r>
        <w:rPr/>
        <w:t>clarity</w:t>
      </w:r>
      <w:r>
        <w:rPr>
          <w:spacing w:val="-4"/>
        </w:rPr>
        <w:t> </w:t>
      </w:r>
      <w:r>
        <w:rPr/>
        <w:t>to</w:t>
      </w:r>
      <w:r>
        <w:rPr>
          <w:spacing w:val="-5"/>
        </w:rPr>
        <w:t> </w:t>
      </w:r>
      <w:r>
        <w:rPr/>
        <w:t>the</w:t>
      </w:r>
      <w:r>
        <w:rPr>
          <w:spacing w:val="-4"/>
        </w:rPr>
        <w:t> </w:t>
      </w:r>
      <w:r>
        <w:rPr/>
        <w:t>roles</w:t>
      </w:r>
      <w:r>
        <w:rPr>
          <w:spacing w:val="-5"/>
        </w:rPr>
        <w:t> </w:t>
      </w:r>
      <w:r>
        <w:rPr/>
        <w:t>people</w:t>
      </w:r>
      <w:r>
        <w:rPr>
          <w:spacing w:val="-4"/>
        </w:rPr>
        <w:t> </w:t>
      </w:r>
      <w:r>
        <w:rPr/>
        <w:t>play</w:t>
      </w:r>
      <w:r>
        <w:rPr>
          <w:spacing w:val="-5"/>
        </w:rPr>
        <w:t> </w:t>
      </w:r>
      <w:r>
        <w:rPr/>
        <w:t>within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>
          <w:spacing w:val="-2"/>
        </w:rPr>
        <w:t>team.</w:t>
      </w:r>
    </w:p>
    <w:p>
      <w:pPr>
        <w:pStyle w:val="BodyText"/>
        <w:spacing w:before="11"/>
        <w:rPr>
          <w:sz w:val="20"/>
        </w:rPr>
      </w:pPr>
    </w:p>
    <w:p>
      <w:pPr>
        <w:pStyle w:val="BodyText"/>
        <w:spacing w:line="244" w:lineRule="auto"/>
        <w:ind w:left="1979" w:right="426"/>
      </w:pPr>
      <w:r>
        <w:rPr>
          <w:b/>
        </w:rPr>
        <w:t>R</w:t>
      </w:r>
      <w:r>
        <w:rPr>
          <w:b/>
          <w:spacing w:val="-4"/>
        </w:rPr>
        <w:t> </w:t>
      </w:r>
      <w:r>
        <w:rPr>
          <w:b/>
        </w:rPr>
        <w:t>=</w:t>
      </w:r>
      <w:r>
        <w:rPr>
          <w:b/>
          <w:spacing w:val="-4"/>
        </w:rPr>
        <w:t> </w:t>
      </w:r>
      <w:r>
        <w:rPr>
          <w:b/>
        </w:rPr>
        <w:t>Responsible</w:t>
      </w:r>
      <w:r>
        <w:rPr>
          <w:b/>
          <w:spacing w:val="-1"/>
        </w:rPr>
        <w:t> </w:t>
      </w:r>
      <w:r>
        <w:rPr>
          <w:b/>
        </w:rPr>
        <w:t>– </w:t>
      </w:r>
      <w:r>
        <w:rPr/>
        <w:t>these</w:t>
      </w:r>
      <w:r>
        <w:rPr>
          <w:spacing w:val="-3"/>
        </w:rPr>
        <w:t> </w:t>
      </w:r>
      <w:r>
        <w:rPr/>
        <w:t>people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“doers”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work,</w:t>
      </w:r>
      <w:r>
        <w:rPr>
          <w:spacing w:val="-3"/>
        </w:rPr>
        <w:t> </w:t>
      </w:r>
      <w:r>
        <w:rPr/>
        <w:t>several</w:t>
      </w:r>
      <w:r>
        <w:rPr>
          <w:spacing w:val="-3"/>
        </w:rPr>
        <w:t> </w:t>
      </w:r>
      <w:r>
        <w:rPr/>
        <w:t>people</w:t>
      </w:r>
      <w:r>
        <w:rPr>
          <w:spacing w:val="-3"/>
        </w:rPr>
        <w:t> </w:t>
      </w:r>
      <w:r>
        <w:rPr/>
        <w:t>can be jointly responsible.</w:t>
      </w:r>
    </w:p>
    <w:p>
      <w:pPr>
        <w:pStyle w:val="BodyText"/>
        <w:spacing w:before="9"/>
        <w:rPr>
          <w:sz w:val="19"/>
        </w:rPr>
      </w:pPr>
    </w:p>
    <w:p>
      <w:pPr>
        <w:pStyle w:val="BodyText"/>
        <w:spacing w:line="244" w:lineRule="auto" w:before="1"/>
        <w:ind w:left="1980" w:right="426"/>
      </w:pPr>
      <w:r>
        <w:rPr>
          <w:b/>
        </w:rPr>
        <w:t>A</w:t>
      </w:r>
      <w:r>
        <w:rPr>
          <w:b/>
          <w:spacing w:val="-2"/>
        </w:rPr>
        <w:t> </w:t>
      </w:r>
      <w:r>
        <w:rPr>
          <w:b/>
        </w:rPr>
        <w:t>=</w:t>
      </w:r>
      <w:r>
        <w:rPr>
          <w:b/>
          <w:spacing w:val="-2"/>
        </w:rPr>
        <w:t> </w:t>
      </w:r>
      <w:r>
        <w:rPr>
          <w:b/>
        </w:rPr>
        <w:t>Accountable</w:t>
      </w:r>
      <w:r>
        <w:rPr>
          <w:b/>
          <w:spacing w:val="-1"/>
        </w:rPr>
        <w:t> </w:t>
      </w:r>
      <w:r>
        <w:rPr>
          <w:b/>
        </w:rPr>
        <w:t>– </w:t>
      </w:r>
      <w:r>
        <w:rPr/>
        <w:t>This</w:t>
      </w:r>
      <w:r>
        <w:rPr>
          <w:spacing w:val="-4"/>
        </w:rPr>
        <w:t> </w:t>
      </w:r>
      <w:r>
        <w:rPr/>
        <w:t>person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“owner”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work,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person</w:t>
      </w:r>
      <w:r>
        <w:rPr>
          <w:spacing w:val="-4"/>
        </w:rPr>
        <w:t> </w:t>
      </w:r>
      <w:r>
        <w:rPr/>
        <w:t>may</w:t>
      </w:r>
      <w:r>
        <w:rPr>
          <w:spacing w:val="-2"/>
        </w:rPr>
        <w:t> </w:t>
      </w:r>
      <w:r>
        <w:rPr/>
        <w:t>sign off or approve when the task, objective or decision is complete.</w:t>
      </w:r>
    </w:p>
    <w:p>
      <w:pPr>
        <w:pStyle w:val="BodyText"/>
        <w:spacing w:before="2"/>
        <w:rPr>
          <w:sz w:val="20"/>
        </w:rPr>
      </w:pPr>
    </w:p>
    <w:p>
      <w:pPr>
        <w:spacing w:before="0"/>
        <w:ind w:left="1980" w:right="0" w:firstLine="0"/>
        <w:jc w:val="left"/>
        <w:rPr>
          <w:sz w:val="22"/>
        </w:rPr>
      </w:pPr>
      <w:r>
        <w:rPr>
          <w:b/>
          <w:sz w:val="22"/>
        </w:rPr>
        <w:t>C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=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Consulted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– </w:t>
      </w:r>
      <w:r>
        <w:rPr>
          <w:sz w:val="22"/>
        </w:rPr>
        <w:t>People</w:t>
      </w:r>
      <w:r>
        <w:rPr>
          <w:spacing w:val="-3"/>
          <w:sz w:val="22"/>
        </w:rPr>
        <w:t> </w:t>
      </w:r>
      <w:r>
        <w:rPr>
          <w:sz w:val="22"/>
        </w:rPr>
        <w:t>that</w:t>
      </w:r>
      <w:r>
        <w:rPr>
          <w:spacing w:val="-4"/>
          <w:sz w:val="22"/>
        </w:rPr>
        <w:t> </w:t>
      </w:r>
      <w:r>
        <w:rPr>
          <w:sz w:val="22"/>
        </w:rPr>
        <w:t>need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give</w:t>
      </w:r>
      <w:r>
        <w:rPr>
          <w:spacing w:val="-4"/>
          <w:sz w:val="22"/>
        </w:rPr>
        <w:t> </w:t>
      </w:r>
      <w:r>
        <w:rPr>
          <w:sz w:val="22"/>
        </w:rPr>
        <w:t>input</w:t>
      </w:r>
      <w:r>
        <w:rPr>
          <w:spacing w:val="-4"/>
          <w:sz w:val="22"/>
        </w:rPr>
        <w:t> </w:t>
      </w:r>
      <w:r>
        <w:rPr>
          <w:sz w:val="22"/>
        </w:rPr>
        <w:t>before</w:t>
      </w:r>
      <w:r>
        <w:rPr>
          <w:spacing w:val="-3"/>
          <w:sz w:val="22"/>
        </w:rPr>
        <w:t> </w:t>
      </w:r>
      <w:r>
        <w:rPr>
          <w:sz w:val="22"/>
        </w:rPr>
        <w:t>work</w:t>
      </w:r>
      <w:r>
        <w:rPr>
          <w:spacing w:val="-4"/>
          <w:sz w:val="22"/>
        </w:rPr>
        <w:t> </w:t>
      </w:r>
      <w:r>
        <w:rPr>
          <w:sz w:val="22"/>
        </w:rPr>
        <w:t>can</w:t>
      </w:r>
      <w:r>
        <w:rPr>
          <w:spacing w:val="-4"/>
          <w:sz w:val="22"/>
        </w:rPr>
        <w:t> </w:t>
      </w:r>
      <w:r>
        <w:rPr>
          <w:sz w:val="22"/>
        </w:rPr>
        <w:t>be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done.</w:t>
      </w:r>
    </w:p>
    <w:p>
      <w:pPr>
        <w:pStyle w:val="BodyText"/>
        <w:spacing w:before="7"/>
        <w:rPr>
          <w:sz w:val="20"/>
        </w:rPr>
      </w:pPr>
    </w:p>
    <w:p>
      <w:pPr>
        <w:pStyle w:val="BodyText"/>
        <w:spacing w:line="244" w:lineRule="auto"/>
        <w:ind w:left="1980" w:right="501"/>
      </w:pPr>
      <w:r>
        <w:rPr>
          <w:b/>
        </w:rPr>
        <w:t>I</w:t>
      </w:r>
      <w:r>
        <w:rPr>
          <w:b/>
          <w:spacing w:val="-3"/>
        </w:rPr>
        <w:t> </w:t>
      </w:r>
      <w:r>
        <w:rPr>
          <w:b/>
        </w:rPr>
        <w:t>=</w:t>
      </w:r>
      <w:r>
        <w:rPr>
          <w:b/>
          <w:spacing w:val="-3"/>
        </w:rPr>
        <w:t> </w:t>
      </w:r>
      <w:r>
        <w:rPr>
          <w:b/>
        </w:rPr>
        <w:t>Informed</w:t>
      </w:r>
      <w:r>
        <w:rPr>
          <w:b/>
          <w:spacing w:val="-2"/>
        </w:rPr>
        <w:t> </w:t>
      </w:r>
      <w:r>
        <w:rPr>
          <w:b/>
        </w:rPr>
        <w:t>– </w:t>
      </w:r>
      <w:r>
        <w:rPr/>
        <w:t>People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need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kept</w:t>
      </w:r>
      <w:r>
        <w:rPr>
          <w:spacing w:val="-3"/>
        </w:rPr>
        <w:t> </w:t>
      </w:r>
      <w:r>
        <w:rPr/>
        <w:t>up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date</w:t>
      </w:r>
      <w:r>
        <w:rPr>
          <w:spacing w:val="-3"/>
        </w:rPr>
        <w:t> </w:t>
      </w:r>
      <w:r>
        <w:rPr/>
        <w:t>on</w:t>
      </w:r>
      <w:r>
        <w:rPr>
          <w:spacing w:val="-3"/>
        </w:rPr>
        <w:t> </w:t>
      </w:r>
      <w:r>
        <w:rPr/>
        <w:t>progress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decision but do not contribute directly to the task or decision.</w:t>
      </w: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8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7"/>
        <w:ind w:left="1260"/>
      </w:pPr>
      <w:r>
        <w:rPr/>
        <w:t>Trial</w:t>
      </w:r>
      <w:r>
        <w:rPr>
          <w:spacing w:val="-5"/>
        </w:rPr>
        <w:t> </w:t>
      </w:r>
      <w:r>
        <w:rPr/>
        <w:t>Master</w:t>
      </w:r>
      <w:r>
        <w:rPr>
          <w:spacing w:val="-5"/>
        </w:rPr>
        <w:t> </w:t>
      </w:r>
      <w:r>
        <w:rPr/>
        <w:t>File</w:t>
      </w:r>
      <w:r>
        <w:rPr>
          <w:spacing w:val="-5"/>
        </w:rPr>
        <w:t> </w:t>
      </w:r>
      <w:r>
        <w:rPr>
          <w:spacing w:val="-2"/>
        </w:rPr>
        <w:t>(TMF)</w:t>
      </w:r>
    </w:p>
    <w:p>
      <w:pPr>
        <w:pStyle w:val="BodyText"/>
        <w:rPr>
          <w:sz w:val="24"/>
        </w:rPr>
      </w:pPr>
    </w:p>
    <w:p>
      <w:pPr>
        <w:pStyle w:val="BodyText"/>
        <w:spacing w:before="8"/>
        <w:rPr>
          <w:sz w:val="28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</w:pPr>
      <w:r>
        <w:rPr>
          <w:spacing w:val="-2"/>
        </w:rPr>
        <w:t>Distribution</w:t>
      </w:r>
      <w:r>
        <w:rPr>
          <w:spacing w:val="14"/>
        </w:rPr>
        <w:t> </w:t>
      </w:r>
      <w:r>
        <w:rPr>
          <w:spacing w:val="-2"/>
        </w:rPr>
        <w:t>set-</w:t>
      </w:r>
      <w:r>
        <w:rPr>
          <w:spacing w:val="-5"/>
        </w:rPr>
        <w:t>up</w:t>
      </w:r>
    </w:p>
    <w:p>
      <w:pPr>
        <w:pStyle w:val="BodyText"/>
        <w:spacing w:before="4"/>
        <w:rPr>
          <w:b/>
          <w:sz w:val="21"/>
        </w:rPr>
      </w:pPr>
    </w:p>
    <w:p>
      <w:pPr>
        <w:pStyle w:val="BodyText"/>
        <w:spacing w:before="1"/>
        <w:ind w:left="1979" w:right="426"/>
      </w:pPr>
      <w:r>
        <w:rPr/>
        <w:t>Where IQVIA are contracted to provide Clinical Supply Chain Management Services</w:t>
      </w:r>
      <w:r>
        <w:rPr>
          <w:spacing w:val="-3"/>
        </w:rPr>
        <w:t> </w:t>
      </w:r>
      <w:r>
        <w:rPr/>
        <w:t>there</w:t>
      </w:r>
      <w:r>
        <w:rPr>
          <w:spacing w:val="-3"/>
        </w:rPr>
        <w:t> </w:t>
      </w:r>
      <w:r>
        <w:rPr/>
        <w:t>may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requirement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determine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recommend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optimum physical supply</w:t>
      </w:r>
      <w:r>
        <w:rPr>
          <w:spacing w:val="-1"/>
        </w:rPr>
        <w:t> </w:t>
      </w:r>
      <w:r>
        <w:rPr/>
        <w:t>chain</w:t>
      </w:r>
      <w:r>
        <w:rPr>
          <w:spacing w:val="-1"/>
        </w:rPr>
        <w:t> </w:t>
      </w:r>
      <w:r>
        <w:rPr/>
        <w:t>for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distribution</w:t>
      </w:r>
      <w:r>
        <w:rPr>
          <w:spacing w:val="-5"/>
        </w:rPr>
        <w:t> </w:t>
      </w:r>
      <w:r>
        <w:rPr/>
        <w:t>of</w:t>
      </w:r>
      <w:r>
        <w:rPr>
          <w:spacing w:val="-1"/>
        </w:rPr>
        <w:t> </w:t>
      </w:r>
      <w:r>
        <w:rPr/>
        <w:t>Investigational</w:t>
      </w:r>
      <w:r>
        <w:rPr>
          <w:spacing w:val="-1"/>
        </w:rPr>
        <w:t> </w:t>
      </w:r>
      <w:r>
        <w:rPr/>
        <w:t>Product</w:t>
      </w:r>
      <w:r>
        <w:rPr>
          <w:spacing w:val="-1"/>
        </w:rPr>
        <w:t> </w:t>
      </w:r>
      <w:r>
        <w:rPr/>
        <w:t>(IP)</w:t>
      </w:r>
      <w:r>
        <w:rPr>
          <w:spacing w:val="-1"/>
        </w:rPr>
        <w:t> </w:t>
      </w:r>
      <w:r>
        <w:rPr/>
        <w:t>or</w:t>
      </w:r>
      <w:r>
        <w:rPr>
          <w:spacing w:val="-1"/>
        </w:rPr>
        <w:t> </w:t>
      </w:r>
      <w:r>
        <w:rPr/>
        <w:t>Clinical Supplies from the manufacturing site or Primary depot to Regional depots and / or Clinical Trial Sites.</w:t>
      </w:r>
    </w:p>
    <w:p>
      <w:pPr>
        <w:pStyle w:val="BodyText"/>
        <w:spacing w:before="2"/>
        <w:rPr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13"/>
              <w:rPr>
                <w:sz w:val="20"/>
              </w:rPr>
            </w:pPr>
            <w:r>
              <w:rPr>
                <w:sz w:val="20"/>
              </w:rPr>
              <w:t>Liaise with the Project Leader (PL) to identify all countries or potential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countries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responsibilities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 import of IP or Clinical Supplies.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Contract </w:t>
            </w:r>
            <w:r>
              <w:rPr>
                <w:spacing w:val="-2"/>
                <w:sz w:val="20"/>
              </w:rPr>
              <w:t>approval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16"/>
        </w:rPr>
      </w:pPr>
      <w:r>
        <w:rPr/>
      </w:r>
    </w:p>
    <w:p>
      <w:pPr>
        <w:spacing w:after="0"/>
        <w:rPr>
          <w:sz w:val="16"/>
        </w:rPr>
        <w:sectPr>
          <w:headerReference w:type="default" r:id="rId7"/>
          <w:footerReference w:type="default" r:id="rId8"/>
          <w:pgSz w:w="12240" w:h="15840"/>
          <w:pgMar w:header="979" w:footer="666" w:top="2760" w:bottom="860" w:left="900" w:right="1040"/>
          <w:pgNumType w:start="2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1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13"/>
              <w:rPr>
                <w:sz w:val="20"/>
              </w:rPr>
            </w:pPr>
            <w:r>
              <w:rPr>
                <w:sz w:val="20"/>
              </w:rPr>
              <w:t>Review the country specific import/export requirements with the Country Site Activation team (CSA)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(where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available)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against 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Intelligence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Database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(RID)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Tarius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determine Import License (IL) or Import Permit Application requirements per </w:t>
            </w:r>
            <w:r>
              <w:rPr>
                <w:spacing w:val="-2"/>
                <w:sz w:val="20"/>
              </w:rPr>
              <w:t>Country.</w:t>
            </w:r>
          </w:p>
          <w:p>
            <w:pPr>
              <w:pStyle w:val="TableParagraph"/>
              <w:spacing w:before="3"/>
              <w:ind w:left="0"/>
              <w:rPr>
                <w:sz w:val="20"/>
              </w:rPr>
            </w:pPr>
          </w:p>
          <w:p>
            <w:pPr>
              <w:pStyle w:val="TableParagraph"/>
              <w:spacing w:line="237" w:lineRule="auto"/>
              <w:ind w:left="104"/>
              <w:rPr>
                <w:sz w:val="20"/>
              </w:rPr>
            </w:pPr>
            <w:r>
              <w:rPr>
                <w:sz w:val="20"/>
              </w:rPr>
              <w:t>Consider if the IP is a Scheduled drug in either the source or destination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country.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in-country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depot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 </w:t>
            </w:r>
            <w:r>
              <w:rPr>
                <w:spacing w:val="-2"/>
                <w:sz w:val="20"/>
              </w:rPr>
              <w:t>required.</w:t>
            </w:r>
          </w:p>
          <w:p>
            <w:pPr>
              <w:pStyle w:val="TableParagraph"/>
              <w:spacing w:before="2"/>
              <w:ind w:left="0"/>
              <w:rPr>
                <w:sz w:val="20"/>
              </w:rPr>
            </w:pPr>
          </w:p>
          <w:p>
            <w:pPr>
              <w:pStyle w:val="TableParagraph"/>
              <w:ind w:left="104" w:right="209"/>
              <w:jc w:val="both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countries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Direct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(DTS)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possible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regional depot consider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high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shipments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planned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may be more economical to have an in-country depot.</w:t>
            </w:r>
          </w:p>
          <w:p>
            <w:pPr>
              <w:pStyle w:val="TableParagraph"/>
              <w:spacing w:before="2"/>
              <w:ind w:left="0"/>
              <w:rPr>
                <w:sz w:val="20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refrigerated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(2-8°C)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frozen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storage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in-transit,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give additional consideration of routes, airport facilities and shipment </w:t>
            </w:r>
            <w:r>
              <w:rPr>
                <w:spacing w:val="-2"/>
                <w:sz w:val="20"/>
              </w:rPr>
              <w:t>timing.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Contract </w:t>
            </w:r>
            <w:r>
              <w:rPr>
                <w:spacing w:val="-2"/>
                <w:sz w:val="20"/>
              </w:rPr>
              <w:t>approval</w:t>
            </w:r>
          </w:p>
        </w:tc>
      </w:tr>
      <w:tr>
        <w:trPr>
          <w:trHeight w:val="275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4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13"/>
              <w:rPr>
                <w:sz w:val="20"/>
              </w:rPr>
            </w:pPr>
            <w:r>
              <w:rPr>
                <w:sz w:val="20"/>
              </w:rPr>
              <w:t>Whilst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developing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Country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Detail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Supply Plan and Project Scope Document CRO_TP_CTS0014 liaise with the CSA team, IP Packagers, IP Shippers and IRT developers to align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production,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invoice,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Import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License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Ministry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 Health application descriptions.</w:t>
            </w: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Consider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country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origin,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paperwork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(CoA, CoC, etc.).</w:t>
            </w: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Comparator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commercial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consider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what paperwork can be provided.</w:t>
            </w: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Comparator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generic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consider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potential sources of product.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  <w:tr>
        <w:trPr>
          <w:trHeight w:val="229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4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ind w:left="104" w:right="113"/>
              <w:rPr>
                <w:sz w:val="20"/>
              </w:rPr>
            </w:pPr>
            <w:r>
              <w:rPr>
                <w:sz w:val="20"/>
              </w:rPr>
              <w:t>Develop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Supply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Project Scope Document CRO_TP_CTS0014, identifying the regional depots from which each country will be supplied and the primary depots from which the regional depots will be supplied.</w:t>
            </w:r>
          </w:p>
          <w:p>
            <w:pPr>
              <w:pStyle w:val="TableParagraph"/>
              <w:spacing w:before="4"/>
              <w:ind w:left="104" w:right="113"/>
              <w:rPr>
                <w:sz w:val="20"/>
              </w:rPr>
            </w:pPr>
            <w:r>
              <w:rPr>
                <w:sz w:val="20"/>
              </w:rPr>
              <w:t>Countries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in-country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regional depot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 will have been identified in 6.1.2.</w:t>
            </w:r>
          </w:p>
          <w:p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sz w:val="20"/>
              </w:rPr>
              <w:t>Ensure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aligns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build,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reference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Interactive Response Technology Management SOP </w:t>
            </w:r>
            <w:r>
              <w:rPr>
                <w:spacing w:val="-2"/>
                <w:sz w:val="20"/>
              </w:rPr>
              <w:t>(CRO_OP_CTS0008).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Contract </w:t>
            </w:r>
            <w:r>
              <w:rPr>
                <w:spacing w:val="-2"/>
                <w:sz w:val="20"/>
              </w:rPr>
              <w:t>approval</w:t>
            </w:r>
          </w:p>
        </w:tc>
      </w:tr>
      <w:tr>
        <w:trPr>
          <w:trHeight w:val="138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Responsibilities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contracting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depots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defined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Distribution Plan.</w:t>
            </w:r>
          </w:p>
          <w:p>
            <w:pPr>
              <w:pStyle w:val="TableParagraph"/>
              <w:ind w:left="104" w:right="113"/>
              <w:rPr>
                <w:sz w:val="20"/>
              </w:rPr>
            </w:pPr>
            <w:r>
              <w:rPr>
                <w:sz w:val="20"/>
              </w:rPr>
              <w:t>It may be assigned to IQVIA, remain with the Sponsor or be a combination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both.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Responsible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alignment with the Distribution plan and the IRT build.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</w:tbl>
    <w:p>
      <w:pPr>
        <w:spacing w:after="0"/>
        <w:rPr>
          <w:sz w:val="20"/>
        </w:rPr>
        <w:sectPr>
          <w:headerReference w:type="default" r:id="rId9"/>
          <w:footerReference w:type="default" r:id="rId10"/>
          <w:pgSz w:w="12240" w:h="15840"/>
          <w:pgMar w:header="979" w:footer="872" w:top="2760" w:bottom="1060" w:left="900" w:right="104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16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</w:pPr>
      <w:r>
        <w:rPr/>
        <w:t>Distribution</w:t>
      </w:r>
      <w:r>
        <w:rPr>
          <w:spacing w:val="-9"/>
        </w:rPr>
        <w:t> </w:t>
      </w:r>
      <w:r>
        <w:rPr/>
        <w:t>planning</w:t>
      </w:r>
      <w:r>
        <w:rPr>
          <w:spacing w:val="-7"/>
        </w:rPr>
        <w:t> </w:t>
      </w:r>
      <w:r>
        <w:rPr/>
        <w:t>&amp;</w:t>
      </w:r>
      <w:r>
        <w:rPr>
          <w:spacing w:val="-7"/>
        </w:rPr>
        <w:t> </w:t>
      </w:r>
      <w:r>
        <w:rPr>
          <w:spacing w:val="-2"/>
        </w:rPr>
        <w:t>maintenance</w:t>
      </w:r>
    </w:p>
    <w:p>
      <w:pPr>
        <w:pStyle w:val="BodyText"/>
        <w:spacing w:before="4"/>
        <w:rPr>
          <w:b/>
          <w:sz w:val="21"/>
        </w:rPr>
      </w:pPr>
    </w:p>
    <w:p>
      <w:pPr>
        <w:pStyle w:val="BodyText"/>
        <w:spacing w:before="1"/>
        <w:ind w:left="1980" w:right="501"/>
      </w:pPr>
      <w:r>
        <w:rPr/>
        <w:t>Where IQVIA are contracted to provide Clinical Supply Chain Management Services</w:t>
      </w:r>
      <w:r>
        <w:rPr>
          <w:spacing w:val="-4"/>
        </w:rPr>
        <w:t> </w:t>
      </w:r>
      <w:r>
        <w:rPr/>
        <w:t>there</w:t>
      </w:r>
      <w:r>
        <w:rPr>
          <w:spacing w:val="-4"/>
        </w:rPr>
        <w:t> </w:t>
      </w:r>
      <w:r>
        <w:rPr/>
        <w:t>may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requirement</w:t>
      </w:r>
      <w:r>
        <w:rPr>
          <w:spacing w:val="-4"/>
        </w:rPr>
        <w:t> </w:t>
      </w:r>
      <w:r>
        <w:rPr/>
        <w:t>to</w:t>
      </w:r>
      <w:r>
        <w:rPr>
          <w:spacing w:val="-3"/>
        </w:rPr>
        <w:t> </w:t>
      </w:r>
      <w:r>
        <w:rPr/>
        <w:t>monitor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otherwise</w:t>
      </w:r>
      <w:r>
        <w:rPr>
          <w:spacing w:val="-4"/>
        </w:rPr>
        <w:t> </w:t>
      </w:r>
      <w:r>
        <w:rPr/>
        <w:t>manage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support the management of the delivery of Investigational Product (IP) or Clinical Supplies or other material throughout the project life cycle.</w:t>
      </w:r>
    </w:p>
    <w:p>
      <w:pPr>
        <w:pStyle w:val="BodyText"/>
        <w:spacing w:before="5"/>
        <w:rPr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247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i/>
                <w:sz w:val="20"/>
              </w:rPr>
            </w:pPr>
            <w:r>
              <w:rPr>
                <w:sz w:val="20"/>
              </w:rPr>
              <w:t>Identify responsibilities from any relevant Quality Technical Agreements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RACI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determine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level of responsibility the IQVIA CTS Team members will take for determining shipment quantities and timing of Depot and Site </w:t>
            </w:r>
            <w:r>
              <w:rPr>
                <w:spacing w:val="-2"/>
                <w:sz w:val="20"/>
              </w:rPr>
              <w:t>shipments</w:t>
            </w:r>
            <w:r>
              <w:rPr>
                <w:i/>
                <w:spacing w:val="-2"/>
                <w:sz w:val="20"/>
              </w:rPr>
              <w:t>.</w:t>
            </w:r>
          </w:p>
          <w:p>
            <w:pPr>
              <w:pStyle w:val="TableParagraph"/>
              <w:spacing w:before="3"/>
              <w:ind w:left="0"/>
              <w:rPr>
                <w:sz w:val="27"/>
              </w:rPr>
            </w:pPr>
          </w:p>
          <w:p>
            <w:pPr>
              <w:pStyle w:val="TableParagraph"/>
              <w:ind w:left="104" w:right="113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 factors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impact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decisions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recommendations for the timing and quantity of drug to be distributed to depots and sites. These include, but are not limited to: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3" w:lineRule="exact" w:before="41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Drug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availability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timing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quantity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release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Drug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expiry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dating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Demand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existing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forecasted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patients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Overage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depot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stocking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Import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License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Import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Permit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timing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allowed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quantity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Transit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times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depots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set-</w:t>
            </w:r>
            <w:r>
              <w:rPr>
                <w:spacing w:val="-5"/>
                <w:sz w:val="20"/>
              </w:rPr>
              <w:t>up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Start-up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and/or as Needed</w:t>
            </w:r>
          </w:p>
        </w:tc>
      </w:tr>
      <w:tr>
        <w:trPr>
          <w:trHeight w:val="451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4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39"/>
              <w:ind w:left="104"/>
              <w:rPr>
                <w:b/>
                <w:sz w:val="20"/>
              </w:rPr>
            </w:pPr>
            <w:r>
              <w:rPr>
                <w:sz w:val="20"/>
              </w:rPr>
              <w:t>For Depot to Site shipments the timing and quantity for initial shipments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generally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managed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IRT.</w:t>
            </w:r>
            <w:r>
              <w:rPr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Refer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SOP CRO_OP_CTS0008 Interactive Technology Management.</w:t>
            </w:r>
          </w:p>
          <w:p>
            <w:pPr>
              <w:pStyle w:val="TableParagraph"/>
              <w:spacing w:before="45"/>
              <w:ind w:left="104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utilized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6.2.3.</w:t>
            </w:r>
          </w:p>
          <w:p>
            <w:pPr>
              <w:pStyle w:val="TableParagraph"/>
              <w:spacing w:before="2"/>
              <w:ind w:left="0"/>
              <w:rPr>
                <w:sz w:val="27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Timing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initial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shipments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 defined site milestones: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35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activation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First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visit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First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randomized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Custom</w:t>
            </w:r>
          </w:p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preference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drug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site activation so that it is available for training purposes at site initiation visits. If there is a requirement to deviate from this, it should first be discussed with the Project Leader (PL) and Clinical Lead (CL).</w:t>
            </w:r>
          </w:p>
          <w:p>
            <w:pPr>
              <w:pStyle w:val="TableParagraph"/>
              <w:spacing w:before="2"/>
              <w:ind w:left="0"/>
              <w:rPr>
                <w:sz w:val="25"/>
              </w:rPr>
            </w:pPr>
          </w:p>
          <w:p>
            <w:pPr>
              <w:pStyle w:val="TableParagraph"/>
              <w:spacing w:line="230" w:lineRule="atLeast"/>
              <w:ind w:left="104"/>
              <w:rPr>
                <w:sz w:val="20"/>
              </w:rPr>
            </w:pPr>
            <w:r>
              <w:rPr>
                <w:sz w:val="20"/>
              </w:rPr>
              <w:t>Quantities for initial shipments and the resupply trigger points are typically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defined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utilizing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strategies.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strategies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usually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104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460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defined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global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level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individual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CSA team.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Multiple site strategies can be created per study.</w:t>
            </w:r>
          </w:p>
          <w:p>
            <w:pPr>
              <w:pStyle w:val="TableParagraph"/>
              <w:spacing w:before="38"/>
              <w:ind w:left="104" w:right="167"/>
              <w:rPr>
                <w:sz w:val="20"/>
              </w:rPr>
            </w:pPr>
            <w:r>
              <w:rPr>
                <w:sz w:val="20"/>
              </w:rPr>
              <w:t>It is important to communicate to the GSA team members the patient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enrolment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levels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various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strategies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 they can better apply appropriate strategies per site.</w:t>
            </w:r>
          </w:p>
          <w:p>
            <w:pPr>
              <w:pStyle w:val="TableParagraph"/>
              <w:spacing w:before="5"/>
              <w:ind w:left="0"/>
              <w:rPr>
                <w:sz w:val="27"/>
              </w:rPr>
            </w:pPr>
          </w:p>
          <w:p>
            <w:pPr>
              <w:pStyle w:val="TableParagraph"/>
              <w:spacing w:line="237" w:lineRule="auto"/>
              <w:ind w:left="104" w:right="167"/>
              <w:rPr>
                <w:sz w:val="20"/>
              </w:rPr>
            </w:pPr>
            <w:r>
              <w:rPr>
                <w:sz w:val="20"/>
              </w:rPr>
              <w:t>Parameters for resupply quantities will typically be defined in the IRT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Specification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(URS)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document.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will generally take account of upcoming visits for already enrolled </w:t>
            </w:r>
            <w:r>
              <w:rPr>
                <w:spacing w:val="-2"/>
                <w:sz w:val="20"/>
              </w:rPr>
              <w:t>patients.</w:t>
            </w:r>
          </w:p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It is important that the CTS Team member understands how these resupply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quantities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calculated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factored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depot supply calculations.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188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13"/>
              <w:rPr>
                <w:sz w:val="20"/>
              </w:rPr>
            </w:pPr>
            <w:r>
              <w:rPr>
                <w:sz w:val="20"/>
              </w:rPr>
              <w:t>For Depot to Site shipments in studies where an IRT is not utilized, typically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Phase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&amp;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small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Phase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II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trials,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requirement to create manual shipment requests to ensure the appropriate quantities of IP or other Clinical Supplies are sent to the sites in a timely manner.</w:t>
            </w:r>
          </w:p>
          <w:p>
            <w:pPr>
              <w:pStyle w:val="TableParagraph"/>
              <w:spacing w:before="40"/>
              <w:ind w:left="104" w:right="133"/>
              <w:rPr>
                <w:sz w:val="20"/>
              </w:rPr>
            </w:pPr>
            <w:r>
              <w:rPr>
                <w:sz w:val="20"/>
              </w:rPr>
              <w:t>Where there is a requirement to create manual shipment requests, the 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Supplies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(CTS)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Manual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Drug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Form, CRO_FM_CTS0015, should be utilized unless otherwise agreed with the Sponsor and Vendors.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Ongoing</w:t>
            </w:r>
          </w:p>
        </w:tc>
      </w:tr>
      <w:tr>
        <w:trPr>
          <w:trHeight w:val="2500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42" w:lineRule="auto" w:before="38"/>
              <w:ind w:left="104" w:right="113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IRT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available,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possible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Low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Depot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Alerts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 aid the management of depot supply levels and the resupply from primary depots to regional depots.</w:t>
            </w:r>
          </w:p>
          <w:p>
            <w:pPr>
              <w:pStyle w:val="TableParagraph"/>
              <w:spacing w:before="7"/>
              <w:ind w:left="0"/>
              <w:rPr>
                <w:sz w:val="26"/>
              </w:rPr>
            </w:pPr>
          </w:p>
          <w:p>
            <w:pPr>
              <w:pStyle w:val="TableParagraph"/>
              <w:ind w:left="104" w:right="124"/>
              <w:rPr>
                <w:sz w:val="20"/>
              </w:rPr>
            </w:pPr>
            <w:r>
              <w:rPr>
                <w:sz w:val="20"/>
              </w:rPr>
              <w:t>Shipments from primary depots to regional depots can be automated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utilizing</w:t>
            </w:r>
            <w:r>
              <w:rPr>
                <w:spacing w:val="-2"/>
                <w:sz w:val="20"/>
              </w:rPr>
              <w:t> </w:t>
            </w:r>
            <w:r>
              <w:rPr>
                <w:i/>
                <w:sz w:val="20"/>
              </w:rPr>
              <w:t>‘Initial,</w:t>
            </w:r>
            <w:r>
              <w:rPr>
                <w:i/>
                <w:spacing w:val="-1"/>
                <w:sz w:val="20"/>
              </w:rPr>
              <w:t> </w:t>
            </w:r>
            <w:r>
              <w:rPr>
                <w:i/>
                <w:sz w:val="20"/>
              </w:rPr>
              <w:t>Trigger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z w:val="20"/>
              </w:rPr>
              <w:t>&amp;</w:t>
            </w:r>
            <w:r>
              <w:rPr>
                <w:i/>
                <w:spacing w:val="-7"/>
                <w:sz w:val="20"/>
              </w:rPr>
              <w:t> </w:t>
            </w:r>
            <w:r>
              <w:rPr>
                <w:i/>
                <w:sz w:val="20"/>
              </w:rPr>
              <w:t>Re-supply-To’</w:t>
            </w:r>
            <w:r>
              <w:rPr>
                <w:i/>
                <w:spacing w:val="-9"/>
                <w:sz w:val="20"/>
              </w:rPr>
              <w:t> </w:t>
            </w:r>
            <w:r>
              <w:rPr>
                <w:sz w:val="20"/>
              </w:rPr>
              <w:t>values. However, it is more typical, even where an IRT is utilized, to plan these shipments manually due to competing time and quantity factors as well as fluctuating demand throughout the study lifecycle.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  <w:tr>
        <w:trPr>
          <w:trHeight w:val="2730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58"/>
              <w:rPr>
                <w:sz w:val="20"/>
              </w:rPr>
            </w:pPr>
            <w:r>
              <w:rPr>
                <w:sz w:val="20"/>
              </w:rPr>
              <w:t>Where an IRT is available, it is possible to use Low Depot Alerts to aid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depot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levels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even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 trigger depot resupplies.</w:t>
            </w:r>
          </w:p>
          <w:p>
            <w:pPr>
              <w:pStyle w:val="TableParagraph"/>
              <w:spacing w:before="2"/>
              <w:ind w:left="0"/>
              <w:rPr>
                <w:sz w:val="27"/>
              </w:rPr>
            </w:pPr>
          </w:p>
          <w:p>
            <w:pPr>
              <w:pStyle w:val="TableParagraph"/>
              <w:ind w:left="104" w:right="113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setting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Depot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Alerts,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either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depot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resupply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triggers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 as reminders to trigger an order manually, consideration should be given to the following: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3" w:lineRule="exact" w:before="41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Demand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existing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forecasted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patients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132" w:hanging="360"/>
              <w:jc w:val="left"/>
              <w:rPr>
                <w:sz w:val="20"/>
              </w:rPr>
            </w:pPr>
            <w:r>
              <w:rPr>
                <w:sz w:val="20"/>
              </w:rPr>
              <w:t>Overage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enrolment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flex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randomization </w:t>
            </w:r>
            <w:r>
              <w:rPr>
                <w:spacing w:val="-2"/>
                <w:sz w:val="20"/>
              </w:rPr>
              <w:t>imbalance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  <w:tab w:pos="825" w:val="left" w:leader="none"/>
              </w:tabs>
              <w:spacing w:line="224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Site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stocking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requirements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start-</w:t>
            </w:r>
            <w:r>
              <w:rPr>
                <w:spacing w:val="-5"/>
                <w:sz w:val="20"/>
              </w:rPr>
              <w:t>up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104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26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968" w:hanging="360"/>
              <w:jc w:val="left"/>
              <w:rPr>
                <w:sz w:val="20"/>
              </w:rPr>
            </w:pPr>
            <w:r>
              <w:rPr>
                <w:sz w:val="20"/>
              </w:rPr>
              <w:t>Transit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times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depots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shipment </w:t>
            </w:r>
            <w:r>
              <w:rPr>
                <w:spacing w:val="-2"/>
                <w:sz w:val="20"/>
              </w:rPr>
              <w:t>applications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Transit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times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onward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shipment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sites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6230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depot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shipments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re-supply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shipments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planned and forecasted it is important to communicate regularly with all relevant parties (e.g. Production planners, Couriers, Import License Holders, Depot Network Management).</w:t>
            </w:r>
          </w:p>
          <w:p>
            <w:pPr>
              <w:pStyle w:val="TableParagraph"/>
              <w:spacing w:before="3"/>
              <w:ind w:left="0"/>
              <w:rPr>
                <w:sz w:val="27"/>
              </w:rPr>
            </w:pPr>
          </w:p>
          <w:p>
            <w:pPr>
              <w:pStyle w:val="TableParagraph"/>
              <w:ind w:left="104" w:right="113"/>
              <w:rPr>
                <w:sz w:val="20"/>
              </w:rPr>
            </w:pPr>
            <w:r>
              <w:rPr>
                <w:sz w:val="20"/>
              </w:rPr>
              <w:t>IQVIA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schedule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meetings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involving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 relevant parties to ensure planned shipments are reviewed regularly to ensure alignment with: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3" w:lineRule="exact" w:before="4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Drug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availability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projections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Forecasted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depot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demand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Import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License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Import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Permit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quantity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limitations</w:t>
            </w:r>
          </w:p>
          <w:p>
            <w:pPr>
              <w:pStyle w:val="TableParagraph"/>
              <w:spacing w:before="2"/>
              <w:ind w:left="0"/>
              <w:rPr>
                <w:sz w:val="27"/>
              </w:rPr>
            </w:pPr>
          </w:p>
          <w:p>
            <w:pPr>
              <w:pStyle w:val="TableParagraph"/>
              <w:spacing w:line="237" w:lineRule="auto"/>
              <w:ind w:left="104" w:right="167"/>
              <w:rPr>
                <w:sz w:val="20"/>
              </w:rPr>
            </w:pPr>
            <w:r>
              <w:rPr>
                <w:sz w:val="20"/>
              </w:rPr>
              <w:t>Depot shipments and re-supply shipments may act as an input to 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plan, but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limitations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may impact distribution plans and require a reevaluation of shipment timings and quantities.</w:t>
            </w:r>
          </w:p>
          <w:p>
            <w:pPr>
              <w:pStyle w:val="TableParagraph"/>
              <w:spacing w:before="6"/>
              <w:ind w:left="0"/>
              <w:rPr>
                <w:sz w:val="27"/>
              </w:rPr>
            </w:pPr>
          </w:p>
          <w:p>
            <w:pPr>
              <w:pStyle w:val="TableParagraph"/>
              <w:ind w:left="104" w:right="113"/>
              <w:rPr>
                <w:sz w:val="20"/>
              </w:rPr>
            </w:pPr>
            <w:r>
              <w:rPr>
                <w:sz w:val="20"/>
              </w:rPr>
              <w:t>It is recommended that a Depot Supply Plan of planned IP and clinical supply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availability,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planned depot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supply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 depot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demand 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Import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License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Import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Permit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limitations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maintained as part of the Clinical Supply Plan and Project Scope Document CRO_TP_CTS0014. The format of this Depot Supply Plan for a</w:t>
            </w:r>
          </w:p>
          <w:p>
            <w:pPr>
              <w:pStyle w:val="TableParagraph"/>
              <w:spacing w:before="41"/>
              <w:ind w:left="104" w:right="113"/>
              <w:rPr>
                <w:sz w:val="20"/>
              </w:rPr>
            </w:pPr>
            <w:r>
              <w:rPr>
                <w:sz w:val="20"/>
              </w:rPr>
              <w:t>particular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dependent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various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factors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 to the applicable study.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Needed</w:t>
            </w:r>
          </w:p>
        </w:tc>
      </w:tr>
      <w:tr>
        <w:trPr>
          <w:trHeight w:val="104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13"/>
              <w:rPr>
                <w:sz w:val="20"/>
              </w:rPr>
            </w:pPr>
            <w:r>
              <w:rPr>
                <w:sz w:val="20"/>
              </w:rPr>
              <w:t>The Depot Supply Plan should be updated when orders are generated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quantity-based Import Licenses are downgraded appropriately.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Needed</w:t>
            </w:r>
          </w:p>
        </w:tc>
      </w:tr>
      <w:tr>
        <w:trPr>
          <w:trHeight w:val="223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6.2.8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z w:val="20"/>
              </w:rPr>
              <w:t>Shipment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Cancellations:</w:t>
            </w:r>
          </w:p>
          <w:p>
            <w:pPr>
              <w:pStyle w:val="TableParagraph"/>
              <w:spacing w:before="38"/>
              <w:ind w:left="104" w:right="113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decision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cancel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shipment,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consideration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must be given to the status of the shipment being cancelled.</w:t>
            </w:r>
          </w:p>
          <w:p>
            <w:pPr>
              <w:pStyle w:val="TableParagraph"/>
              <w:spacing w:before="44"/>
              <w:ind w:left="104" w:right="113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shipment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dispatched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picked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dispatch,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may be a timeline associated with making the supplies physically available at the dispatching depot for future orders.</w:t>
            </w:r>
          </w:p>
          <w:p>
            <w:pPr>
              <w:pStyle w:val="TableParagraph"/>
              <w:spacing w:line="230" w:lineRule="atLeast" w:before="21"/>
              <w:ind w:left="104" w:right="167"/>
              <w:rPr>
                <w:sz w:val="20"/>
              </w:rPr>
            </w:pPr>
            <w:r>
              <w:rPr>
                <w:sz w:val="20"/>
              </w:rPr>
              <w:t>Always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shipment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fully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cancelled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returned to stock at the Dispatching depot prior to cancelling the order and making the supplies available for other shipments in the IRT,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Needed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104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770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reference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Interactive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Response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Technology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SOP </w:t>
            </w:r>
            <w:r>
              <w:rPr>
                <w:spacing w:val="-2"/>
                <w:sz w:val="20"/>
              </w:rPr>
              <w:t>(CRO_OP_CTS0008).</w:t>
            </w:r>
          </w:p>
          <w:p>
            <w:pPr>
              <w:pStyle w:val="TableParagraph"/>
              <w:spacing w:before="3"/>
              <w:ind w:left="0"/>
              <w:rPr>
                <w:sz w:val="27"/>
              </w:rPr>
            </w:pPr>
          </w:p>
          <w:p>
            <w:pPr>
              <w:pStyle w:val="TableParagraph"/>
              <w:spacing w:line="237" w:lineRule="auto"/>
              <w:ind w:left="104" w:right="113"/>
              <w:rPr>
                <w:sz w:val="20"/>
              </w:rPr>
            </w:pPr>
            <w:r>
              <w:rPr>
                <w:sz w:val="20"/>
              </w:rPr>
              <w:t>Ensure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Depot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updated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reflect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cancelled shipment. This is important to give clarity to the outstanding balances on quantity-based Import Licenses.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3498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6.2.9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17"/>
              <w:rPr>
                <w:sz w:val="20"/>
              </w:rPr>
            </w:pPr>
            <w:r>
              <w:rPr>
                <w:sz w:val="20"/>
              </w:rPr>
              <w:t>Where a time or quantity-based Import License is required for a country or region, it is important to agree to a trigger point quantity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initiated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 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identify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owner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this </w:t>
            </w:r>
            <w:r>
              <w:rPr>
                <w:spacing w:val="-2"/>
                <w:sz w:val="20"/>
              </w:rPr>
              <w:t>task.</w:t>
            </w:r>
          </w:p>
          <w:p>
            <w:pPr>
              <w:pStyle w:val="TableParagraph"/>
              <w:spacing w:before="4"/>
              <w:ind w:left="0"/>
              <w:rPr>
                <w:sz w:val="27"/>
              </w:rPr>
            </w:pPr>
          </w:p>
          <w:p>
            <w:pPr>
              <w:pStyle w:val="TableParagraph"/>
              <w:spacing w:line="237" w:lineRule="auto" w:before="1"/>
              <w:ind w:left="104"/>
              <w:rPr>
                <w:sz w:val="20"/>
              </w:rPr>
            </w:pPr>
            <w:r>
              <w:rPr>
                <w:sz w:val="20"/>
              </w:rPr>
              <w:t>Time based triggers should take account of the time taken to complete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well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body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approval </w:t>
            </w:r>
            <w:r>
              <w:rPr>
                <w:spacing w:val="-2"/>
                <w:sz w:val="20"/>
              </w:rPr>
              <w:t>times.</w:t>
            </w:r>
          </w:p>
          <w:p>
            <w:pPr>
              <w:pStyle w:val="TableParagraph"/>
              <w:spacing w:before="2"/>
              <w:ind w:left="0"/>
              <w:rPr>
                <w:sz w:val="27"/>
              </w:rPr>
            </w:pPr>
          </w:p>
          <w:p>
            <w:pPr>
              <w:pStyle w:val="TableParagraph"/>
              <w:spacing w:before="1"/>
              <w:ind w:left="104" w:right="197"/>
              <w:rPr>
                <w:sz w:val="20"/>
              </w:rPr>
            </w:pPr>
            <w:r>
              <w:rPr>
                <w:sz w:val="20"/>
              </w:rPr>
              <w:t>Quantity based triggers should take account of the forecasted demand (Site and Patient) for the time period for both the application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process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total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resupply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shipment itself (order generation, transit &amp; receipt).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Needed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104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15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</w:pPr>
      <w:r>
        <w:rPr/>
        <w:t>Approval</w:t>
      </w:r>
      <w:r>
        <w:rPr>
          <w:spacing w:val="-8"/>
        </w:rPr>
        <w:t> </w:t>
      </w:r>
      <w:r>
        <w:rPr/>
        <w:t>of</w:t>
      </w:r>
      <w:r>
        <w:rPr>
          <w:spacing w:val="-8"/>
        </w:rPr>
        <w:t> </w:t>
      </w:r>
      <w:r>
        <w:rPr/>
        <w:t>Distribution</w:t>
      </w:r>
      <w:r>
        <w:rPr>
          <w:spacing w:val="-5"/>
        </w:rPr>
        <w:t> </w:t>
      </w:r>
      <w:r>
        <w:rPr/>
        <w:t>Setup</w:t>
      </w:r>
      <w:r>
        <w:rPr>
          <w:spacing w:val="-6"/>
        </w:rPr>
        <w:t> </w:t>
      </w:r>
      <w:r>
        <w:rPr>
          <w:spacing w:val="-2"/>
        </w:rPr>
        <w:t>Documents</w:t>
      </w:r>
    </w:p>
    <w:p>
      <w:pPr>
        <w:pStyle w:val="BodyText"/>
        <w:spacing w:before="126"/>
        <w:ind w:left="1980" w:right="426"/>
      </w:pPr>
      <w:r>
        <w:rPr/>
        <w:t>Some distribution vendors request that their clients review and approve a distribution</w:t>
      </w:r>
      <w:r>
        <w:rPr>
          <w:spacing w:val="-4"/>
        </w:rPr>
        <w:t> </w:t>
      </w:r>
      <w:r>
        <w:rPr/>
        <w:t>plan</w:t>
      </w:r>
      <w:r>
        <w:rPr>
          <w:spacing w:val="-4"/>
        </w:rPr>
        <w:t> </w:t>
      </w:r>
      <w:r>
        <w:rPr/>
        <w:t>(name</w:t>
      </w:r>
      <w:r>
        <w:rPr>
          <w:spacing w:val="-4"/>
        </w:rPr>
        <w:t> </w:t>
      </w:r>
      <w:r>
        <w:rPr/>
        <w:t>varies</w:t>
      </w:r>
      <w:r>
        <w:rPr>
          <w:spacing w:val="-4"/>
        </w:rPr>
        <w:t> </w:t>
      </w:r>
      <w:r>
        <w:rPr/>
        <w:t>amongst</w:t>
      </w:r>
      <w:r>
        <w:rPr>
          <w:spacing w:val="-4"/>
        </w:rPr>
        <w:t> </w:t>
      </w:r>
      <w:r>
        <w:rPr/>
        <w:t>vendors)</w:t>
      </w:r>
      <w:r>
        <w:rPr>
          <w:spacing w:val="-4"/>
        </w:rPr>
        <w:t> </w:t>
      </w:r>
      <w:r>
        <w:rPr/>
        <w:t>prior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study</w:t>
      </w:r>
      <w:r>
        <w:rPr>
          <w:spacing w:val="-4"/>
        </w:rPr>
        <w:t> </w:t>
      </w:r>
      <w:r>
        <w:rPr/>
        <w:t>commencement. Examples of the information outlined in a distribution plan are protocol information, shipping and handling requirements and country information.</w:t>
      </w:r>
    </w:p>
    <w:p>
      <w:pPr>
        <w:pStyle w:val="BodyText"/>
        <w:spacing w:before="117"/>
        <w:ind w:left="1980" w:right="426"/>
      </w:pPr>
      <w:r>
        <w:rPr/>
        <w:t>In</w:t>
      </w:r>
      <w:r>
        <w:rPr>
          <w:spacing w:val="-3"/>
        </w:rPr>
        <w:t> </w:t>
      </w:r>
      <w:r>
        <w:rPr/>
        <w:t>cases</w:t>
      </w:r>
      <w:r>
        <w:rPr>
          <w:spacing w:val="-3"/>
        </w:rPr>
        <w:t> </w:t>
      </w:r>
      <w:r>
        <w:rPr/>
        <w:t>where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required,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sponsor</w:t>
      </w:r>
      <w:r>
        <w:rPr>
          <w:spacing w:val="-3"/>
        </w:rPr>
        <w:t> </w:t>
      </w:r>
      <w:r>
        <w:rPr/>
        <w:t>has</w:t>
      </w:r>
      <w:r>
        <w:rPr>
          <w:spacing w:val="-3"/>
        </w:rPr>
        <w:t> </w:t>
      </w:r>
      <w:r>
        <w:rPr/>
        <w:t>delegated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IQVIA,</w:t>
      </w:r>
      <w:r>
        <w:rPr>
          <w:spacing w:val="-3"/>
        </w:rPr>
        <w:t> </w:t>
      </w:r>
      <w:r>
        <w:rPr/>
        <w:t>CTS should follow these steps.</w:t>
      </w: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23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098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13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confirm that the study has been setup correctly in accordance with the protocol and sponsor requirements. This may include (but is not limited to):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5" w:lineRule="exact" w:before="2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Protocol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number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Contact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(IQVIA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sponsor)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Blinded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Open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study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257" w:hanging="360"/>
              <w:jc w:val="left"/>
              <w:rPr>
                <w:sz w:val="20"/>
              </w:rPr>
            </w:pPr>
            <w:r>
              <w:rPr>
                <w:sz w:val="20"/>
              </w:rPr>
              <w:t>Shipping and handling requirements – based on storage/shipping conditions of the product confirmed in writing by the client, and/or relevant comparator team for products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behalf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sponsor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Drug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information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Ancillary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information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Country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information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Proforma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information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 distribution plan document from </w:t>
            </w:r>
            <w:r>
              <w:rPr>
                <w:spacing w:val="-2"/>
                <w:sz w:val="20"/>
              </w:rPr>
              <w:t>vendor</w:t>
            </w:r>
          </w:p>
        </w:tc>
      </w:tr>
      <w:tr>
        <w:trPr>
          <w:trHeight w:val="30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acceptable: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0" w:lineRule="auto" w:before="1" w:after="0"/>
              <w:ind w:left="824" w:right="311" w:hanging="360"/>
              <w:jc w:val="left"/>
              <w:rPr>
                <w:sz w:val="20"/>
              </w:rPr>
            </w:pPr>
            <w:r>
              <w:rPr>
                <w:sz w:val="20"/>
              </w:rPr>
              <w:t>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sign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appropriate)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return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the distribution vendor.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32" w:lineRule="auto" w:before="6" w:after="0"/>
              <w:ind w:left="824" w:right="287" w:hanging="360"/>
              <w:jc w:val="left"/>
              <w:rPr>
                <w:sz w:val="20"/>
              </w:rPr>
            </w:pPr>
            <w:r>
              <w:rPr>
                <w:sz w:val="20"/>
              </w:rPr>
              <w:t>Share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archive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 the relevant IQVIA e-TMF platform</w:t>
            </w:r>
          </w:p>
          <w:p>
            <w:pPr>
              <w:pStyle w:val="TableParagraph"/>
              <w:spacing w:before="3"/>
              <w:ind w:left="0"/>
              <w:rPr>
                <w:sz w:val="20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 </w:t>
            </w:r>
            <w:r>
              <w:rPr>
                <w:spacing w:val="-2"/>
                <w:sz w:val="20"/>
              </w:rPr>
              <w:t>acceptable: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40" w:lineRule="auto" w:before="2" w:after="0"/>
              <w:ind w:left="824" w:right="492" w:hanging="360"/>
              <w:jc w:val="left"/>
              <w:rPr>
                <w:sz w:val="20"/>
              </w:rPr>
            </w:pPr>
            <w:r>
              <w:rPr>
                <w:sz w:val="20"/>
              </w:rPr>
              <w:t>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return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 </w:t>
            </w:r>
            <w:r>
              <w:rPr>
                <w:spacing w:val="-2"/>
                <w:sz w:val="20"/>
              </w:rPr>
              <w:t>update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4" w:val="left" w:leader="none"/>
                <w:tab w:pos="825" w:val="left" w:leader="none"/>
              </w:tabs>
              <w:spacing w:line="232" w:lineRule="auto" w:before="6" w:after="0"/>
              <w:ind w:left="824" w:right="426" w:hanging="360"/>
              <w:jc w:val="left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return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6.3.1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6.3.1</w:t>
            </w:r>
          </w:p>
        </w:tc>
      </w:tr>
    </w:tbl>
    <w:p>
      <w:pPr>
        <w:spacing w:after="0" w:line="244" w:lineRule="auto"/>
        <w:rPr>
          <w:sz w:val="20"/>
        </w:rPr>
        <w:sectPr>
          <w:pgSz w:w="12240" w:h="15840"/>
          <w:pgMar w:header="979" w:footer="872" w:top="2760" w:bottom="1060" w:left="900" w:right="1040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</w:pPr>
      <w:r>
        <w:rPr/>
        <w:t>Receipt</w:t>
      </w:r>
      <w:r>
        <w:rPr>
          <w:spacing w:val="-6"/>
        </w:rPr>
        <w:t> </w:t>
      </w:r>
      <w:r>
        <w:rPr/>
        <w:t>of</w:t>
      </w:r>
      <w:r>
        <w:rPr>
          <w:spacing w:val="-6"/>
        </w:rPr>
        <w:t> </w:t>
      </w:r>
      <w:r>
        <w:rPr/>
        <w:t>Clinical</w:t>
      </w:r>
      <w:r>
        <w:rPr>
          <w:spacing w:val="-5"/>
        </w:rPr>
        <w:t> </w:t>
      </w:r>
      <w:r>
        <w:rPr/>
        <w:t>Supply</w:t>
      </w:r>
      <w:r>
        <w:rPr>
          <w:spacing w:val="-6"/>
        </w:rPr>
        <w:t> </w:t>
      </w:r>
      <w:r>
        <w:rPr/>
        <w:t>Materials</w:t>
      </w:r>
      <w:r>
        <w:rPr>
          <w:spacing w:val="-6"/>
        </w:rPr>
        <w:t> </w:t>
      </w:r>
      <w:r>
        <w:rPr/>
        <w:t>at</w:t>
      </w:r>
      <w:r>
        <w:rPr>
          <w:spacing w:val="-5"/>
        </w:rPr>
        <w:t> </w:t>
      </w:r>
      <w:r>
        <w:rPr>
          <w:spacing w:val="-2"/>
        </w:rPr>
        <w:t>Depots</w:t>
      </w:r>
    </w:p>
    <w:p>
      <w:pPr>
        <w:pStyle w:val="BodyText"/>
        <w:spacing w:before="126"/>
        <w:ind w:left="1979" w:right="466"/>
      </w:pPr>
      <w:r>
        <w:rPr/>
        <w:t>Where Clinical Supply materials (such as Investigational or Comparator Products, Ancillaries or Components) are shipped to Contract Manufacturing Organisation</w:t>
      </w:r>
      <w:r>
        <w:rPr>
          <w:spacing w:val="-3"/>
        </w:rPr>
        <w:t> </w:t>
      </w:r>
      <w:r>
        <w:rPr/>
        <w:t>(CMO)</w:t>
      </w:r>
      <w:r>
        <w:rPr>
          <w:spacing w:val="-3"/>
        </w:rPr>
        <w:t> </w:t>
      </w:r>
      <w:r>
        <w:rPr/>
        <w:t>depots,</w:t>
      </w:r>
      <w:r>
        <w:rPr>
          <w:spacing w:val="-3"/>
        </w:rPr>
        <w:t> </w:t>
      </w:r>
      <w:r>
        <w:rPr/>
        <w:t>CTS</w:t>
      </w:r>
      <w:r>
        <w:rPr>
          <w:spacing w:val="-3"/>
        </w:rPr>
        <w:t> </w:t>
      </w:r>
      <w:r>
        <w:rPr/>
        <w:t>must</w:t>
      </w:r>
      <w:r>
        <w:rPr>
          <w:spacing w:val="-3"/>
        </w:rPr>
        <w:t> </w:t>
      </w:r>
      <w:r>
        <w:rPr/>
        <w:t>seek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have</w:t>
      </w:r>
      <w:r>
        <w:rPr>
          <w:spacing w:val="-3"/>
        </w:rPr>
        <w:t> </w:t>
      </w:r>
      <w:r>
        <w:rPr/>
        <w:t>visibility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shipment</w:t>
      </w:r>
      <w:r>
        <w:rPr>
          <w:spacing w:val="-3"/>
        </w:rPr>
        <w:t> </w:t>
      </w:r>
      <w:r>
        <w:rPr/>
        <w:t>so that it can be tracked and verified to ensure safe receipt at depot in a timely manner. This process excludes the inbound shipment of packaging components (e.g. cartons, tamper seals etc.) if ordered and managed by the CMO.</w:t>
      </w:r>
    </w:p>
    <w:p>
      <w:pPr>
        <w:pStyle w:val="BodyText"/>
        <w:rPr>
          <w:sz w:val="20"/>
        </w:rPr>
      </w:pPr>
    </w:p>
    <w:p>
      <w:pPr>
        <w:pStyle w:val="BodyText"/>
        <w:spacing w:before="10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04"/>
        <w:gridCol w:w="6264"/>
        <w:gridCol w:w="1843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04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67" w:hRule="atLeast"/>
        </w:trPr>
        <w:tc>
          <w:tcPr>
            <w:tcW w:w="854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04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z w:val="20"/>
              </w:rPr>
              <w:t>Where available, obtain information from the relevant stakeholder shipping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expected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ship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shipment </w:t>
            </w:r>
            <w:r>
              <w:rPr>
                <w:spacing w:val="-2"/>
                <w:sz w:val="20"/>
              </w:rPr>
              <w:t>dispatch</w:t>
            </w:r>
          </w:p>
        </w:tc>
      </w:tr>
      <w:tr>
        <w:trPr>
          <w:trHeight w:val="2461" w:hRule="atLeast"/>
        </w:trPr>
        <w:tc>
          <w:tcPr>
            <w:tcW w:w="854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04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5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5" w:right="113"/>
              <w:rPr>
                <w:sz w:val="20"/>
              </w:rPr>
            </w:pPr>
            <w:r>
              <w:rPr>
                <w:sz w:val="20"/>
              </w:rPr>
              <w:t>Discuss with receiving depot requirements for a smooth receipt process (this may vary depending on vendor and material being shipped).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Determine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paperwork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 CMO depot receiving material and document this in the Clinical Supply Plan and Project Scope Document CRO_TP_CTS0014.</w:t>
            </w:r>
          </w:p>
          <w:p>
            <w:pPr>
              <w:pStyle w:val="TableParagraph"/>
              <w:spacing w:before="10"/>
              <w:ind w:left="0"/>
              <w:rPr>
                <w:sz w:val="26"/>
              </w:rPr>
            </w:pPr>
          </w:p>
          <w:p>
            <w:pPr>
              <w:pStyle w:val="TableParagraph"/>
              <w:spacing w:line="242" w:lineRule="auto"/>
              <w:ind w:left="105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Some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vendors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complete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 advanced goods delivery form which provides details of inbound shipments before they arrive. CTS may complete this or refer to Sponsor as appropriate.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right="439"/>
              <w:rPr>
                <w:sz w:val="20"/>
              </w:rPr>
            </w:pPr>
            <w:r>
              <w:rPr>
                <w:spacing w:val="-2"/>
                <w:sz w:val="20"/>
              </w:rPr>
              <w:t>Earliest opportunity</w:t>
            </w:r>
          </w:p>
        </w:tc>
      </w:tr>
      <w:tr>
        <w:trPr>
          <w:trHeight w:val="1727" w:hRule="atLeast"/>
        </w:trPr>
        <w:tc>
          <w:tcPr>
            <w:tcW w:w="854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04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z w:val="20"/>
              </w:rPr>
              <w:t>Where an advanced goods delivery form is available as well as tracking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details,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share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receiving CMO and confirm OK to ship.</w:t>
            </w:r>
          </w:p>
          <w:p>
            <w:pPr>
              <w:pStyle w:val="TableParagraph"/>
              <w:spacing w:before="4"/>
              <w:ind w:left="0"/>
              <w:rPr>
                <w:sz w:val="26"/>
              </w:rPr>
            </w:pPr>
          </w:p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receiving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CMO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shipment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cannot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received,</w:t>
            </w:r>
          </w:p>
          <w:p>
            <w:pPr>
              <w:pStyle w:val="TableParagraph"/>
              <w:spacing w:line="230" w:lineRule="atLeast"/>
              <w:ind w:left="105" w:right="113"/>
              <w:rPr>
                <w:sz w:val="20"/>
              </w:rPr>
            </w:pPr>
            <w:r>
              <w:rPr>
                <w:sz w:val="20"/>
              </w:rPr>
              <w:t>advise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shipper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immediately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take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resolve the issue.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shipment </w:t>
            </w:r>
            <w:r>
              <w:rPr>
                <w:spacing w:val="-2"/>
                <w:sz w:val="20"/>
              </w:rPr>
              <w:t>dispatch</w:t>
            </w:r>
          </w:p>
        </w:tc>
      </w:tr>
      <w:tr>
        <w:trPr>
          <w:trHeight w:val="1540" w:hRule="atLeast"/>
        </w:trPr>
        <w:tc>
          <w:tcPr>
            <w:tcW w:w="854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104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5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42" w:lineRule="auto" w:before="38"/>
              <w:ind w:left="105"/>
              <w:rPr>
                <w:sz w:val="20"/>
              </w:rPr>
            </w:pPr>
            <w:r>
              <w:rPr>
                <w:sz w:val="20"/>
              </w:rPr>
              <w:t>Liaise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CMO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regularly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track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material and ensure it has been received in full, intact and without Temperature Excursions (if temperature controlled).</w:t>
            </w:r>
          </w:p>
          <w:p>
            <w:pPr>
              <w:pStyle w:val="TableParagraph"/>
              <w:spacing w:before="2"/>
              <w:ind w:left="0"/>
              <w:rPr>
                <w:sz w:val="26"/>
              </w:rPr>
            </w:pPr>
          </w:p>
          <w:p>
            <w:pPr>
              <w:pStyle w:val="TableParagraph"/>
              <w:spacing w:line="244" w:lineRule="auto"/>
              <w:ind w:left="105" w:right="58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sz w:val="20"/>
              </w:rPr>
              <w:t>Inform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shipper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immediately if any issues have been identified.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shipment 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upon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receipt</w:t>
            </w:r>
          </w:p>
        </w:tc>
      </w:tr>
      <w:tr>
        <w:trPr>
          <w:trHeight w:val="1689" w:hRule="atLeast"/>
        </w:trPr>
        <w:tc>
          <w:tcPr>
            <w:tcW w:w="854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6.4.5</w:t>
            </w:r>
          </w:p>
        </w:tc>
        <w:tc>
          <w:tcPr>
            <w:tcW w:w="1104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5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left="105" w:right="113"/>
              <w:rPr>
                <w:sz w:val="20"/>
              </w:rPr>
            </w:pPr>
            <w:r>
              <w:rPr>
                <w:sz w:val="20"/>
              </w:rPr>
              <w:t>Obtain a copy of all relevant receiving documentation and any applicable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quickly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possible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receipt at depot.</w:t>
            </w:r>
          </w:p>
          <w:p>
            <w:pPr>
              <w:pStyle w:val="TableParagraph"/>
              <w:ind w:left="0"/>
              <w:rPr>
                <w:sz w:val="23"/>
              </w:rPr>
            </w:pPr>
          </w:p>
          <w:p>
            <w:pPr>
              <w:pStyle w:val="TableParagraph"/>
              <w:spacing w:line="242" w:lineRule="auto"/>
              <w:ind w:left="105" w:right="113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CMOs will have varying receipt times but CTS should aim to have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1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week of receipt at depot.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at </w:t>
            </w:r>
            <w:r>
              <w:rPr>
                <w:spacing w:val="-2"/>
                <w:sz w:val="20"/>
              </w:rPr>
              <w:t>depot</w:t>
            </w:r>
          </w:p>
        </w:tc>
      </w:tr>
    </w:tbl>
    <w:p>
      <w:pPr>
        <w:spacing w:after="0" w:line="244" w:lineRule="auto"/>
        <w:rPr>
          <w:sz w:val="20"/>
        </w:rPr>
        <w:sectPr>
          <w:pgSz w:w="12240" w:h="15840"/>
          <w:pgMar w:header="979" w:footer="872" w:top="2760" w:bottom="1140" w:left="900" w:right="104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4"/>
        <w:gridCol w:w="1104"/>
        <w:gridCol w:w="6264"/>
        <w:gridCol w:w="1843"/>
      </w:tblGrid>
      <w:tr>
        <w:trPr>
          <w:trHeight w:val="311" w:hRule="atLeast"/>
        </w:trPr>
        <w:tc>
          <w:tcPr>
            <w:tcW w:w="85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04" w:type="dxa"/>
            <w:shd w:val="clear" w:color="auto" w:fill="D9D9D9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689" w:hRule="atLeast"/>
        </w:trPr>
        <w:tc>
          <w:tcPr>
            <w:tcW w:w="854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6.4.6</w:t>
            </w:r>
          </w:p>
        </w:tc>
        <w:tc>
          <w:tcPr>
            <w:tcW w:w="1104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left="105" w:right="167"/>
              <w:rPr>
                <w:sz w:val="20"/>
              </w:rPr>
            </w:pPr>
            <w:r>
              <w:rPr>
                <w:sz w:val="20"/>
              </w:rPr>
              <w:t>Share receiving documentation and applicable temperature data 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shipper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necessary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project requirements.</w:t>
            </w:r>
          </w:p>
          <w:p>
            <w:pPr>
              <w:pStyle w:val="TableParagraph"/>
              <w:ind w:left="0"/>
              <w:rPr>
                <w:sz w:val="23"/>
              </w:rPr>
            </w:pPr>
          </w:p>
          <w:p>
            <w:pPr>
              <w:pStyle w:val="TableParagraph"/>
              <w:spacing w:line="242" w:lineRule="auto"/>
              <w:ind w:left="105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Take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precautions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unblinding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not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sent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blinded contacts. If there is any doubt to the blinding status of any contact, always assume they’re blinded.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at </w:t>
            </w:r>
            <w:r>
              <w:rPr>
                <w:spacing w:val="-2"/>
                <w:sz w:val="20"/>
              </w:rPr>
              <w:t>depot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</w:pPr>
      <w:r>
        <w:rPr/>
        <w:t>Approval</w:t>
      </w:r>
      <w:r>
        <w:rPr>
          <w:spacing w:val="-7"/>
        </w:rPr>
        <w:t> </w:t>
      </w:r>
      <w:r>
        <w:rPr/>
        <w:t>of</w:t>
      </w:r>
      <w:r>
        <w:rPr>
          <w:spacing w:val="-7"/>
        </w:rPr>
        <w:t> </w:t>
      </w:r>
      <w:r>
        <w:rPr/>
        <w:t>Product</w:t>
      </w:r>
      <w:r>
        <w:rPr>
          <w:spacing w:val="-7"/>
        </w:rPr>
        <w:t> </w:t>
      </w:r>
      <w:r>
        <w:rPr/>
        <w:t>Disposition</w:t>
      </w:r>
      <w:r>
        <w:rPr>
          <w:spacing w:val="-7"/>
        </w:rPr>
        <w:t> </w:t>
      </w:r>
      <w:r>
        <w:rPr>
          <w:spacing w:val="-2"/>
        </w:rPr>
        <w:t>Reports</w:t>
      </w:r>
    </w:p>
    <w:p>
      <w:pPr>
        <w:pStyle w:val="BodyText"/>
        <w:spacing w:before="127"/>
        <w:ind w:left="1980" w:right="466"/>
      </w:pPr>
      <w:r>
        <w:rPr/>
        <w:t>In the course of providing clinical supply chain management services to sponsors,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lead</w:t>
      </w:r>
      <w:r>
        <w:rPr>
          <w:spacing w:val="-3"/>
        </w:rPr>
        <w:t> </w:t>
      </w:r>
      <w:r>
        <w:rPr/>
        <w:t>CTS</w:t>
      </w:r>
      <w:r>
        <w:rPr>
          <w:spacing w:val="-3"/>
        </w:rPr>
        <w:t> </w:t>
      </w:r>
      <w:r>
        <w:rPr/>
        <w:t>contact</w:t>
      </w:r>
      <w:r>
        <w:rPr>
          <w:spacing w:val="-3"/>
        </w:rPr>
        <w:t> </w:t>
      </w:r>
      <w:r>
        <w:rPr/>
        <w:t>will</w:t>
      </w:r>
      <w:r>
        <w:rPr>
          <w:spacing w:val="-3"/>
        </w:rPr>
        <w:t> </w:t>
      </w:r>
      <w:r>
        <w:rPr/>
        <w:t>have</w:t>
      </w:r>
      <w:r>
        <w:rPr>
          <w:spacing w:val="-3"/>
        </w:rPr>
        <w:t> </w:t>
      </w:r>
      <w:r>
        <w:rPr/>
        <w:t>responsibility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efficient</w:t>
      </w:r>
      <w:r>
        <w:rPr>
          <w:spacing w:val="-3"/>
        </w:rPr>
        <w:t> </w:t>
      </w:r>
      <w:r>
        <w:rPr/>
        <w:t>holding</w:t>
      </w:r>
      <w:r>
        <w:rPr>
          <w:spacing w:val="-3"/>
        </w:rPr>
        <w:t> </w:t>
      </w:r>
      <w:r>
        <w:rPr/>
        <w:t>of any stocks at depot locations.</w:t>
      </w:r>
    </w:p>
    <w:p>
      <w:pPr>
        <w:pStyle w:val="BodyText"/>
        <w:spacing w:before="119"/>
        <w:ind w:left="1980" w:right="426"/>
      </w:pPr>
      <w:r>
        <w:rPr/>
        <w:t>CTS</w:t>
      </w:r>
      <w:r>
        <w:rPr>
          <w:spacing w:val="-2"/>
        </w:rPr>
        <w:t> </w:t>
      </w:r>
      <w:r>
        <w:rPr/>
        <w:t>should</w:t>
      </w:r>
      <w:r>
        <w:rPr>
          <w:spacing w:val="-4"/>
        </w:rPr>
        <w:t> </w:t>
      </w:r>
      <w:r>
        <w:rPr/>
        <w:t>follow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steps</w:t>
      </w:r>
      <w:r>
        <w:rPr>
          <w:spacing w:val="-4"/>
        </w:rPr>
        <w:t> </w:t>
      </w:r>
      <w:r>
        <w:rPr/>
        <w:t>below</w:t>
      </w:r>
      <w:r>
        <w:rPr>
          <w:spacing w:val="-4"/>
        </w:rPr>
        <w:t> </w:t>
      </w:r>
      <w:r>
        <w:rPr/>
        <w:t>when</w:t>
      </w:r>
      <w:r>
        <w:rPr>
          <w:spacing w:val="-4"/>
        </w:rPr>
        <w:t> </w:t>
      </w:r>
      <w:r>
        <w:rPr/>
        <w:t>receiving</w:t>
      </w:r>
      <w:r>
        <w:rPr>
          <w:spacing w:val="-4"/>
        </w:rPr>
        <w:t> </w:t>
      </w:r>
      <w:r>
        <w:rPr/>
        <w:t>product</w:t>
      </w:r>
      <w:r>
        <w:rPr>
          <w:spacing w:val="-4"/>
        </w:rPr>
        <w:t> </w:t>
      </w:r>
      <w:r>
        <w:rPr/>
        <w:t>disposition</w:t>
      </w:r>
      <w:r>
        <w:rPr>
          <w:spacing w:val="-4"/>
        </w:rPr>
        <w:t> </w:t>
      </w:r>
      <w:r>
        <w:rPr/>
        <w:t>reports</w:t>
      </w:r>
      <w:r>
        <w:rPr>
          <w:spacing w:val="-4"/>
        </w:rPr>
        <w:t> </w:t>
      </w:r>
      <w:r>
        <w:rPr/>
        <w:t>or dealing with any product destruction activities for material that is not owned by </w:t>
      </w:r>
      <w:r>
        <w:rPr>
          <w:spacing w:val="-2"/>
        </w:rPr>
        <w:t>IQVIA.</w:t>
      </w: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12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left="0"/>
              <w:rPr>
                <w:sz w:val="22"/>
              </w:rPr>
            </w:pPr>
          </w:p>
          <w:p>
            <w:pPr>
              <w:pStyle w:val="TableParagraph"/>
              <w:spacing w:before="130"/>
              <w:ind w:left="104" w:right="113"/>
              <w:rPr>
                <w:sz w:val="20"/>
              </w:rPr>
            </w:pPr>
            <w:r>
              <w:rPr>
                <w:sz w:val="20"/>
              </w:rPr>
              <w:t>Request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summary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required stock holding from the relevant vendor.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75"/>
              <w:rPr>
                <w:sz w:val="20"/>
              </w:rPr>
            </w:pPr>
            <w:r>
              <w:rPr>
                <w:sz w:val="20"/>
              </w:rPr>
              <w:t>As applicable during study </w:t>
            </w:r>
            <w:r>
              <w:rPr>
                <w:spacing w:val="-2"/>
                <w:sz w:val="20"/>
              </w:rPr>
              <w:t>maintenance </w:t>
            </w:r>
            <w:r>
              <w:rPr>
                <w:sz w:val="20"/>
              </w:rPr>
              <w:t>phase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study </w:t>
            </w:r>
            <w:r>
              <w:rPr>
                <w:spacing w:val="-2"/>
                <w:sz w:val="20"/>
              </w:rPr>
              <w:t>closeout</w:t>
            </w:r>
          </w:p>
        </w:tc>
      </w:tr>
      <w:tr>
        <w:trPr>
          <w:trHeight w:val="10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Where applicable, mark the report or separately provide recommendations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stock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retained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storage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 </w:t>
            </w:r>
            <w:r>
              <w:rPr>
                <w:spacing w:val="-2"/>
                <w:sz w:val="20"/>
              </w:rPr>
              <w:t>destroyed.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6.5.1</w:t>
            </w:r>
          </w:p>
        </w:tc>
      </w:tr>
      <w:tr>
        <w:trPr>
          <w:trHeight w:val="276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13"/>
              <w:rPr>
                <w:sz w:val="20"/>
              </w:rPr>
            </w:pPr>
            <w:r>
              <w:rPr>
                <w:sz w:val="20"/>
              </w:rPr>
              <w:t>Provide the completed disposition report or summary of stock holdings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(including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recommendations)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sponsor/owner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the material for approval and signature.</w:t>
            </w:r>
          </w:p>
          <w:p>
            <w:pPr>
              <w:pStyle w:val="TableParagraph"/>
              <w:spacing w:before="2"/>
              <w:ind w:left="0"/>
              <w:rPr>
                <w:sz w:val="19"/>
              </w:rPr>
            </w:pPr>
          </w:p>
          <w:p>
            <w:pPr>
              <w:pStyle w:val="TableParagraph"/>
              <w:spacing w:line="242" w:lineRule="auto" w:before="1"/>
              <w:ind w:left="104" w:right="113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1: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contained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unblind,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cross reference Accidental Unblinding Work Instruction CRO_WI_CTS0013 for processing steps before forwarding the report to the sponsor/owner of the material.</w:t>
            </w:r>
          </w:p>
          <w:p>
            <w:pPr>
              <w:pStyle w:val="TableParagraph"/>
              <w:spacing w:before="9"/>
              <w:ind w:left="0"/>
              <w:rPr>
                <w:sz w:val="29"/>
              </w:rPr>
            </w:pPr>
          </w:p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2: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Retain,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reference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analytical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samples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 </w:t>
            </w:r>
            <w:r>
              <w:rPr>
                <w:spacing w:val="-2"/>
                <w:sz w:val="20"/>
              </w:rPr>
              <w:t>destroyed.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6.5.2</w:t>
            </w:r>
          </w:p>
        </w:tc>
      </w:tr>
      <w:tr>
        <w:trPr>
          <w:trHeight w:val="959" w:hRule="atLeast"/>
        </w:trPr>
        <w:tc>
          <w:tcPr>
            <w:tcW w:w="797" w:type="dxa"/>
          </w:tcPr>
          <w:p>
            <w:pPr>
              <w:pStyle w:val="TableParagraph"/>
              <w:spacing w:line="229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Refer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 back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 action. In cases where a disposition report is not used, present the relevant authorization provided by the sponsor which allows for the specified material to be destroyed.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382" w:firstLine="57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6.5.3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140" w:left="900" w:right="104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231" w:hRule="atLeast"/>
        </w:trPr>
        <w:tc>
          <w:tcPr>
            <w:tcW w:w="797" w:type="dxa"/>
          </w:tcPr>
          <w:p>
            <w:pPr>
              <w:pStyle w:val="TableParagraph"/>
              <w:spacing w:line="229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67"/>
              <w:rPr>
                <w:sz w:val="20"/>
              </w:rPr>
            </w:pPr>
            <w:r>
              <w:rPr>
                <w:sz w:val="20"/>
              </w:rPr>
              <w:t>Once destruction has been carried out, obtain a Certificate of Destruction (CoD) from the distribution vendor.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Review the certificate to ensure the stock destroyed matches the disposition report.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discrepancy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missing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stock,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alert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vendor and restart 6.5.1 as appropriate.</w:t>
            </w:r>
          </w:p>
          <w:p>
            <w:pPr>
              <w:pStyle w:val="TableParagraph"/>
              <w:spacing w:before="3"/>
              <w:ind w:left="0"/>
              <w:rPr>
                <w:sz w:val="27"/>
              </w:rPr>
            </w:pPr>
          </w:p>
          <w:p>
            <w:pPr>
              <w:pStyle w:val="TableParagraph"/>
              <w:ind w:left="104" w:right="167"/>
              <w:rPr>
                <w:sz w:val="20"/>
              </w:rPr>
            </w:pPr>
            <w:r>
              <w:rPr>
                <w:sz w:val="20"/>
              </w:rPr>
              <w:t>Share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archive in the relevant IQVIA e-TMF platform (see Study Close Out SOP CRO_OP_CTS0004 for archiving process steps).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6.5.4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line="229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97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vendor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confirms stock destruction in the IRT system.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6.5.4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23"/>
        </w:rPr>
      </w:pPr>
    </w:p>
    <w:p>
      <w:pPr>
        <w:pStyle w:val="Heading2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</w:pPr>
      <w:r>
        <w:rPr/>
        <w:t>Manual</w:t>
      </w:r>
      <w:r>
        <w:rPr>
          <w:spacing w:val="-8"/>
        </w:rPr>
        <w:t> </w:t>
      </w:r>
      <w:r>
        <w:rPr>
          <w:spacing w:val="-2"/>
        </w:rPr>
        <w:t>Resupply</w:t>
      </w:r>
    </w:p>
    <w:p>
      <w:pPr>
        <w:pStyle w:val="BodyText"/>
        <w:spacing w:before="126"/>
        <w:ind w:left="1980" w:right="426"/>
      </w:pPr>
      <w:r>
        <w:rPr/>
        <w:t>For studies without IRT inventory control, Investigational Products are to be ordered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sites/depots</w:t>
      </w:r>
      <w:r>
        <w:rPr>
          <w:spacing w:val="-3"/>
        </w:rPr>
        <w:t> </w:t>
      </w:r>
      <w:r>
        <w:rPr/>
        <w:t>using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CTS</w:t>
      </w:r>
      <w:r>
        <w:rPr>
          <w:spacing w:val="-5"/>
        </w:rPr>
        <w:t> </w:t>
      </w:r>
      <w:r>
        <w:rPr/>
        <w:t>approved</w:t>
      </w:r>
      <w:r>
        <w:rPr>
          <w:spacing w:val="-5"/>
        </w:rPr>
        <w:t> </w:t>
      </w:r>
      <w:r>
        <w:rPr/>
        <w:t>manual</w:t>
      </w:r>
      <w:r>
        <w:rPr>
          <w:spacing w:val="-5"/>
        </w:rPr>
        <w:t> </w:t>
      </w:r>
      <w:r>
        <w:rPr/>
        <w:t>drug</w:t>
      </w:r>
      <w:r>
        <w:rPr>
          <w:spacing w:val="-5"/>
        </w:rPr>
        <w:t> </w:t>
      </w:r>
      <w:r>
        <w:rPr/>
        <w:t>request</w:t>
      </w:r>
      <w:r>
        <w:rPr>
          <w:spacing w:val="-5"/>
        </w:rPr>
        <w:t> </w:t>
      </w:r>
      <w:r>
        <w:rPr/>
        <w:t>form.</w:t>
      </w:r>
    </w:p>
    <w:p>
      <w:pPr>
        <w:pStyle w:val="BodyText"/>
        <w:rPr>
          <w:sz w:val="20"/>
        </w:rPr>
      </w:pPr>
    </w:p>
    <w:p>
      <w:pPr>
        <w:pStyle w:val="BodyText"/>
        <w:spacing w:before="9" w:after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72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42" w:lineRule="auto" w:before="33"/>
              <w:ind w:left="104" w:right="113"/>
              <w:rPr>
                <w:sz w:val="20"/>
              </w:rPr>
            </w:pPr>
            <w:r>
              <w:rPr>
                <w:b/>
                <w:sz w:val="20"/>
              </w:rPr>
              <w:t>CTS IP Manual Order: </w:t>
            </w:r>
            <w:r>
              <w:rPr>
                <w:sz w:val="20"/>
              </w:rPr>
              <w:t>CTS completes all required information in 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1)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CRO_FM_CTS0015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the distribution vendor.</w:t>
            </w:r>
          </w:p>
          <w:p>
            <w:pPr>
              <w:pStyle w:val="TableParagraph"/>
              <w:spacing w:line="242" w:lineRule="auto" w:before="32"/>
              <w:ind w:left="104" w:right="167"/>
              <w:rPr>
                <w:sz w:val="20"/>
              </w:rPr>
            </w:pPr>
            <w:r>
              <w:rPr>
                <w:b/>
                <w:sz w:val="20"/>
              </w:rPr>
              <w:t>Site IP Manual Order: </w:t>
            </w:r>
            <w:r>
              <w:rPr>
                <w:sz w:val="20"/>
              </w:rPr>
              <w:t>Site or Clinical Representative completes 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(form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2)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CRO_FM_CTS0015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the designated email recipient. The recipient could be the distribution vendor or CTS as necessary for study requirements.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28"/>
              <w:rPr>
                <w:sz w:val="20"/>
              </w:rPr>
            </w:pPr>
            <w:r>
              <w:rPr>
                <w:sz w:val="20"/>
              </w:rPr>
              <w:t>As applicable 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study </w:t>
            </w:r>
            <w:r>
              <w:rPr>
                <w:spacing w:val="-2"/>
                <w:sz w:val="20"/>
              </w:rPr>
              <w:t>duration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140" w:left="900" w:right="1040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r>
        <w:rPr>
          <w:b/>
          <w:sz w:val="22"/>
        </w:rPr>
        <w:t>SUPPORTING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7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16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left="0" w:right="226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CRO_OP_CTS0004</w:t>
            </w:r>
          </w:p>
        </w:tc>
        <w:tc>
          <w:tcPr>
            <w:tcW w:w="6125" w:type="dxa"/>
          </w:tcPr>
          <w:p>
            <w:pPr>
              <w:pStyle w:val="TableParagraph"/>
              <w:spacing w:before="4"/>
              <w:ind w:left="109"/>
              <w:rPr>
                <w:sz w:val="22"/>
              </w:rPr>
            </w:pPr>
            <w:r>
              <w:rPr>
                <w:sz w:val="22"/>
              </w:rPr>
              <w:t>Study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Close</w:t>
            </w:r>
            <w:r>
              <w:rPr>
                <w:spacing w:val="-5"/>
                <w:sz w:val="22"/>
              </w:rPr>
              <w:t> Out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left="0" w:right="279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CRO_WI_CTS0013</w:t>
            </w:r>
          </w:p>
        </w:tc>
        <w:tc>
          <w:tcPr>
            <w:tcW w:w="6125" w:type="dxa"/>
          </w:tcPr>
          <w:p>
            <w:pPr>
              <w:pStyle w:val="TableParagraph"/>
              <w:spacing w:before="4"/>
              <w:ind w:left="109"/>
              <w:rPr>
                <w:sz w:val="22"/>
              </w:rPr>
            </w:pPr>
            <w:r>
              <w:rPr>
                <w:sz w:val="22"/>
              </w:rPr>
              <w:t>Accidental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Unblinding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left="0" w:right="226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CRO_OP_CTS0008</w:t>
            </w:r>
          </w:p>
        </w:tc>
        <w:tc>
          <w:tcPr>
            <w:tcW w:w="6125" w:type="dxa"/>
          </w:tcPr>
          <w:p>
            <w:pPr>
              <w:pStyle w:val="TableParagraph"/>
              <w:spacing w:before="4"/>
              <w:ind w:left="109"/>
              <w:rPr>
                <w:sz w:val="22"/>
              </w:rPr>
            </w:pPr>
            <w:r>
              <w:rPr>
                <w:sz w:val="22"/>
              </w:rPr>
              <w:t>Interactive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Response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Technology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Management</w:t>
            </w:r>
          </w:p>
        </w:tc>
      </w:tr>
      <w:tr>
        <w:trPr>
          <w:trHeight w:val="330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left="0" w:right="264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CRO_TP_CTS0014</w:t>
            </w:r>
          </w:p>
        </w:tc>
        <w:tc>
          <w:tcPr>
            <w:tcW w:w="6125" w:type="dxa"/>
          </w:tcPr>
          <w:p>
            <w:pPr>
              <w:pStyle w:val="TableParagraph"/>
              <w:spacing w:before="4"/>
              <w:ind w:left="109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Supply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Plan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Scope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Document</w:t>
            </w:r>
          </w:p>
        </w:tc>
      </w:tr>
      <w:tr>
        <w:trPr>
          <w:trHeight w:val="522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134"/>
              <w:ind w:left="0" w:right="226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CRO_FM_CTS0015</w:t>
            </w:r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15"/>
              <w:ind w:left="109"/>
              <w:rPr>
                <w:sz w:val="22"/>
              </w:rPr>
            </w:pPr>
            <w:r>
              <w:rPr>
                <w:sz w:val="22"/>
              </w:rPr>
              <w:t>IQVIA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Supplies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(CTS)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Manual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Drug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Request </w:t>
            </w:r>
            <w:r>
              <w:rPr>
                <w:spacing w:val="-4"/>
                <w:sz w:val="22"/>
              </w:rPr>
              <w:t>Form</w:t>
            </w:r>
          </w:p>
        </w:tc>
      </w:tr>
    </w:tbl>
    <w:p>
      <w:pPr>
        <w:pStyle w:val="BodyText"/>
        <w:spacing w:before="4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SUPERSEDES</w:t>
      </w:r>
    </w:p>
    <w:p>
      <w:pPr>
        <w:pStyle w:val="BodyText"/>
        <w:spacing w:before="7" w:after="1"/>
        <w:rPr>
          <w:b/>
        </w:rPr>
      </w:pP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609" w:hRule="atLeast"/>
        </w:trPr>
        <w:tc>
          <w:tcPr>
            <w:tcW w:w="3778" w:type="dxa"/>
          </w:tcPr>
          <w:p>
            <w:pPr>
              <w:pStyle w:val="TableParagraph"/>
              <w:spacing w:before="9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tabs>
                <w:tab w:pos="1545" w:val="left" w:leader="none"/>
              </w:tabs>
              <w:spacing w:before="1"/>
              <w:ind w:left="825"/>
              <w:rPr>
                <w:sz w:val="20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0"/>
              </w:rPr>
              <w:t>CRO_OP_CTS0003</w:t>
            </w:r>
          </w:p>
        </w:tc>
        <w:tc>
          <w:tcPr>
            <w:tcW w:w="380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Distribution Setup &amp; Product Disposition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Vendor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Facility</w:t>
            </w:r>
          </w:p>
        </w:tc>
        <w:tc>
          <w:tcPr>
            <w:tcW w:w="2338" w:type="dxa"/>
          </w:tcPr>
          <w:p>
            <w:pPr>
              <w:pStyle w:val="TableParagraph"/>
              <w:spacing w:before="38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3</w:t>
            </w:r>
          </w:p>
        </w:tc>
      </w:tr>
    </w:tbl>
    <w:p>
      <w:pPr>
        <w:pStyle w:val="BodyText"/>
        <w:spacing w:before="8"/>
        <w:rPr>
          <w:b/>
          <w:sz w:val="21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z w:val="22"/>
        </w:rPr>
        <w:t>MODIFICATION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3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5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definitions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4.0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157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all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definitions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were previously included</w:t>
            </w:r>
          </w:p>
        </w:tc>
      </w:tr>
      <w:tr>
        <w:trPr>
          <w:trHeight w:val="128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9"/>
              <w:ind w:right="78"/>
              <w:rPr>
                <w:sz w:val="22"/>
              </w:rPr>
            </w:pPr>
            <w:r>
              <w:rPr>
                <w:sz w:val="22"/>
              </w:rPr>
              <w:t>Addition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6.4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Receipt of Clinical Supply Materials at </w:t>
            </w:r>
            <w:r>
              <w:rPr>
                <w:spacing w:val="-2"/>
                <w:sz w:val="22"/>
              </w:rPr>
              <w:t>Depots</w:t>
            </w:r>
          </w:p>
        </w:tc>
        <w:tc>
          <w:tcPr>
            <w:tcW w:w="3298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6.4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9"/>
              <w:ind w:left="109" w:right="157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clarify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CSCM’s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involvement in the receipt process at depots; including paperwork, tracking numbers and Temperature Excursion data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2" w:lineRule="auto" w:before="30"/>
              <w:ind w:right="202"/>
              <w:rPr>
                <w:sz w:val="22"/>
              </w:rPr>
            </w:pPr>
            <w:r>
              <w:rPr>
                <w:sz w:val="22"/>
              </w:rPr>
              <w:t>Document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Owner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Author(s)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Header</w:t>
            </w:r>
          </w:p>
        </w:tc>
        <w:tc>
          <w:tcPr>
            <w:tcW w:w="3303" w:type="dxa"/>
          </w:tcPr>
          <w:p>
            <w:pPr>
              <w:pStyle w:val="TableParagraph"/>
              <w:spacing w:line="230" w:lineRule="auto" w:before="32"/>
              <w:ind w:left="109" w:right="157"/>
              <w:rPr>
                <w:sz w:val="22"/>
              </w:rPr>
            </w:pPr>
            <w:r>
              <w:rPr>
                <w:sz w:val="22"/>
              </w:rPr>
              <w:t>The document Owner and Authors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have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changed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since the previous version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RSU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CSA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6.1.2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left="109" w:right="157"/>
              <w:rPr>
                <w:sz w:val="22"/>
              </w:rPr>
            </w:pPr>
            <w:r>
              <w:rPr>
                <w:sz w:val="22"/>
              </w:rPr>
              <w:t>Term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RSU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changed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to </w:t>
            </w:r>
            <w:r>
              <w:rPr>
                <w:spacing w:val="-2"/>
                <w:sz w:val="22"/>
              </w:rPr>
              <w:t>GSA/CSA</w:t>
            </w:r>
          </w:p>
        </w:tc>
      </w:tr>
    </w:tbl>
    <w:p>
      <w:pPr>
        <w:pStyle w:val="BodyText"/>
        <w:spacing w:before="2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4"/>
        </w:rPr>
      </w:pPr>
    </w:p>
    <w:p>
      <w:pPr>
        <w:pStyle w:val="BodyText"/>
        <w:spacing w:before="6"/>
        <w:rPr>
          <w:b/>
          <w:sz w:val="19"/>
        </w:rPr>
      </w:pPr>
    </w:p>
    <w:p>
      <w:pPr>
        <w:pStyle w:val="BodyText"/>
        <w:ind w:left="1260"/>
      </w:pPr>
      <w:r>
        <w:rPr/>
        <w:t>Not</w:t>
      </w:r>
      <w:r>
        <w:rPr>
          <w:spacing w:val="2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12"/>
        </w:rPr>
      </w:pPr>
      <w:r>
        <w:rPr/>
      </w:r>
    </w:p>
    <w:p>
      <w:pPr>
        <w:spacing w:line="183" w:lineRule="exact" w:before="18"/>
        <w:ind w:left="467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3"/>
          <w:sz w:val="16"/>
        </w:rPr>
        <w:t> </w:t>
      </w:r>
      <w:r>
        <w:rPr>
          <w:sz w:val="16"/>
        </w:rPr>
        <w:t>12</w:t>
      </w:r>
      <w:r>
        <w:rPr>
          <w:spacing w:val="-5"/>
          <w:sz w:val="16"/>
        </w:rPr>
        <w:t> </w:t>
      </w:r>
      <w:r>
        <w:rPr>
          <w:sz w:val="16"/>
        </w:rPr>
        <w:t>of</w:t>
      </w:r>
      <w:r>
        <w:rPr>
          <w:spacing w:val="1"/>
          <w:sz w:val="16"/>
        </w:rPr>
        <w:t> </w:t>
      </w:r>
      <w:r>
        <w:rPr>
          <w:spacing w:val="-5"/>
          <w:sz w:val="16"/>
        </w:rPr>
        <w:t>12</w:t>
      </w:r>
    </w:p>
    <w:p>
      <w:pPr>
        <w:spacing w:line="244" w:lineRule="auto" w:before="0"/>
        <w:ind w:left="448" w:right="426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2"/>
          <w:sz w:val="16"/>
        </w:rPr>
        <w:t> </w:t>
      </w:r>
      <w:r>
        <w:rPr>
          <w:sz w:val="16"/>
        </w:rPr>
        <w:t>2021,2023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2"/>
          <w:sz w:val="16"/>
        </w:rPr>
        <w:t> </w:t>
      </w:r>
      <w:r>
        <w:rPr>
          <w:sz w:val="16"/>
        </w:rPr>
        <w:t>rights</w:t>
      </w:r>
      <w:r>
        <w:rPr>
          <w:spacing w:val="-2"/>
          <w:sz w:val="16"/>
        </w:rPr>
        <w:t> </w:t>
      </w:r>
      <w:r>
        <w:rPr>
          <w:sz w:val="16"/>
        </w:rPr>
        <w:t>reserved.</w:t>
      </w:r>
      <w:r>
        <w:rPr>
          <w:spacing w:val="-4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</w:t>
      </w:r>
      <w:r>
        <w:rPr>
          <w:spacing w:val="-2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2"/>
          <w:sz w:val="16"/>
        </w:rPr>
        <w:t> </w:t>
      </w:r>
      <w:r>
        <w:rPr>
          <w:sz w:val="16"/>
        </w:rPr>
        <w:t>are</w:t>
      </w:r>
      <w:r>
        <w:rPr>
          <w:spacing w:val="-2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</w:t>
      </w:r>
      <w:r>
        <w:rPr>
          <w:spacing w:val="-2"/>
          <w:sz w:val="16"/>
        </w:rPr>
        <w:t> </w:t>
      </w:r>
      <w:r>
        <w:rPr>
          <w:sz w:val="16"/>
        </w:rPr>
        <w:t>proprietary</w:t>
      </w:r>
      <w:r>
        <w:rPr>
          <w:spacing w:val="-2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1"/>
          <w:footerReference w:type="default" r:id="rId12"/>
          <w:pgSz w:w="12240" w:h="15840"/>
          <w:pgMar w:header="979" w:footer="268" w:top="2760" w:bottom="460" w:left="900" w:right="1040"/>
        </w:sectPr>
      </w:pPr>
    </w:p>
    <w:p>
      <w:pPr>
        <w:spacing w:line="321" w:lineRule="exact" w:before="79"/>
        <w:ind w:left="606" w:right="436" w:firstLine="0"/>
        <w:jc w:val="center"/>
        <w:rPr>
          <w:sz w:val="28"/>
        </w:rPr>
      </w:pPr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6" w:right="469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6" w:right="465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88" w:right="469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588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Lamb,</w:t>
      </w:r>
      <w:r>
        <w:rPr>
          <w:spacing w:val="-11"/>
          <w:sz w:val="20"/>
        </w:rPr>
        <w:t> </w:t>
      </w:r>
      <w:r>
        <w:rPr>
          <w:sz w:val="20"/>
        </w:rPr>
        <w:t>Stacy</w:t>
      </w:r>
      <w:r>
        <w:rPr>
          <w:spacing w:val="36"/>
          <w:sz w:val="20"/>
        </w:rPr>
        <w:t> </w:t>
      </w:r>
      <w:r>
        <w:rPr>
          <w:sz w:val="20"/>
        </w:rPr>
        <w:t>(u1082363)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71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17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10:16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39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Prior,</w:t>
      </w:r>
      <w:r>
        <w:rPr>
          <w:spacing w:val="-10"/>
          <w:sz w:val="20"/>
        </w:rPr>
        <w:t> </w:t>
      </w:r>
      <w:r>
        <w:rPr>
          <w:sz w:val="20"/>
        </w:rPr>
        <w:t>Lewis</w:t>
      </w:r>
      <w:r>
        <w:rPr>
          <w:spacing w:val="36"/>
          <w:sz w:val="20"/>
        </w:rPr>
        <w:t> </w:t>
      </w:r>
      <w:r>
        <w:rPr>
          <w:sz w:val="20"/>
        </w:rPr>
        <w:t>(lprior)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71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21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05:06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3"/>
      <w:footerReference w:type="default" r:id="rId14"/>
      <w:pgSz w:w="12240" w:h="15840"/>
      <w:pgMar w:header="0" w:footer="268" w:top="1360" w:bottom="460" w:left="900" w:right="10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7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04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28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5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77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02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2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51" w:hanging="720"/>
      </w:pPr>
      <w:rPr>
        <w:rFonts w:hint="default"/>
        <w:lang w:val="en-US" w:eastAsia="en-US" w:bidi="ar-SA"/>
      </w:rPr>
    </w:lvl>
  </w:abstract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980" w:hanging="72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10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header" Target="header3.xml"/><Relationship Id="rId12" Type="http://schemas.openxmlformats.org/officeDocument/2006/relationships/footer" Target="footer4.xml"/><Relationship Id="rId13" Type="http://schemas.openxmlformats.org/officeDocument/2006/relationships/header" Target="header4.xml"/><Relationship Id="rId14" Type="http://schemas.openxmlformats.org/officeDocument/2006/relationships/footer" Target="footer5.xml"/><Relationship Id="rId15" Type="http://schemas.openxmlformats.org/officeDocument/2006/relationships/image" Target="media/image2.png"/><Relationship Id="rId16" Type="http://schemas.openxmlformats.org/officeDocument/2006/relationships/numbering" Target="numbering.xml"/><Relationship Id="rId17" Type="http://schemas.openxmlformats.org/officeDocument/2006/relationships/header" Target="header5.xml"/><Relationship Id="rId18" Type="http://schemas.openxmlformats.org/officeDocument/2006/relationships/header" Target="header6.xml"/><Relationship Id="rId19" Type="http://schemas.openxmlformats.org/officeDocument/2006/relationships/header" Target="header7.xml"/><Relationship Id="rId20" Type="http://schemas.openxmlformats.org/officeDocument/2006/relationships/footer" Target="footer6.xml"/><Relationship Id="rId21" Type="http://schemas.openxmlformats.org/officeDocument/2006/relationships/footer" Target="footer7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2023-04-11T14:49:03Z</dcterms:created>
  <dcterms:modified xsi:type="dcterms:W3CDTF">2023-04-11T14:49:03Z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2023-02-16T00:00:00Z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(6.5.1.103725) OS (Windows 2012,2,0,64)</vt:lpwstr>
  </property>
</Properties>
</file>